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E74E5" w14:textId="77777777" w:rsidR="003A5C4A" w:rsidRPr="00FB5E9B" w:rsidRDefault="003A5C4A" w:rsidP="00FB5E9B">
      <w:pPr>
        <w:pStyle w:val="Heading1"/>
        <w:pBdr>
          <w:bottom w:val="single" w:sz="4" w:space="1" w:color="auto"/>
        </w:pBdr>
        <w:spacing w:after="60"/>
        <w:rPr>
          <w:sz w:val="40"/>
          <w:szCs w:val="40"/>
        </w:rPr>
      </w:pPr>
      <w:r w:rsidRPr="00FB5E9B">
        <w:rPr>
          <w:sz w:val="40"/>
          <w:szCs w:val="40"/>
        </w:rPr>
        <w:t>Explaining the evidence for reform series</w:t>
      </w:r>
    </w:p>
    <w:p w14:paraId="0571A9F0" w14:textId="4AB54332" w:rsidR="00386FAD" w:rsidRPr="00D55CD6" w:rsidRDefault="00386FAD" w:rsidP="00D55CD6">
      <w:pPr>
        <w:pStyle w:val="Heading2"/>
      </w:pPr>
      <w:r w:rsidRPr="00D55CD6">
        <w:t xml:space="preserve">The </w:t>
      </w:r>
      <w:r w:rsidR="009D7180" w:rsidRPr="00D55CD6">
        <w:t xml:space="preserve">logic </w:t>
      </w:r>
      <w:r w:rsidR="00CA66AC" w:rsidRPr="00D55CD6">
        <w:t>for</w:t>
      </w:r>
      <w:r w:rsidR="009D7180" w:rsidRPr="00D55CD6">
        <w:t xml:space="preserve"> reform: </w:t>
      </w:r>
      <w:r w:rsidRPr="00D55CD6">
        <w:t>employment for people with intellectual disability in Australia</w:t>
      </w:r>
    </w:p>
    <w:p w14:paraId="1F7DBA1A" w14:textId="77777777" w:rsidR="00FB5E9B" w:rsidRPr="00FB5E9B" w:rsidRDefault="00FB5E9B" w:rsidP="00FB5E9B"/>
    <w:p w14:paraId="1A1F01F4" w14:textId="4A7362E1" w:rsidR="009D7180" w:rsidRPr="00D169B0" w:rsidRDefault="00FB5E9B" w:rsidP="00D169B0">
      <w:pPr>
        <w:pStyle w:val="Subtitle"/>
        <w:rPr>
          <w:rFonts w:ascii="Arial Nova Cond Light" w:hAnsi="Arial Nova Cond Light"/>
        </w:rPr>
      </w:pPr>
      <w:r w:rsidRPr="00FB5E9B">
        <w:rPr>
          <w:rFonts w:ascii="Arial Nova Cond Light" w:hAnsi="Arial Nova Cond Light"/>
        </w:rPr>
        <w:t>Wilson, E.</w:t>
      </w:r>
      <w:r w:rsidR="00EA37E9">
        <w:rPr>
          <w:rFonts w:ascii="Arial Nova Cond Light" w:hAnsi="Arial Nova Cond Light"/>
        </w:rPr>
        <w:t>,</w:t>
      </w:r>
      <w:r w:rsidRPr="00FB5E9B">
        <w:rPr>
          <w:rFonts w:ascii="Arial Nova Cond Light" w:hAnsi="Arial Nova Cond Light"/>
        </w:rPr>
        <w:t xml:space="preserve"> Qian-Khoo, J.</w:t>
      </w:r>
      <w:r w:rsidR="00EA37E9">
        <w:rPr>
          <w:rFonts w:ascii="Arial Nova Cond Light" w:hAnsi="Arial Nova Cond Light"/>
        </w:rPr>
        <w:t>,</w:t>
      </w:r>
      <w:r w:rsidRPr="00FB5E9B">
        <w:rPr>
          <w:rFonts w:ascii="Arial Nova Cond Light" w:hAnsi="Arial Nova Cond Light"/>
        </w:rPr>
        <w:t xml:space="preserve"> Crosbie, J.</w:t>
      </w:r>
      <w:r w:rsidR="00EA37E9">
        <w:rPr>
          <w:rFonts w:ascii="Arial Nova Cond Light" w:hAnsi="Arial Nova Cond Light"/>
        </w:rPr>
        <w:t>,</w:t>
      </w:r>
      <w:r w:rsidR="002601A5">
        <w:rPr>
          <w:rFonts w:ascii="Arial Nova Cond Light" w:hAnsi="Arial Nova Cond Light"/>
        </w:rPr>
        <w:t xml:space="preserve"> &amp;</w:t>
      </w:r>
      <w:r w:rsidRPr="00FB5E9B">
        <w:rPr>
          <w:rFonts w:ascii="Arial Nova Cond Light" w:hAnsi="Arial Nova Cond Light"/>
        </w:rPr>
        <w:t xml:space="preserve"> Campbell, P. (2022).</w:t>
      </w:r>
      <w:r w:rsidR="001B6459">
        <w:rPr>
          <w:rFonts w:ascii="Arial Nova Cond Light" w:hAnsi="Arial Nova Cond Light"/>
        </w:rPr>
        <w:t xml:space="preserve"> </w:t>
      </w:r>
      <w:r w:rsidR="00386FAD">
        <w:rPr>
          <w:rFonts w:ascii="Arial Nova Cond Light" w:hAnsi="Arial Nova Cond Light"/>
        </w:rPr>
        <w:t xml:space="preserve">The </w:t>
      </w:r>
      <w:r w:rsidR="00F90466">
        <w:rPr>
          <w:rFonts w:ascii="Arial Nova Cond Light" w:hAnsi="Arial Nova Cond Light"/>
        </w:rPr>
        <w:t xml:space="preserve">Logic </w:t>
      </w:r>
      <w:r w:rsidR="00CA66AC">
        <w:rPr>
          <w:rFonts w:ascii="Arial Nova Cond Light" w:hAnsi="Arial Nova Cond Light"/>
        </w:rPr>
        <w:t>for</w:t>
      </w:r>
      <w:r w:rsidR="00F90466">
        <w:rPr>
          <w:rFonts w:ascii="Arial Nova Cond Light" w:hAnsi="Arial Nova Cond Light"/>
        </w:rPr>
        <w:t xml:space="preserve"> Reform:</w:t>
      </w:r>
      <w:r w:rsidR="00386FAD">
        <w:rPr>
          <w:rFonts w:ascii="Arial Nova Cond Light" w:hAnsi="Arial Nova Cond Light"/>
        </w:rPr>
        <w:t xml:space="preserve"> Employment for People with Intellectual Disability in Australia</w:t>
      </w:r>
      <w:r w:rsidRPr="00FB5E9B">
        <w:rPr>
          <w:rFonts w:ascii="Arial Nova Cond Light" w:hAnsi="Arial Nova Cond Light"/>
        </w:rPr>
        <w:t xml:space="preserve">, </w:t>
      </w:r>
      <w:r w:rsidRPr="00386FAD">
        <w:rPr>
          <w:rFonts w:ascii="Arial Nova Cond Light" w:hAnsi="Arial Nova Cond Light"/>
          <w:i/>
          <w:iCs/>
        </w:rPr>
        <w:t>Explaining the Evidence for Reform Series</w:t>
      </w:r>
      <w:r w:rsidRPr="00FB5E9B">
        <w:rPr>
          <w:rFonts w:ascii="Arial Nova Cond Light" w:hAnsi="Arial Nova Cond Light"/>
        </w:rPr>
        <w:t>. Hawthorn: Centre for Social Impact.</w:t>
      </w:r>
      <w:r w:rsidR="00D169B0" w:rsidRPr="00D169B0">
        <w:rPr>
          <w:b/>
          <w:bCs/>
        </w:rPr>
        <w:t xml:space="preserve"> </w:t>
      </w:r>
      <w:r w:rsidR="00D169B0" w:rsidRPr="00D169B0">
        <w:t>DOI: 10.25916/53n8-4a80</w:t>
      </w:r>
      <w:r w:rsidR="00D169B0">
        <w:br/>
      </w:r>
    </w:p>
    <w:p w14:paraId="703970F9" w14:textId="7526A9CC" w:rsidR="00386FAD" w:rsidRPr="00257247" w:rsidRDefault="00386FAD" w:rsidP="00386FAD">
      <w:pPr>
        <w:pStyle w:val="Quote"/>
      </w:pPr>
      <w:r w:rsidRPr="00257247">
        <w:rPr>
          <w:rStyle w:val="markedcontent"/>
          <w:rFonts w:asciiTheme="minorHAnsi" w:hAnsiTheme="minorHAnsi" w:cstheme="minorHAnsi"/>
        </w:rPr>
        <w:t>People with an intellectual disability want to work for the same reasons as other people; the social</w:t>
      </w:r>
      <w:r w:rsidRPr="00257247">
        <w:t xml:space="preserve"> </w:t>
      </w:r>
      <w:r w:rsidRPr="00257247">
        <w:rPr>
          <w:rStyle w:val="markedcontent"/>
          <w:rFonts w:asciiTheme="minorHAnsi" w:hAnsiTheme="minorHAnsi" w:cstheme="minorHAnsi"/>
        </w:rPr>
        <w:t>benefits of being with other people, to learn skills and get job satisfaction, and to earn a wage</w:t>
      </w:r>
      <w:r>
        <w:rPr>
          <w:rStyle w:val="markedcontent"/>
          <w:rFonts w:cstheme="minorHAnsi"/>
        </w:rPr>
        <w:t xml:space="preserve"> (Inclusion Australia and People with Disability Australia, 2022, p.</w:t>
      </w:r>
      <w:r w:rsidR="00D37294">
        <w:rPr>
          <w:rStyle w:val="markedcontent"/>
          <w:rFonts w:cstheme="minorHAnsi"/>
        </w:rPr>
        <w:t xml:space="preserve"> </w:t>
      </w:r>
      <w:r>
        <w:rPr>
          <w:rStyle w:val="markedcontent"/>
          <w:rFonts w:cstheme="minorHAnsi"/>
        </w:rPr>
        <w:t>5).</w:t>
      </w:r>
    </w:p>
    <w:p w14:paraId="66AFE648" w14:textId="425D4E2D" w:rsidR="00386FAD" w:rsidRDefault="00386FAD" w:rsidP="00386FAD">
      <w:pPr>
        <w:pStyle w:val="Quote"/>
        <w:rPr>
          <w:rStyle w:val="markedcontent"/>
          <w:rFonts w:cstheme="minorHAnsi"/>
        </w:rPr>
      </w:pPr>
      <w:r>
        <w:rPr>
          <w:rStyle w:val="markedcontent"/>
          <w:rFonts w:cstheme="minorHAnsi"/>
        </w:rPr>
        <w:t>P</w:t>
      </w:r>
      <w:r w:rsidRPr="00810558">
        <w:rPr>
          <w:rStyle w:val="markedcontent"/>
          <w:rFonts w:cstheme="minorHAnsi"/>
        </w:rPr>
        <w:t>eople</w:t>
      </w:r>
      <w:r>
        <w:rPr>
          <w:rStyle w:val="markedcontent"/>
          <w:rFonts w:cstheme="minorHAnsi"/>
        </w:rPr>
        <w:t xml:space="preserve"> with disability c</w:t>
      </w:r>
      <w:r w:rsidRPr="00810558">
        <w:rPr>
          <w:rStyle w:val="markedcontent"/>
          <w:rFonts w:cstheme="minorHAnsi"/>
        </w:rPr>
        <w:t>an work</w:t>
      </w:r>
      <w:r w:rsidRPr="00810558">
        <w:t xml:space="preserve"> </w:t>
      </w:r>
      <w:r>
        <w:rPr>
          <w:rStyle w:val="markedcontent"/>
          <w:rFonts w:cstheme="minorHAnsi"/>
        </w:rPr>
        <w:t>if given</w:t>
      </w:r>
      <w:r w:rsidRPr="00810558">
        <w:rPr>
          <w:rStyle w:val="markedcontent"/>
          <w:rFonts w:cstheme="minorHAnsi"/>
        </w:rPr>
        <w:t xml:space="preserve"> the right support</w:t>
      </w:r>
      <w:r>
        <w:rPr>
          <w:rStyle w:val="markedcontent"/>
          <w:rFonts w:cstheme="minorHAnsi"/>
        </w:rPr>
        <w:t xml:space="preserve"> (AFDO, 2018, p. 15).</w:t>
      </w:r>
    </w:p>
    <w:p w14:paraId="052252AB" w14:textId="6B370885" w:rsidR="00386FAD" w:rsidRDefault="00386FAD" w:rsidP="00386FAD">
      <w:pPr>
        <w:pStyle w:val="Quote"/>
      </w:pPr>
      <w:r w:rsidRPr="00526CC6">
        <w:t>If people are willing to work, they</w:t>
      </w:r>
      <w:r>
        <w:t xml:space="preserve"> </w:t>
      </w:r>
      <w:r w:rsidRPr="00526CC6">
        <w:t>should be supported to regardless of</w:t>
      </w:r>
      <w:r w:rsidRPr="00526CC6">
        <w:br/>
        <w:t xml:space="preserve">assessed capacity </w:t>
      </w:r>
      <w:r>
        <w:t>(</w:t>
      </w:r>
      <w:r w:rsidRPr="00526CC6">
        <w:t xml:space="preserve">Down Syndrome Australia, </w:t>
      </w:r>
      <w:r>
        <w:t>in DSS, 201</w:t>
      </w:r>
      <w:r w:rsidR="006025E3">
        <w:t>8</w:t>
      </w:r>
      <w:r>
        <w:t>, p. 37).</w:t>
      </w:r>
    </w:p>
    <w:p w14:paraId="3CD780C8" w14:textId="77777777" w:rsidR="00386FAD" w:rsidRPr="00526CC6" w:rsidRDefault="00386FAD" w:rsidP="00A80600">
      <w:pPr>
        <w:rPr>
          <w:rFonts w:cstheme="minorHAnsi"/>
        </w:rPr>
      </w:pPr>
    </w:p>
    <w:p w14:paraId="0A58734F" w14:textId="0A64DF96" w:rsidR="00D11D4E" w:rsidRDefault="00213DCA" w:rsidP="00386FAD">
      <w:pPr>
        <w:pStyle w:val="Heading2"/>
      </w:pPr>
      <w:r>
        <w:t xml:space="preserve">The </w:t>
      </w:r>
      <w:r w:rsidR="00D11D4E">
        <w:t>goal</w:t>
      </w:r>
      <w:r w:rsidR="00794776">
        <w:t>s</w:t>
      </w:r>
    </w:p>
    <w:p w14:paraId="66E8C5AE" w14:textId="3750F50C" w:rsidR="008B65CB" w:rsidRDefault="008B65CB" w:rsidP="008B65CB">
      <w:pPr>
        <w:pStyle w:val="BlackSubheadingItalic"/>
      </w:pPr>
      <w:r>
        <w:t>Goal 1:</w:t>
      </w:r>
      <w:r w:rsidR="001B6459">
        <w:t xml:space="preserve"> </w:t>
      </w:r>
      <w:r w:rsidR="00C74090">
        <w:t xml:space="preserve">All people with disability who want to work should have the opportunity to work in </w:t>
      </w:r>
      <w:r w:rsidR="00C74090" w:rsidRPr="00E864EA">
        <w:rPr>
          <w:i/>
          <w:iCs/>
        </w:rPr>
        <w:t>all</w:t>
      </w:r>
      <w:r w:rsidR="00C74090">
        <w:t xml:space="preserve"> employment settings. </w:t>
      </w:r>
    </w:p>
    <w:p w14:paraId="4E0858B7" w14:textId="31404EF5" w:rsidR="001F68C3" w:rsidRPr="001F68C3" w:rsidRDefault="004655D5" w:rsidP="00A017E4">
      <w:pPr>
        <w:pStyle w:val="Normal4"/>
        <w:rPr>
          <w:i/>
          <w:iCs/>
        </w:rPr>
      </w:pPr>
      <w:r>
        <w:t xml:space="preserve">This </w:t>
      </w:r>
      <w:r w:rsidR="005C3FBF">
        <w:t xml:space="preserve">goal </w:t>
      </w:r>
      <w:r>
        <w:t>substantially shifts the way employment settings have been conceived of for people</w:t>
      </w:r>
      <w:r w:rsidR="002158FD">
        <w:t xml:space="preserve"> with significant disability</w:t>
      </w:r>
      <w:r w:rsidR="000D1F3A">
        <w:t xml:space="preserve">. It potentially has ramifications for the </w:t>
      </w:r>
      <w:r w:rsidR="000D1F3A">
        <w:rPr>
          <w:i/>
          <w:iCs/>
        </w:rPr>
        <w:t xml:space="preserve">Disability Services Act, 1986, </w:t>
      </w:r>
      <w:proofErr w:type="gramStart"/>
      <w:r w:rsidR="000D1F3A">
        <w:t>and also</w:t>
      </w:r>
      <w:proofErr w:type="gramEnd"/>
      <w:r w:rsidR="000D1F3A">
        <w:t xml:space="preserve"> for the </w:t>
      </w:r>
      <w:r w:rsidR="000D1F3A">
        <w:rPr>
          <w:i/>
          <w:iCs/>
        </w:rPr>
        <w:t>Disability Discrimination Act.</w:t>
      </w:r>
      <w:r w:rsidR="001B6459">
        <w:rPr>
          <w:i/>
          <w:iCs/>
        </w:rPr>
        <w:t xml:space="preserve"> </w:t>
      </w:r>
    </w:p>
    <w:p w14:paraId="4A01A7D7" w14:textId="587793C5" w:rsidR="001163F7" w:rsidRDefault="001F68C3" w:rsidP="00A017E4">
      <w:pPr>
        <w:pStyle w:val="Normal4"/>
        <w:rPr>
          <w:rStyle w:val="Normal4Char"/>
        </w:rPr>
      </w:pPr>
      <w:r w:rsidRPr="001F68C3">
        <w:rPr>
          <w:rFonts w:ascii="Times New Roman" w:eastAsia="Times New Roman" w:hAnsi="Times New Roman" w:cs="Times New Roman"/>
          <w:noProof/>
          <w:lang w:bidi="en-US"/>
        </w:rPr>
        <w:drawing>
          <wp:inline distT="0" distB="0" distL="0" distR="0" wp14:anchorId="7E6CD3F7" wp14:editId="61C7989C">
            <wp:extent cx="5681049" cy="2325660"/>
            <wp:effectExtent l="0" t="0" r="0" b="0"/>
            <wp:docPr id="1" name="Picture 1" descr="Diagram 1 depicts that Employment for people with disability in all settings requires Capacity building of employers, workplaces and employees of disability. This capacity building is comprised of four elements: 1. Active labour programs (including those with an employer focus) that are made available to all people with disability, plus 2. Reasonable adjustments by employers (supported by the Employment Assistance Fund), plus 3. Mainstream education and training (with supports and inclusion), plus 4. Disability focused employment supports and services as well as highly specialised supports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1 depicts that Employment for people with disability in all settings requires Capacity building of employers, workplaces and employees of disability. This capacity building is comprised of four elements: 1. Active labour programs (including those with an employer focus) that are made available to all people with disability, plus 2. Reasonable adjustments by employers (supported by the Employment Assistance Fund), plus 3. Mainstream education and training (with supports and inclusion), plus 4. Disability focused employment supports and services as well as highly specialised supports and services."/>
                    <pic:cNvPicPr/>
                  </pic:nvPicPr>
                  <pic:blipFill>
                    <a:blip r:embed="rId11"/>
                    <a:stretch>
                      <a:fillRect/>
                    </a:stretch>
                  </pic:blipFill>
                  <pic:spPr>
                    <a:xfrm>
                      <a:off x="0" y="0"/>
                      <a:ext cx="5686177" cy="2327759"/>
                    </a:xfrm>
                    <a:prstGeom prst="rect">
                      <a:avLst/>
                    </a:prstGeom>
                  </pic:spPr>
                </pic:pic>
              </a:graphicData>
            </a:graphic>
          </wp:inline>
        </w:drawing>
      </w:r>
    </w:p>
    <w:p w14:paraId="14913FB6" w14:textId="77777777" w:rsidR="001F68C3" w:rsidRDefault="001F68C3" w:rsidP="00A017E4">
      <w:pPr>
        <w:pStyle w:val="Normal4"/>
        <w:rPr>
          <w:rStyle w:val="IntenseEmphasis"/>
        </w:rPr>
      </w:pPr>
    </w:p>
    <w:p w14:paraId="0C187062" w14:textId="2345EC8E" w:rsidR="005C3FBF" w:rsidRPr="005C3FBF" w:rsidRDefault="005C3FBF" w:rsidP="00A017E4">
      <w:pPr>
        <w:pStyle w:val="Normal4"/>
        <w:rPr>
          <w:rStyle w:val="IntenseEmphasis"/>
        </w:rPr>
      </w:pPr>
      <w:r w:rsidRPr="005C3FBF">
        <w:rPr>
          <w:rStyle w:val="IntenseEmphasis"/>
        </w:rPr>
        <w:t>Dismantling segregating policy</w:t>
      </w:r>
    </w:p>
    <w:p w14:paraId="01BF96DF" w14:textId="4A197A87" w:rsidR="003C0AE1" w:rsidRDefault="005C3FBF" w:rsidP="00A017E4">
      <w:pPr>
        <w:pStyle w:val="Normal4"/>
      </w:pPr>
      <w:r>
        <w:t>Current Commonwealth government policy is based on a binary division</w:t>
      </w:r>
      <w:r w:rsidR="003C0AE1">
        <w:t xml:space="preserve">, established by the </w:t>
      </w:r>
      <w:r w:rsidR="003C0AE1">
        <w:rPr>
          <w:i/>
          <w:iCs/>
        </w:rPr>
        <w:t>Disability Services Act 1987,</w:t>
      </w:r>
      <w:r>
        <w:t xml:space="preserve"> between those who can work ‘independently’ and therefore </w:t>
      </w:r>
      <w:r w:rsidR="003C0AE1">
        <w:t>entitled to support to access ‘open employment’ (</w:t>
      </w:r>
      <w:proofErr w:type="gramStart"/>
      <w:r w:rsidR="003C0AE1">
        <w:t>i.e.</w:t>
      </w:r>
      <w:proofErr w:type="gramEnd"/>
      <w:r w:rsidR="003C0AE1">
        <w:t xml:space="preserve"> competitive, integrated employment), and those that are assumed to be unable to work in </w:t>
      </w:r>
      <w:r w:rsidR="00E454F9">
        <w:t xml:space="preserve">open or </w:t>
      </w:r>
      <w:r w:rsidR="003C0AE1">
        <w:t>competitive environments and therefore expected to work in ‘supported employment’ settings (ADEs).</w:t>
      </w:r>
    </w:p>
    <w:p w14:paraId="20A200F6" w14:textId="317C8511" w:rsidR="005C3FBF" w:rsidRPr="00386FAD" w:rsidRDefault="005C3FBF" w:rsidP="00A017E4">
      <w:pPr>
        <w:pStyle w:val="Normal4"/>
      </w:pPr>
      <w:r w:rsidRPr="00386FAD">
        <w:lastRenderedPageBreak/>
        <w:t xml:space="preserve">Commonwealth government active labour market policy </w:t>
      </w:r>
      <w:r w:rsidR="003C0AE1">
        <w:t>and program</w:t>
      </w:r>
      <w:r w:rsidR="00E454F9">
        <w:t>s</w:t>
      </w:r>
      <w:r w:rsidR="003C0AE1">
        <w:t xml:space="preserve"> have similarly offered employment supports linked to concepts of work capacity. </w:t>
      </w:r>
      <w:r w:rsidRPr="00386FAD">
        <w:t xml:space="preserve">This has resulted in a form of structural segregation </w:t>
      </w:r>
      <w:r w:rsidR="003C0AE1">
        <w:t>where</w:t>
      </w:r>
      <w:r w:rsidRPr="00386FAD">
        <w:t xml:space="preserve"> work capacity classifications unlock different levels and types of employment supports, leading some to be locked out of supports</w:t>
      </w:r>
      <w:r w:rsidR="003C0AE1">
        <w:t>.</w:t>
      </w:r>
      <w:r w:rsidR="001B6459">
        <w:t xml:space="preserve"> </w:t>
      </w:r>
      <w:r w:rsidR="003C0AE1">
        <w:t>Employment supports have largely been premised on bifurcated thinking:</w:t>
      </w:r>
      <w:r w:rsidRPr="00386FAD">
        <w:t xml:space="preserve"> customised and ongoing supports </w:t>
      </w:r>
      <w:r w:rsidR="003C0AE1">
        <w:t xml:space="preserve">are only offered to </w:t>
      </w:r>
      <w:r w:rsidRPr="00386FAD">
        <w:t xml:space="preserve">those relegated to ‘supported employment’ </w:t>
      </w:r>
      <w:r>
        <w:t>provided only in specialised settings (ADEs),</w:t>
      </w:r>
      <w:r w:rsidRPr="00386FAD">
        <w:t xml:space="preserve"> </w:t>
      </w:r>
      <w:r w:rsidR="005D03D4">
        <w:t xml:space="preserve">while </w:t>
      </w:r>
      <w:r w:rsidR="003C0AE1">
        <w:t xml:space="preserve">job vacancy </w:t>
      </w:r>
      <w:proofErr w:type="gramStart"/>
      <w:r w:rsidR="003C0AE1">
        <w:t>matching</w:t>
      </w:r>
      <w:proofErr w:type="gramEnd"/>
      <w:r w:rsidR="003C0AE1">
        <w:t xml:space="preserve"> and limited support are offered to those deemed capable of </w:t>
      </w:r>
      <w:r w:rsidRPr="00386FAD">
        <w:t>open employment.</w:t>
      </w:r>
      <w:r w:rsidR="001B6459">
        <w:t xml:space="preserve"> </w:t>
      </w:r>
      <w:r w:rsidRPr="00386FAD">
        <w:t xml:space="preserve">In the main, this </w:t>
      </w:r>
      <w:r w:rsidR="003C0AE1">
        <w:t xml:space="preserve">approach </w:t>
      </w:r>
      <w:r w:rsidRPr="00386FAD">
        <w:t>has locked people with intellectual disability into ADEs.</w:t>
      </w:r>
    </w:p>
    <w:p w14:paraId="020BA4DA" w14:textId="77777777" w:rsidR="005C3FBF" w:rsidRPr="00386FAD" w:rsidRDefault="005C3FBF" w:rsidP="00A017E4">
      <w:pPr>
        <w:pStyle w:val="Normal4"/>
      </w:pPr>
      <w:r w:rsidRPr="00386FAD">
        <w:t>Dismantling the existing models:</w:t>
      </w:r>
    </w:p>
    <w:tbl>
      <w:tblPr>
        <w:tblStyle w:val="TableGrid"/>
        <w:tblW w:w="0" w:type="auto"/>
        <w:tblInd w:w="-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69"/>
        <w:gridCol w:w="709"/>
        <w:gridCol w:w="4253"/>
      </w:tblGrid>
      <w:tr w:rsidR="005C3FBF" w:rsidRPr="00386FAD" w14:paraId="273F8EDD" w14:textId="77777777" w:rsidTr="008B65CB">
        <w:tc>
          <w:tcPr>
            <w:tcW w:w="3969" w:type="dxa"/>
            <w:shd w:val="clear" w:color="auto" w:fill="FFD5D6"/>
          </w:tcPr>
          <w:p w14:paraId="13BFFD9D" w14:textId="77777777" w:rsidR="005C3FBF" w:rsidRPr="00386FAD" w:rsidRDefault="005C3FBF" w:rsidP="009B606C">
            <w:pPr>
              <w:rPr>
                <w:rFonts w:asciiTheme="minorHAnsi" w:hAnsiTheme="minorHAnsi" w:cstheme="minorHAnsi"/>
                <w:b/>
                <w:bCs/>
              </w:rPr>
            </w:pPr>
            <w:r w:rsidRPr="00386FAD">
              <w:rPr>
                <w:rFonts w:asciiTheme="minorHAnsi" w:hAnsiTheme="minorHAnsi" w:cstheme="minorHAnsi"/>
                <w:b/>
                <w:bCs/>
              </w:rPr>
              <w:t>Currently</w:t>
            </w:r>
          </w:p>
        </w:tc>
        <w:tc>
          <w:tcPr>
            <w:tcW w:w="709" w:type="dxa"/>
          </w:tcPr>
          <w:p w14:paraId="47712F47" w14:textId="77777777" w:rsidR="005C3FBF" w:rsidRPr="00386FAD" w:rsidRDefault="005C3FBF" w:rsidP="009B606C">
            <w:pPr>
              <w:jc w:val="center"/>
              <w:rPr>
                <w:rFonts w:asciiTheme="minorHAnsi" w:hAnsiTheme="minorHAnsi" w:cstheme="minorHAnsi"/>
                <w:b/>
                <w:bCs/>
                <w:color w:val="00B050"/>
              </w:rPr>
            </w:pPr>
            <w:r w:rsidRPr="00386FAD">
              <w:rPr>
                <w:rFonts w:asciiTheme="minorHAnsi" w:hAnsiTheme="minorHAnsi" w:cstheme="minorHAnsi"/>
                <w:b/>
                <w:bCs/>
                <w:color w:val="00B050"/>
              </w:rPr>
              <w:t>→</w:t>
            </w:r>
          </w:p>
        </w:tc>
        <w:tc>
          <w:tcPr>
            <w:tcW w:w="4253" w:type="dxa"/>
            <w:shd w:val="clear" w:color="auto" w:fill="DFEEDD" w:themeFill="accent6" w:themeFillTint="33"/>
          </w:tcPr>
          <w:p w14:paraId="5C2F8CF6" w14:textId="77777777" w:rsidR="005C3FBF" w:rsidRPr="00386FAD" w:rsidRDefault="005C3FBF" w:rsidP="009B606C">
            <w:pPr>
              <w:rPr>
                <w:rFonts w:asciiTheme="minorHAnsi" w:hAnsiTheme="minorHAnsi" w:cstheme="minorHAnsi"/>
                <w:b/>
                <w:bCs/>
              </w:rPr>
            </w:pPr>
            <w:r w:rsidRPr="00386FAD">
              <w:rPr>
                <w:rFonts w:asciiTheme="minorHAnsi" w:hAnsiTheme="minorHAnsi" w:cstheme="minorHAnsi"/>
                <w:b/>
                <w:bCs/>
              </w:rPr>
              <w:t>Required</w:t>
            </w:r>
          </w:p>
        </w:tc>
      </w:tr>
      <w:tr w:rsidR="005C3FBF" w:rsidRPr="00386FAD" w14:paraId="382504B7" w14:textId="77777777" w:rsidTr="008B65CB">
        <w:tc>
          <w:tcPr>
            <w:tcW w:w="3969" w:type="dxa"/>
            <w:shd w:val="clear" w:color="auto" w:fill="FFD5D6"/>
          </w:tcPr>
          <w:p w14:paraId="4C58716D" w14:textId="77777777" w:rsidR="005C3FBF" w:rsidRPr="00386FAD" w:rsidRDefault="005C3FBF" w:rsidP="009B606C">
            <w:pPr>
              <w:rPr>
                <w:rFonts w:asciiTheme="minorHAnsi" w:hAnsiTheme="minorHAnsi" w:cstheme="minorHAnsi"/>
              </w:rPr>
            </w:pPr>
            <w:r w:rsidRPr="00386FAD">
              <w:rPr>
                <w:rFonts w:asciiTheme="minorHAnsi" w:hAnsiTheme="minorHAnsi" w:cstheme="minorHAnsi"/>
              </w:rPr>
              <w:t xml:space="preserve">Division between Open and Supported Employment </w:t>
            </w:r>
            <w:proofErr w:type="gramStart"/>
            <w:r w:rsidRPr="00386FAD">
              <w:rPr>
                <w:rFonts w:asciiTheme="minorHAnsi" w:hAnsiTheme="minorHAnsi" w:cstheme="minorHAnsi"/>
              </w:rPr>
              <w:t>i</w:t>
            </w:r>
            <w:r>
              <w:rPr>
                <w:rFonts w:asciiTheme="minorHAnsi" w:hAnsiTheme="minorHAnsi" w:cstheme="minorHAnsi"/>
              </w:rPr>
              <w:t>.</w:t>
            </w:r>
            <w:r w:rsidRPr="00386FAD">
              <w:rPr>
                <w:rFonts w:asciiTheme="minorHAnsi" w:hAnsiTheme="minorHAnsi" w:cstheme="minorHAnsi"/>
              </w:rPr>
              <w:t>e</w:t>
            </w:r>
            <w:r>
              <w:rPr>
                <w:rFonts w:asciiTheme="minorHAnsi" w:hAnsiTheme="minorHAnsi" w:cstheme="minorHAnsi"/>
              </w:rPr>
              <w:t>.</w:t>
            </w:r>
            <w:proofErr w:type="gramEnd"/>
            <w:r w:rsidRPr="00386FAD">
              <w:rPr>
                <w:rFonts w:asciiTheme="minorHAnsi" w:hAnsiTheme="minorHAnsi" w:cstheme="minorHAnsi"/>
              </w:rPr>
              <w:t xml:space="preserve"> only offer high level of ongoing support in Supported Employment</w:t>
            </w:r>
            <w:r>
              <w:rPr>
                <w:rFonts w:asciiTheme="minorHAnsi" w:hAnsiTheme="minorHAnsi" w:cstheme="minorHAnsi"/>
              </w:rPr>
              <w:t xml:space="preserve"> settings</w:t>
            </w:r>
          </w:p>
        </w:tc>
        <w:tc>
          <w:tcPr>
            <w:tcW w:w="709" w:type="dxa"/>
          </w:tcPr>
          <w:p w14:paraId="780444D3" w14:textId="77777777" w:rsidR="005C3FBF" w:rsidRPr="00386FAD" w:rsidRDefault="005C3FBF" w:rsidP="009B606C">
            <w:pPr>
              <w:jc w:val="center"/>
              <w:rPr>
                <w:rFonts w:asciiTheme="minorHAnsi" w:hAnsiTheme="minorHAnsi" w:cstheme="minorHAnsi"/>
                <w:b/>
                <w:bCs/>
                <w:color w:val="00B050"/>
              </w:rPr>
            </w:pPr>
            <w:r w:rsidRPr="00386FAD">
              <w:rPr>
                <w:rFonts w:asciiTheme="minorHAnsi" w:hAnsiTheme="minorHAnsi" w:cstheme="minorHAnsi"/>
                <w:b/>
                <w:bCs/>
                <w:color w:val="00B050"/>
              </w:rPr>
              <w:t>→</w:t>
            </w:r>
          </w:p>
        </w:tc>
        <w:tc>
          <w:tcPr>
            <w:tcW w:w="4253" w:type="dxa"/>
            <w:shd w:val="clear" w:color="auto" w:fill="DFEEDD" w:themeFill="accent6" w:themeFillTint="33"/>
          </w:tcPr>
          <w:p w14:paraId="56D157E0" w14:textId="7A04136F" w:rsidR="005C3FBF" w:rsidRPr="00386FAD" w:rsidRDefault="005C3FBF" w:rsidP="009B606C">
            <w:pPr>
              <w:rPr>
                <w:rFonts w:asciiTheme="minorHAnsi" w:hAnsiTheme="minorHAnsi" w:cstheme="minorHAnsi"/>
              </w:rPr>
            </w:pPr>
            <w:r w:rsidRPr="00386FAD">
              <w:rPr>
                <w:rFonts w:asciiTheme="minorHAnsi" w:hAnsiTheme="minorHAnsi" w:cstheme="minorHAnsi"/>
              </w:rPr>
              <w:t xml:space="preserve">The provision of support (including high levels of ongoing support) </w:t>
            </w:r>
            <w:r w:rsidR="003C0AE1">
              <w:rPr>
                <w:rFonts w:asciiTheme="minorHAnsi" w:hAnsiTheme="minorHAnsi" w:cstheme="minorHAnsi"/>
              </w:rPr>
              <w:t>to be</w:t>
            </w:r>
            <w:r w:rsidRPr="00386FAD">
              <w:rPr>
                <w:rFonts w:asciiTheme="minorHAnsi" w:hAnsiTheme="minorHAnsi" w:cstheme="minorHAnsi"/>
              </w:rPr>
              <w:t xml:space="preserve"> offered in ANY employment</w:t>
            </w:r>
            <w:r>
              <w:rPr>
                <w:rFonts w:asciiTheme="minorHAnsi" w:hAnsiTheme="minorHAnsi" w:cstheme="minorHAnsi"/>
              </w:rPr>
              <w:t xml:space="preserve"> setting</w:t>
            </w:r>
            <w:r w:rsidRPr="00386FAD">
              <w:rPr>
                <w:rFonts w:asciiTheme="minorHAnsi" w:hAnsiTheme="minorHAnsi" w:cstheme="minorHAnsi"/>
              </w:rPr>
              <w:t xml:space="preserve">. </w:t>
            </w:r>
          </w:p>
        </w:tc>
      </w:tr>
      <w:tr w:rsidR="005C3FBF" w:rsidRPr="00386FAD" w14:paraId="61E08F17" w14:textId="77777777" w:rsidTr="008B65CB">
        <w:tc>
          <w:tcPr>
            <w:tcW w:w="3969" w:type="dxa"/>
            <w:shd w:val="clear" w:color="auto" w:fill="FFD5D6"/>
          </w:tcPr>
          <w:p w14:paraId="7F32C03C" w14:textId="77777777" w:rsidR="005C3FBF" w:rsidRPr="00386FAD" w:rsidRDefault="005C3FBF" w:rsidP="009B606C">
            <w:pPr>
              <w:rPr>
                <w:rFonts w:asciiTheme="minorHAnsi" w:hAnsiTheme="minorHAnsi" w:cstheme="minorHAnsi"/>
              </w:rPr>
            </w:pPr>
            <w:r w:rsidRPr="00386FAD">
              <w:rPr>
                <w:rFonts w:asciiTheme="minorHAnsi" w:hAnsiTheme="minorHAnsi" w:cstheme="minorHAnsi"/>
              </w:rPr>
              <w:t xml:space="preserve">Match to existing job vacancy as primary logic of employment services. Job customisation is not provided by ALMP providers including DES. </w:t>
            </w:r>
          </w:p>
        </w:tc>
        <w:tc>
          <w:tcPr>
            <w:tcW w:w="709" w:type="dxa"/>
          </w:tcPr>
          <w:p w14:paraId="5905C33E" w14:textId="77777777" w:rsidR="005C3FBF" w:rsidRPr="00386FAD" w:rsidRDefault="005C3FBF" w:rsidP="009B606C">
            <w:pPr>
              <w:jc w:val="center"/>
              <w:rPr>
                <w:rFonts w:asciiTheme="minorHAnsi" w:hAnsiTheme="minorHAnsi" w:cstheme="minorHAnsi"/>
                <w:b/>
                <w:bCs/>
                <w:color w:val="00B050"/>
              </w:rPr>
            </w:pPr>
            <w:r w:rsidRPr="00386FAD">
              <w:rPr>
                <w:rFonts w:asciiTheme="minorHAnsi" w:hAnsiTheme="minorHAnsi" w:cstheme="minorHAnsi"/>
                <w:b/>
                <w:bCs/>
                <w:color w:val="00B050"/>
              </w:rPr>
              <w:t>→</w:t>
            </w:r>
          </w:p>
        </w:tc>
        <w:tc>
          <w:tcPr>
            <w:tcW w:w="4253" w:type="dxa"/>
            <w:shd w:val="clear" w:color="auto" w:fill="DFEEDD" w:themeFill="accent6" w:themeFillTint="33"/>
          </w:tcPr>
          <w:p w14:paraId="4D200EB2" w14:textId="77777777" w:rsidR="005C3FBF" w:rsidRPr="00386FAD" w:rsidRDefault="005C3FBF" w:rsidP="009B606C">
            <w:pPr>
              <w:rPr>
                <w:rFonts w:asciiTheme="minorHAnsi" w:hAnsiTheme="minorHAnsi" w:cstheme="minorHAnsi"/>
              </w:rPr>
            </w:pPr>
            <w:r w:rsidRPr="00386FAD">
              <w:rPr>
                <w:rFonts w:asciiTheme="minorHAnsi" w:hAnsiTheme="minorHAnsi" w:cstheme="minorHAnsi"/>
              </w:rPr>
              <w:t xml:space="preserve">Job customisation </w:t>
            </w:r>
            <w:r>
              <w:rPr>
                <w:rFonts w:asciiTheme="minorHAnsi" w:hAnsiTheme="minorHAnsi" w:cstheme="minorHAnsi"/>
              </w:rPr>
              <w:t xml:space="preserve">is </w:t>
            </w:r>
            <w:r w:rsidRPr="00386FAD">
              <w:rPr>
                <w:rFonts w:asciiTheme="minorHAnsi" w:hAnsiTheme="minorHAnsi" w:cstheme="minorHAnsi"/>
              </w:rPr>
              <w:t xml:space="preserve">a core employment support widely available for use in all employment settings. Job ‘creation’ and identification </w:t>
            </w:r>
            <w:r>
              <w:rPr>
                <w:rFonts w:asciiTheme="minorHAnsi" w:hAnsiTheme="minorHAnsi" w:cstheme="minorHAnsi"/>
              </w:rPr>
              <w:t xml:space="preserve">is a core strategy </w:t>
            </w:r>
            <w:r w:rsidRPr="00386FAD">
              <w:rPr>
                <w:rFonts w:asciiTheme="minorHAnsi" w:hAnsiTheme="minorHAnsi" w:cstheme="minorHAnsi"/>
              </w:rPr>
              <w:t>alongside job vacancy matching</w:t>
            </w:r>
            <w:r>
              <w:rPr>
                <w:rFonts w:asciiTheme="minorHAnsi" w:hAnsiTheme="minorHAnsi" w:cstheme="minorHAnsi"/>
              </w:rPr>
              <w:t xml:space="preserve"> offered by a range of employment service providers</w:t>
            </w:r>
            <w:r w:rsidRPr="00386FAD">
              <w:rPr>
                <w:rFonts w:asciiTheme="minorHAnsi" w:hAnsiTheme="minorHAnsi" w:cstheme="minorHAnsi"/>
              </w:rPr>
              <w:t>.</w:t>
            </w:r>
          </w:p>
        </w:tc>
      </w:tr>
      <w:tr w:rsidR="005C3FBF" w:rsidRPr="00386FAD" w14:paraId="2DDB23B5" w14:textId="77777777" w:rsidTr="008B65CB">
        <w:tc>
          <w:tcPr>
            <w:tcW w:w="3969" w:type="dxa"/>
            <w:shd w:val="clear" w:color="auto" w:fill="FFD5D6"/>
          </w:tcPr>
          <w:p w14:paraId="7EDE49AE" w14:textId="77777777" w:rsidR="005C3FBF" w:rsidRPr="00386FAD" w:rsidRDefault="005C3FBF" w:rsidP="009B606C">
            <w:pPr>
              <w:rPr>
                <w:rFonts w:asciiTheme="minorHAnsi" w:hAnsiTheme="minorHAnsi" w:cstheme="minorHAnsi"/>
              </w:rPr>
            </w:pPr>
            <w:r w:rsidRPr="00386FAD">
              <w:rPr>
                <w:rFonts w:asciiTheme="minorHAnsi" w:hAnsiTheme="minorHAnsi" w:cstheme="minorHAnsi"/>
              </w:rPr>
              <w:t>DES is only for people who are not already employed</w:t>
            </w:r>
          </w:p>
        </w:tc>
        <w:tc>
          <w:tcPr>
            <w:tcW w:w="709" w:type="dxa"/>
          </w:tcPr>
          <w:p w14:paraId="30BDA0BB" w14:textId="77777777" w:rsidR="005C3FBF" w:rsidRPr="00386FAD" w:rsidRDefault="005C3FBF" w:rsidP="009B606C">
            <w:pPr>
              <w:jc w:val="center"/>
              <w:rPr>
                <w:rFonts w:asciiTheme="minorHAnsi" w:hAnsiTheme="minorHAnsi" w:cstheme="minorHAnsi"/>
                <w:b/>
                <w:bCs/>
                <w:color w:val="00B050"/>
              </w:rPr>
            </w:pPr>
            <w:r w:rsidRPr="00386FAD">
              <w:rPr>
                <w:rFonts w:asciiTheme="minorHAnsi" w:hAnsiTheme="minorHAnsi" w:cstheme="minorHAnsi"/>
                <w:b/>
                <w:bCs/>
                <w:color w:val="00B050"/>
              </w:rPr>
              <w:t>→</w:t>
            </w:r>
          </w:p>
        </w:tc>
        <w:tc>
          <w:tcPr>
            <w:tcW w:w="4253" w:type="dxa"/>
            <w:shd w:val="clear" w:color="auto" w:fill="DFEEDD" w:themeFill="accent6" w:themeFillTint="33"/>
          </w:tcPr>
          <w:p w14:paraId="75CBFDF9" w14:textId="7FA89AD6" w:rsidR="005C3FBF" w:rsidRPr="00386FAD" w:rsidRDefault="005C3FBF" w:rsidP="009B606C">
            <w:pPr>
              <w:rPr>
                <w:rFonts w:asciiTheme="minorHAnsi" w:hAnsiTheme="minorHAnsi" w:cstheme="minorHAnsi"/>
              </w:rPr>
            </w:pPr>
            <w:r w:rsidRPr="00386FAD">
              <w:rPr>
                <w:rFonts w:asciiTheme="minorHAnsi" w:hAnsiTheme="minorHAnsi" w:cstheme="minorHAnsi"/>
              </w:rPr>
              <w:t xml:space="preserve">DES is widely available for all people with disability seeking employment support to access employment, including people moving from employment in ADEs to </w:t>
            </w:r>
            <w:r>
              <w:rPr>
                <w:rFonts w:asciiTheme="minorHAnsi" w:hAnsiTheme="minorHAnsi" w:cstheme="minorHAnsi"/>
              </w:rPr>
              <w:t>other forms of</w:t>
            </w:r>
            <w:r w:rsidRPr="00386FAD">
              <w:rPr>
                <w:rFonts w:asciiTheme="minorHAnsi" w:hAnsiTheme="minorHAnsi" w:cstheme="minorHAnsi"/>
              </w:rPr>
              <w:t xml:space="preserve"> employment</w:t>
            </w:r>
            <w:r w:rsidR="003C0AE1">
              <w:rPr>
                <w:rFonts w:asciiTheme="minorHAnsi" w:hAnsiTheme="minorHAnsi" w:cstheme="minorHAnsi"/>
              </w:rPr>
              <w:t>. DES offers a wider range of employment supports.</w:t>
            </w:r>
          </w:p>
        </w:tc>
      </w:tr>
      <w:tr w:rsidR="005C3FBF" w:rsidRPr="00386FAD" w14:paraId="16A381F7" w14:textId="77777777" w:rsidTr="008B65CB">
        <w:tc>
          <w:tcPr>
            <w:tcW w:w="3969" w:type="dxa"/>
            <w:shd w:val="clear" w:color="auto" w:fill="FFD5D6"/>
          </w:tcPr>
          <w:p w14:paraId="4AF5A01C" w14:textId="77777777" w:rsidR="005C3FBF" w:rsidRPr="00386FAD" w:rsidRDefault="005C3FBF" w:rsidP="009B606C">
            <w:pPr>
              <w:rPr>
                <w:rFonts w:asciiTheme="minorHAnsi" w:hAnsiTheme="minorHAnsi" w:cstheme="minorHAnsi"/>
              </w:rPr>
            </w:pPr>
            <w:r w:rsidRPr="00386FAD">
              <w:rPr>
                <w:rFonts w:asciiTheme="minorHAnsi" w:hAnsiTheme="minorHAnsi" w:cstheme="minorHAnsi"/>
              </w:rPr>
              <w:t xml:space="preserve">Notion of ‘independent’ worker is </w:t>
            </w:r>
            <w:r>
              <w:rPr>
                <w:rFonts w:asciiTheme="minorHAnsi" w:hAnsiTheme="minorHAnsi" w:cstheme="minorHAnsi"/>
              </w:rPr>
              <w:t xml:space="preserve">a </w:t>
            </w:r>
            <w:r w:rsidRPr="00386FAD">
              <w:rPr>
                <w:rFonts w:asciiTheme="minorHAnsi" w:hAnsiTheme="minorHAnsi" w:cstheme="minorHAnsi"/>
              </w:rPr>
              <w:t>pre-requisite for open employment (and related employment support)</w:t>
            </w:r>
          </w:p>
        </w:tc>
        <w:tc>
          <w:tcPr>
            <w:tcW w:w="709" w:type="dxa"/>
          </w:tcPr>
          <w:p w14:paraId="4C0C2558" w14:textId="77777777" w:rsidR="005C3FBF" w:rsidRPr="00386FAD" w:rsidRDefault="005C3FBF" w:rsidP="009B606C">
            <w:pPr>
              <w:jc w:val="center"/>
              <w:rPr>
                <w:rFonts w:asciiTheme="minorHAnsi" w:hAnsiTheme="minorHAnsi" w:cstheme="minorHAnsi"/>
                <w:b/>
                <w:bCs/>
                <w:color w:val="00B050"/>
              </w:rPr>
            </w:pPr>
            <w:r w:rsidRPr="00386FAD">
              <w:rPr>
                <w:rFonts w:asciiTheme="minorHAnsi" w:hAnsiTheme="minorHAnsi" w:cstheme="minorHAnsi"/>
                <w:b/>
                <w:bCs/>
                <w:color w:val="00B050"/>
              </w:rPr>
              <w:t>→</w:t>
            </w:r>
          </w:p>
        </w:tc>
        <w:tc>
          <w:tcPr>
            <w:tcW w:w="4253" w:type="dxa"/>
            <w:shd w:val="clear" w:color="auto" w:fill="DFEEDD" w:themeFill="accent6" w:themeFillTint="33"/>
          </w:tcPr>
          <w:p w14:paraId="09016C46" w14:textId="3C7FA8F8" w:rsidR="005C3FBF" w:rsidRPr="00386FAD" w:rsidRDefault="005C3FBF" w:rsidP="009B606C">
            <w:pPr>
              <w:rPr>
                <w:rFonts w:asciiTheme="minorHAnsi" w:hAnsiTheme="minorHAnsi" w:cstheme="minorHAnsi"/>
              </w:rPr>
            </w:pPr>
            <w:r w:rsidRPr="00386FAD">
              <w:rPr>
                <w:rFonts w:asciiTheme="minorHAnsi" w:hAnsiTheme="minorHAnsi" w:cstheme="minorHAnsi"/>
              </w:rPr>
              <w:t xml:space="preserve">Remove notion of ‘independence’ as a worker, </w:t>
            </w:r>
            <w:proofErr w:type="gramStart"/>
            <w:r w:rsidRPr="00386FAD">
              <w:rPr>
                <w:rFonts w:asciiTheme="minorHAnsi" w:hAnsiTheme="minorHAnsi" w:cstheme="minorHAnsi"/>
              </w:rPr>
              <w:t>i</w:t>
            </w:r>
            <w:r>
              <w:rPr>
                <w:rFonts w:asciiTheme="minorHAnsi" w:hAnsiTheme="minorHAnsi" w:cstheme="minorHAnsi"/>
              </w:rPr>
              <w:t>.</w:t>
            </w:r>
            <w:r w:rsidRPr="00386FAD">
              <w:rPr>
                <w:rFonts w:asciiTheme="minorHAnsi" w:hAnsiTheme="minorHAnsi" w:cstheme="minorHAnsi"/>
              </w:rPr>
              <w:t>e</w:t>
            </w:r>
            <w:r>
              <w:rPr>
                <w:rFonts w:asciiTheme="minorHAnsi" w:hAnsiTheme="minorHAnsi" w:cstheme="minorHAnsi"/>
              </w:rPr>
              <w:t>.</w:t>
            </w:r>
            <w:proofErr w:type="gramEnd"/>
            <w:r w:rsidRPr="00386FAD">
              <w:rPr>
                <w:rFonts w:asciiTheme="minorHAnsi" w:hAnsiTheme="minorHAnsi" w:cstheme="minorHAnsi"/>
              </w:rPr>
              <w:t xml:space="preserve"> a worker does not need to be independent of supports to successfully gain and maintain employment</w:t>
            </w:r>
            <w:r>
              <w:rPr>
                <w:rFonts w:asciiTheme="minorHAnsi" w:hAnsiTheme="minorHAnsi" w:cstheme="minorHAnsi"/>
              </w:rPr>
              <w:t xml:space="preserve"> in any setting</w:t>
            </w:r>
            <w:r w:rsidRPr="00386FAD">
              <w:rPr>
                <w:rFonts w:asciiTheme="minorHAnsi" w:hAnsiTheme="minorHAnsi" w:cstheme="minorHAnsi"/>
              </w:rPr>
              <w:t xml:space="preserve">. </w:t>
            </w:r>
            <w:r>
              <w:rPr>
                <w:rFonts w:asciiTheme="minorHAnsi" w:hAnsiTheme="minorHAnsi" w:cstheme="minorHAnsi"/>
              </w:rPr>
              <w:t>Instead,</w:t>
            </w:r>
            <w:r w:rsidRPr="00386FAD">
              <w:rPr>
                <w:rFonts w:asciiTheme="minorHAnsi" w:hAnsiTheme="minorHAnsi" w:cstheme="minorHAnsi"/>
              </w:rPr>
              <w:t xml:space="preserve"> entitlement to support</w:t>
            </w:r>
            <w:r>
              <w:rPr>
                <w:rFonts w:asciiTheme="minorHAnsi" w:hAnsiTheme="minorHAnsi" w:cstheme="minorHAnsi"/>
              </w:rPr>
              <w:t>s, adjustments</w:t>
            </w:r>
            <w:r w:rsidRPr="00386FAD">
              <w:rPr>
                <w:rFonts w:asciiTheme="minorHAnsi" w:hAnsiTheme="minorHAnsi" w:cstheme="minorHAnsi"/>
              </w:rPr>
              <w:t xml:space="preserve"> and environmental modifications</w:t>
            </w:r>
            <w:r>
              <w:rPr>
                <w:rFonts w:asciiTheme="minorHAnsi" w:hAnsiTheme="minorHAnsi" w:cstheme="minorHAnsi"/>
              </w:rPr>
              <w:t xml:space="preserve"> are routinely recognised and there is access to funded supports ‘beyond reasonable adjustment’ in all employment settings.</w:t>
            </w:r>
            <w:r w:rsidR="001B6459">
              <w:rPr>
                <w:rFonts w:asciiTheme="minorHAnsi" w:hAnsiTheme="minorHAnsi" w:cstheme="minorHAnsi"/>
              </w:rPr>
              <w:t xml:space="preserve"> </w:t>
            </w:r>
          </w:p>
        </w:tc>
      </w:tr>
      <w:tr w:rsidR="005C3FBF" w:rsidRPr="00386FAD" w14:paraId="741DF6CA" w14:textId="77777777" w:rsidTr="008B65CB">
        <w:tc>
          <w:tcPr>
            <w:tcW w:w="3969" w:type="dxa"/>
            <w:shd w:val="clear" w:color="auto" w:fill="FFD5D6"/>
          </w:tcPr>
          <w:p w14:paraId="19BD8D9D" w14:textId="77777777" w:rsidR="005C3FBF" w:rsidRPr="00386FAD" w:rsidRDefault="005C3FBF" w:rsidP="009B606C">
            <w:pPr>
              <w:rPr>
                <w:rFonts w:asciiTheme="minorHAnsi" w:hAnsiTheme="minorHAnsi" w:cstheme="minorHAnsi"/>
              </w:rPr>
            </w:pPr>
            <w:r w:rsidRPr="00386FAD">
              <w:rPr>
                <w:rFonts w:asciiTheme="minorHAnsi" w:hAnsiTheme="minorHAnsi" w:cstheme="minorHAnsi"/>
              </w:rPr>
              <w:t>Employment services focused on narrow band of employment support interventions</w:t>
            </w:r>
          </w:p>
        </w:tc>
        <w:tc>
          <w:tcPr>
            <w:tcW w:w="709" w:type="dxa"/>
          </w:tcPr>
          <w:p w14:paraId="17EE924F" w14:textId="77777777" w:rsidR="005C3FBF" w:rsidRPr="00386FAD" w:rsidRDefault="005C3FBF" w:rsidP="009B606C">
            <w:pPr>
              <w:jc w:val="center"/>
              <w:rPr>
                <w:rFonts w:asciiTheme="minorHAnsi" w:hAnsiTheme="minorHAnsi" w:cstheme="minorHAnsi"/>
                <w:b/>
                <w:bCs/>
                <w:color w:val="00B050"/>
              </w:rPr>
            </w:pPr>
            <w:r w:rsidRPr="00386FAD">
              <w:rPr>
                <w:rFonts w:asciiTheme="minorHAnsi" w:hAnsiTheme="minorHAnsi" w:cstheme="minorHAnsi"/>
                <w:b/>
                <w:bCs/>
                <w:color w:val="00B050"/>
              </w:rPr>
              <w:t>→</w:t>
            </w:r>
          </w:p>
        </w:tc>
        <w:tc>
          <w:tcPr>
            <w:tcW w:w="4253" w:type="dxa"/>
            <w:shd w:val="clear" w:color="auto" w:fill="DFEEDD" w:themeFill="accent6" w:themeFillTint="33"/>
          </w:tcPr>
          <w:p w14:paraId="366FA51C" w14:textId="27196422" w:rsidR="005C3FBF" w:rsidRPr="00386FAD" w:rsidRDefault="005C3FBF" w:rsidP="009B606C">
            <w:pPr>
              <w:rPr>
                <w:rFonts w:asciiTheme="minorHAnsi" w:hAnsiTheme="minorHAnsi" w:cstheme="minorHAnsi"/>
              </w:rPr>
            </w:pPr>
            <w:r w:rsidRPr="00386FAD">
              <w:rPr>
                <w:rFonts w:asciiTheme="minorHAnsi" w:hAnsiTheme="minorHAnsi" w:cstheme="minorHAnsi"/>
              </w:rPr>
              <w:t>Wide focus of employment services aligned to addressing biopsychosocial barriers to employment</w:t>
            </w:r>
            <w:r>
              <w:rPr>
                <w:rFonts w:asciiTheme="minorHAnsi" w:hAnsiTheme="minorHAnsi" w:cstheme="minorHAnsi"/>
              </w:rPr>
              <w:t xml:space="preserve"> targeting the jobseeker, employer and workplace, and broader social and systemic contexts.</w:t>
            </w:r>
          </w:p>
        </w:tc>
      </w:tr>
      <w:tr w:rsidR="005C3FBF" w:rsidRPr="00386FAD" w14:paraId="2F9CA96A" w14:textId="77777777" w:rsidTr="008B65CB">
        <w:tc>
          <w:tcPr>
            <w:tcW w:w="3969" w:type="dxa"/>
            <w:shd w:val="clear" w:color="auto" w:fill="FFD5D6"/>
          </w:tcPr>
          <w:p w14:paraId="3C91987F" w14:textId="77777777" w:rsidR="005C3FBF" w:rsidRPr="00386FAD" w:rsidRDefault="005C3FBF" w:rsidP="009B606C">
            <w:pPr>
              <w:rPr>
                <w:rFonts w:asciiTheme="minorHAnsi" w:hAnsiTheme="minorHAnsi" w:cstheme="minorHAnsi"/>
              </w:rPr>
            </w:pPr>
            <w:r>
              <w:rPr>
                <w:rFonts w:asciiTheme="minorHAnsi" w:hAnsiTheme="minorHAnsi" w:cstheme="minorHAnsi"/>
              </w:rPr>
              <w:t>‘Supported wages’ that lock people into subminimum wage levels</w:t>
            </w:r>
          </w:p>
        </w:tc>
        <w:tc>
          <w:tcPr>
            <w:tcW w:w="709" w:type="dxa"/>
          </w:tcPr>
          <w:p w14:paraId="38941661" w14:textId="77777777" w:rsidR="005C3FBF" w:rsidRPr="00386FAD" w:rsidRDefault="005C3FBF" w:rsidP="009B606C">
            <w:pPr>
              <w:jc w:val="center"/>
              <w:rPr>
                <w:rFonts w:asciiTheme="minorHAnsi" w:hAnsiTheme="minorHAnsi" w:cstheme="minorHAnsi"/>
                <w:b/>
                <w:bCs/>
                <w:color w:val="00B050"/>
              </w:rPr>
            </w:pPr>
            <w:r w:rsidRPr="00386FAD">
              <w:rPr>
                <w:rFonts w:asciiTheme="minorHAnsi" w:hAnsiTheme="minorHAnsi" w:cstheme="minorHAnsi"/>
                <w:b/>
                <w:bCs/>
                <w:color w:val="00B050"/>
              </w:rPr>
              <w:t>→</w:t>
            </w:r>
          </w:p>
        </w:tc>
        <w:tc>
          <w:tcPr>
            <w:tcW w:w="4253" w:type="dxa"/>
            <w:shd w:val="clear" w:color="auto" w:fill="DFEEDD" w:themeFill="accent6" w:themeFillTint="33"/>
          </w:tcPr>
          <w:p w14:paraId="242B63B4" w14:textId="36D9001B" w:rsidR="005C3FBF" w:rsidRPr="00386FAD" w:rsidRDefault="003C0AE1" w:rsidP="009B606C">
            <w:pPr>
              <w:rPr>
                <w:rFonts w:asciiTheme="minorHAnsi" w:hAnsiTheme="minorHAnsi" w:cstheme="minorHAnsi"/>
              </w:rPr>
            </w:pPr>
            <w:r>
              <w:rPr>
                <w:rFonts w:asciiTheme="minorHAnsi" w:hAnsiTheme="minorHAnsi" w:cstheme="minorHAnsi"/>
              </w:rPr>
              <w:t xml:space="preserve">If retained, </w:t>
            </w:r>
            <w:r w:rsidR="005C3FBF">
              <w:rPr>
                <w:rFonts w:asciiTheme="minorHAnsi" w:hAnsiTheme="minorHAnsi" w:cstheme="minorHAnsi"/>
              </w:rPr>
              <w:t xml:space="preserve">‘Supported wages’ explicitly require evidence of supports and adjustments </w:t>
            </w:r>
            <w:r>
              <w:rPr>
                <w:rFonts w:asciiTheme="minorHAnsi" w:hAnsiTheme="minorHAnsi" w:cstheme="minorHAnsi"/>
              </w:rPr>
              <w:t>that function to</w:t>
            </w:r>
            <w:r w:rsidR="005C3FBF">
              <w:rPr>
                <w:rFonts w:asciiTheme="minorHAnsi" w:hAnsiTheme="minorHAnsi" w:cstheme="minorHAnsi"/>
              </w:rPr>
              <w:t xml:space="preserve"> maximise productivity and employment opportunities</w:t>
            </w:r>
          </w:p>
        </w:tc>
      </w:tr>
    </w:tbl>
    <w:p w14:paraId="6CD868BF" w14:textId="77777777" w:rsidR="00E1649F" w:rsidRPr="00FB5E9B" w:rsidRDefault="00E1649F" w:rsidP="00E1649F"/>
    <w:p w14:paraId="55C8B816" w14:textId="20B10668" w:rsidR="005C3FBF" w:rsidRDefault="005C3FBF" w:rsidP="00A017E4">
      <w:pPr>
        <w:pStyle w:val="Normal4"/>
      </w:pPr>
      <w:r>
        <w:t>The frame for this policy shift is a commitment to the equal entitlement to employment in all settings for people with intellectual disability. Underpinning this is a dismantling of concepts of ‘open’ and ‘supported employment’, replac</w:t>
      </w:r>
      <w:r w:rsidR="00300F0E">
        <w:t>ing these with</w:t>
      </w:r>
      <w:r>
        <w:t xml:space="preserve"> a standard of high quality, inclusive employment that applies to all settings.</w:t>
      </w:r>
    </w:p>
    <w:p w14:paraId="104B0DF2" w14:textId="77777777" w:rsidR="005C3FBF" w:rsidRDefault="005C3FBF" w:rsidP="00A017E4">
      <w:pPr>
        <w:pStyle w:val="Normal4"/>
      </w:pPr>
      <w:r>
        <w:rPr>
          <w:noProof/>
        </w:rPr>
        <w:lastRenderedPageBreak/>
        <mc:AlternateContent>
          <mc:Choice Requires="wps">
            <w:drawing>
              <wp:inline distT="0" distB="0" distL="0" distR="0" wp14:anchorId="73721DE9" wp14:editId="4BDC08F2">
                <wp:extent cx="5189220" cy="2256155"/>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220" cy="2256155"/>
                        </a:xfrm>
                        <a:prstGeom prst="rect">
                          <a:avLst/>
                        </a:prstGeom>
                        <a:solidFill>
                          <a:schemeClr val="bg1">
                            <a:lumMod val="95000"/>
                          </a:schemeClr>
                        </a:solidFill>
                        <a:ln w="9525">
                          <a:noFill/>
                          <a:miter lim="800000"/>
                          <a:headEnd/>
                          <a:tailEnd/>
                        </a:ln>
                      </wps:spPr>
                      <wps:txbx>
                        <w:txbxContent>
                          <w:p w14:paraId="6FB20F23" w14:textId="67980A78" w:rsidR="005C3FBF" w:rsidRPr="00484DE4" w:rsidRDefault="005C3FBF" w:rsidP="005C3FBF">
                            <w:pPr>
                              <w:pStyle w:val="dotpoints"/>
                              <w:numPr>
                                <w:ilvl w:val="0"/>
                                <w:numId w:val="0"/>
                              </w:numPr>
                            </w:pPr>
                            <w:r w:rsidRPr="00484DE4">
                              <w:t>High quality</w:t>
                            </w:r>
                            <w:r>
                              <w:t>, inclusive</w:t>
                            </w:r>
                            <w:r w:rsidRPr="00484DE4">
                              <w:t xml:space="preserve"> employment</w:t>
                            </w:r>
                            <w:r w:rsidR="00300F0E">
                              <w:t xml:space="preserve"> should be available in all settings and</w:t>
                            </w:r>
                            <w:r w:rsidRPr="00484DE4">
                              <w:t xml:space="preserve"> is characterised by:</w:t>
                            </w:r>
                          </w:p>
                          <w:p w14:paraId="1CFBAE9F" w14:textId="1EE5A914" w:rsidR="005C3FBF" w:rsidRPr="00484DE4" w:rsidRDefault="005C3FBF" w:rsidP="005C3FBF">
                            <w:pPr>
                              <w:pStyle w:val="dotpoints"/>
                            </w:pPr>
                            <w:r w:rsidRPr="00484DE4">
                              <w:t xml:space="preserve">work </w:t>
                            </w:r>
                            <w:r>
                              <w:t xml:space="preserve">that </w:t>
                            </w:r>
                            <w:r w:rsidRPr="00484DE4">
                              <w:t>holds value for the employee with disability</w:t>
                            </w:r>
                          </w:p>
                          <w:p w14:paraId="7E66DBCE" w14:textId="77777777" w:rsidR="005C3FBF" w:rsidRDefault="005C3FBF" w:rsidP="005C3FBF">
                            <w:pPr>
                              <w:pStyle w:val="dotpoints"/>
                            </w:pPr>
                            <w:r w:rsidRPr="00484DE4">
                              <w:t xml:space="preserve">relevant and adequate supports </w:t>
                            </w:r>
                            <w:r>
                              <w:t>being provided, including funding for higher levels of job customisations and ongoing support (‘supported employment’)</w:t>
                            </w:r>
                          </w:p>
                          <w:p w14:paraId="4B0B6A11" w14:textId="77777777" w:rsidR="005C3FBF" w:rsidRPr="00484DE4" w:rsidRDefault="005C3FBF" w:rsidP="005C3FBF">
                            <w:pPr>
                              <w:pStyle w:val="dotpoints"/>
                            </w:pPr>
                            <w:r w:rsidRPr="00484DE4">
                              <w:t xml:space="preserve">integrated workforces (of people with and without disability) and/or </w:t>
                            </w:r>
                          </w:p>
                          <w:p w14:paraId="0FF0EE50" w14:textId="77777777" w:rsidR="005C3FBF" w:rsidRDefault="005C3FBF" w:rsidP="005C3FBF">
                            <w:pPr>
                              <w:pStyle w:val="dotpoints"/>
                            </w:pPr>
                            <w:r w:rsidRPr="00484DE4">
                              <w:t xml:space="preserve">integrated work settings (where work is community-facing or </w:t>
                            </w:r>
                            <w:r>
                              <w:t xml:space="preserve">located </w:t>
                            </w:r>
                            <w:r w:rsidRPr="00484DE4">
                              <w:t xml:space="preserve">in non-disability specific settings and industry workplaces), </w:t>
                            </w:r>
                            <w:r>
                              <w:t>and/or</w:t>
                            </w:r>
                          </w:p>
                          <w:p w14:paraId="28F32843" w14:textId="77777777" w:rsidR="005C3FBF" w:rsidRDefault="005C3FBF" w:rsidP="005C3FBF">
                            <w:pPr>
                              <w:pStyle w:val="dotpoints"/>
                            </w:pPr>
                            <w:r>
                              <w:t>highly effective pathways to integrated or hybrid employment</w:t>
                            </w:r>
                          </w:p>
                          <w:p w14:paraId="5B7B34B6" w14:textId="5B7CC296" w:rsidR="005C3FBF" w:rsidRPr="00484DE4" w:rsidRDefault="005C3FBF" w:rsidP="00694B1C">
                            <w:pPr>
                              <w:pStyle w:val="dotpoints"/>
                            </w:pPr>
                            <w:r>
                              <w:t>adequate remuneration.</w:t>
                            </w:r>
                          </w:p>
                        </w:txbxContent>
                      </wps:txbx>
                      <wps:bodyPr rot="0" vert="horz" wrap="square" lIns="91440" tIns="45720" rIns="91440" bIns="45720" anchor="t" anchorCtr="0">
                        <a:noAutofit/>
                      </wps:bodyPr>
                    </wps:wsp>
                  </a:graphicData>
                </a:graphic>
              </wp:inline>
            </w:drawing>
          </mc:Choice>
          <mc:Fallback>
            <w:pict>
              <v:shapetype w14:anchorId="73721DE9" id="_x0000_t202" coordsize="21600,21600" o:spt="202" path="m,l,21600r21600,l21600,xe">
                <v:stroke joinstyle="miter"/>
                <v:path gradientshapeok="t" o:connecttype="rect"/>
              </v:shapetype>
              <v:shape id="Text Box 2" o:spid="_x0000_s1026" type="#_x0000_t202" style="width:408.6pt;height:1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" fillcolor="#f2f2f2 [3052]" stroked="f">
                <v:textbox>
                  <w:txbxContent>
                    <w:p w14:paraId="6FB20F23" w14:textId="67980A78" w:rsidR="005C3FBF" w:rsidRPr="00484DE4" w:rsidRDefault="005C3FBF" w:rsidP="005C3FBF">
                      <w:pPr>
                        <w:pStyle w:val="dotpoints"/>
                        <w:numPr>
                          <w:ilvl w:val="0"/>
                          <w:numId w:val="0"/>
                        </w:numPr>
                      </w:pPr>
                      <w:r w:rsidRPr="00484DE4">
                        <w:t>High quality</w:t>
                      </w:r>
                      <w:r>
                        <w:t>, inclusive</w:t>
                      </w:r>
                      <w:r w:rsidRPr="00484DE4">
                        <w:t xml:space="preserve"> employment</w:t>
                      </w:r>
                      <w:r w:rsidR="00300F0E">
                        <w:t xml:space="preserve"> should be available in all settings and</w:t>
                      </w:r>
                      <w:r w:rsidRPr="00484DE4">
                        <w:t xml:space="preserve"> is characterised by:</w:t>
                      </w:r>
                    </w:p>
                    <w:p w14:paraId="1CFBAE9F" w14:textId="1EE5A914" w:rsidR="005C3FBF" w:rsidRPr="00484DE4" w:rsidRDefault="005C3FBF" w:rsidP="005C3FBF">
                      <w:pPr>
                        <w:pStyle w:val="dotpoints"/>
                      </w:pPr>
                      <w:r w:rsidRPr="00484DE4">
                        <w:t xml:space="preserve">work </w:t>
                      </w:r>
                      <w:r>
                        <w:t xml:space="preserve">that </w:t>
                      </w:r>
                      <w:r w:rsidRPr="00484DE4">
                        <w:t>holds value for the employee with disability</w:t>
                      </w:r>
                    </w:p>
                    <w:p w14:paraId="7E66DBCE" w14:textId="77777777" w:rsidR="005C3FBF" w:rsidRDefault="005C3FBF" w:rsidP="005C3FBF">
                      <w:pPr>
                        <w:pStyle w:val="dotpoints"/>
                      </w:pPr>
                      <w:r w:rsidRPr="00484DE4">
                        <w:t xml:space="preserve">relevant and adequate supports </w:t>
                      </w:r>
                      <w:r>
                        <w:t>being provided, including funding for higher levels of job customisations and ongoing support (‘supported employment’)</w:t>
                      </w:r>
                    </w:p>
                    <w:p w14:paraId="4B0B6A11" w14:textId="77777777" w:rsidR="005C3FBF" w:rsidRPr="00484DE4" w:rsidRDefault="005C3FBF" w:rsidP="005C3FBF">
                      <w:pPr>
                        <w:pStyle w:val="dotpoints"/>
                      </w:pPr>
                      <w:r w:rsidRPr="00484DE4">
                        <w:t xml:space="preserve">integrated workforces (of people with and without disability) and/or </w:t>
                      </w:r>
                    </w:p>
                    <w:p w14:paraId="0FF0EE50" w14:textId="77777777" w:rsidR="005C3FBF" w:rsidRDefault="005C3FBF" w:rsidP="005C3FBF">
                      <w:pPr>
                        <w:pStyle w:val="dotpoints"/>
                      </w:pPr>
                      <w:r w:rsidRPr="00484DE4">
                        <w:t xml:space="preserve">integrated work settings (where work is community-facing or </w:t>
                      </w:r>
                      <w:r>
                        <w:t xml:space="preserve">located </w:t>
                      </w:r>
                      <w:r w:rsidRPr="00484DE4">
                        <w:t xml:space="preserve">in non-disability specific settings and industry workplaces), </w:t>
                      </w:r>
                      <w:r>
                        <w:t>and/or</w:t>
                      </w:r>
                    </w:p>
                    <w:p w14:paraId="28F32843" w14:textId="77777777" w:rsidR="005C3FBF" w:rsidRDefault="005C3FBF" w:rsidP="005C3FBF">
                      <w:pPr>
                        <w:pStyle w:val="dotpoints"/>
                      </w:pPr>
                      <w:r>
                        <w:t>highly effective pathways to integrated or hybrid employment</w:t>
                      </w:r>
                    </w:p>
                    <w:p w14:paraId="5B7B34B6" w14:textId="5B7CC296" w:rsidR="005C3FBF" w:rsidRPr="00484DE4" w:rsidRDefault="005C3FBF" w:rsidP="00694B1C">
                      <w:pPr>
                        <w:pStyle w:val="dotpoints"/>
                      </w:pPr>
                      <w:r>
                        <w:t>adequate remuneration.</w:t>
                      </w:r>
                    </w:p>
                  </w:txbxContent>
                </v:textbox>
                <w10:anchorlock/>
              </v:shape>
            </w:pict>
          </mc:Fallback>
        </mc:AlternateContent>
      </w:r>
    </w:p>
    <w:p w14:paraId="09BCB420" w14:textId="77777777" w:rsidR="00E1649F" w:rsidRPr="00FB5E9B" w:rsidRDefault="00E1649F" w:rsidP="00E1649F"/>
    <w:p w14:paraId="1C5A808E" w14:textId="02160A39" w:rsidR="008B65CB" w:rsidRPr="008B65CB" w:rsidRDefault="008B65CB" w:rsidP="008B65CB">
      <w:pPr>
        <w:pStyle w:val="BlackSubheadingItalic"/>
        <w:rPr>
          <w:rFonts w:cs="Arial"/>
          <w:shd w:val="clear" w:color="auto" w:fill="FFFFFF" w:themeFill="background1"/>
        </w:rPr>
      </w:pPr>
      <w:r>
        <w:rPr>
          <w:rStyle w:val="Normal4Char"/>
        </w:rPr>
        <w:t>Goal 2:</w:t>
      </w:r>
      <w:r w:rsidR="001B6459">
        <w:rPr>
          <w:rStyle w:val="Normal4Char"/>
        </w:rPr>
        <w:t xml:space="preserve"> </w:t>
      </w:r>
      <w:r w:rsidR="001163F7">
        <w:rPr>
          <w:rStyle w:val="Normal4Char"/>
        </w:rPr>
        <w:t>Peopl</w:t>
      </w:r>
      <w:r w:rsidR="006F4F41" w:rsidRPr="006F4F41">
        <w:rPr>
          <w:rStyle w:val="Normal4Char"/>
        </w:rPr>
        <w:t xml:space="preserve">e </w:t>
      </w:r>
      <w:r w:rsidR="006F4F41" w:rsidRPr="004A48E5">
        <w:rPr>
          <w:rStyle w:val="Normal4Char"/>
        </w:rPr>
        <w:t>with</w:t>
      </w:r>
      <w:r w:rsidR="001163F7" w:rsidRPr="004A48E5">
        <w:rPr>
          <w:rStyle w:val="Normal4Char"/>
        </w:rPr>
        <w:t xml:space="preserve"> </w:t>
      </w:r>
      <w:r w:rsidR="006F4F41" w:rsidRPr="004A48E5">
        <w:rPr>
          <w:rStyle w:val="Normal4Char"/>
        </w:rPr>
        <w:t>disability</w:t>
      </w:r>
      <w:r w:rsidR="001163F7" w:rsidRPr="004A48E5">
        <w:rPr>
          <w:rStyle w:val="Normal4Char"/>
        </w:rPr>
        <w:t xml:space="preserve"> receive an appropriate range and level of employment supports to </w:t>
      </w:r>
      <w:r w:rsidR="001163F7" w:rsidRPr="004A48E5">
        <w:rPr>
          <w:rStyle w:val="Normal4Char"/>
          <w:i/>
          <w:iCs/>
        </w:rPr>
        <w:t>enable them to perform at their best in a workplace that fully supports them to do so</w:t>
      </w:r>
      <w:r w:rsidR="001163F7" w:rsidRPr="004A48E5">
        <w:rPr>
          <w:rStyle w:val="Normal4Char"/>
        </w:rPr>
        <w:t>.</w:t>
      </w:r>
    </w:p>
    <w:p w14:paraId="74A83B8C" w14:textId="6923C571" w:rsidR="005C3FBF" w:rsidRDefault="005C3FBF" w:rsidP="00A017E4">
      <w:pPr>
        <w:pStyle w:val="Normal4"/>
      </w:pPr>
      <w:r>
        <w:t>To achieve the first goal of employment in all settings, people with disability and employers need access to an appropriate range and level of employment supports.</w:t>
      </w:r>
    </w:p>
    <w:p w14:paraId="77E43322" w14:textId="6977AB6E" w:rsidR="00BA7D92" w:rsidRDefault="001163F7" w:rsidP="00A017E4">
      <w:pPr>
        <w:pStyle w:val="Normal4"/>
      </w:pPr>
      <w:r>
        <w:t xml:space="preserve">This substantially shifts the way work capacity is understood where capacity is linked to the provision of appropriate supports and the removal/remediation of barriers to employment. </w:t>
      </w:r>
      <w:r w:rsidR="00BA7D92">
        <w:t xml:space="preserve">In this context the focus shifts from work capacity to </w:t>
      </w:r>
      <w:r w:rsidR="00D2126A">
        <w:t xml:space="preserve">strategies and support for </w:t>
      </w:r>
      <w:r w:rsidR="00BA7D92">
        <w:t>capacity building (of both the employer/workplace and the jobseeker/employee with disability). Suitable employment is</w:t>
      </w:r>
      <w:r>
        <w:t xml:space="preserve"> dependent on</w:t>
      </w:r>
      <w:r w:rsidR="00BA7D92">
        <w:t>:</w:t>
      </w:r>
    </w:p>
    <w:p w14:paraId="4E7AE7E0" w14:textId="5C1E5936" w:rsidR="00BA7D92" w:rsidRDefault="001163F7" w:rsidP="00FA5255">
      <w:pPr>
        <w:pStyle w:val="lettereddotpoint"/>
      </w:pPr>
      <w:r w:rsidRPr="00BA7D92">
        <w:t>reasonable adjustments being made by the employer (with the support of the Commonwealth government, for example via the Employment Assistance Fund or other mechanisms like tax rebates</w:t>
      </w:r>
      <w:proofErr w:type="gramStart"/>
      <w:r w:rsidRPr="00BA7D92">
        <w:t>);</w:t>
      </w:r>
      <w:proofErr w:type="gramEnd"/>
      <w:r w:rsidRPr="00BA7D92">
        <w:t xml:space="preserve"> </w:t>
      </w:r>
    </w:p>
    <w:p w14:paraId="5E7A0B14" w14:textId="5A803CF2" w:rsidR="00BA7D92" w:rsidRDefault="001163F7" w:rsidP="00FA5255">
      <w:pPr>
        <w:pStyle w:val="lettereddotpoint"/>
      </w:pPr>
      <w:r w:rsidRPr="00BA7D92">
        <w:t>the provision of other employment supports (targeting the jobseeker and/or employer)</w:t>
      </w:r>
      <w:r w:rsidR="00BA7D92">
        <w:t xml:space="preserve">. Employment supports </w:t>
      </w:r>
      <w:r w:rsidRPr="00BA7D92">
        <w:t>should be both universal and specialist supports</w:t>
      </w:r>
      <w:r w:rsidR="00BA7D92">
        <w:t xml:space="preserve">, with entitlements to </w:t>
      </w:r>
      <w:proofErr w:type="gramStart"/>
      <w:r w:rsidR="00BA7D92">
        <w:t>both</w:t>
      </w:r>
      <w:r w:rsidRPr="00BA7D92">
        <w:t>;</w:t>
      </w:r>
      <w:proofErr w:type="gramEnd"/>
    </w:p>
    <w:p w14:paraId="1B954A88" w14:textId="0E4788E3" w:rsidR="00FA5255" w:rsidRDefault="001163F7" w:rsidP="00FA5255">
      <w:pPr>
        <w:pStyle w:val="lettereddotpoint"/>
      </w:pPr>
      <w:r w:rsidRPr="00BA7D92">
        <w:t xml:space="preserve">the provision of </w:t>
      </w:r>
      <w:r w:rsidR="00BA7D92">
        <w:t xml:space="preserve">additional </w:t>
      </w:r>
      <w:r w:rsidR="005C3FBF" w:rsidRPr="00BA7D92">
        <w:t xml:space="preserve">highly specialised supports where ‘beyond reasonable’ adjustments and supports are required, such as high levels of job customisation, </w:t>
      </w:r>
      <w:proofErr w:type="gramStart"/>
      <w:r w:rsidR="005C3FBF" w:rsidRPr="00BA7D92">
        <w:t>adaptations</w:t>
      </w:r>
      <w:proofErr w:type="gramEnd"/>
      <w:r w:rsidR="005C3FBF" w:rsidRPr="00BA7D92">
        <w:t xml:space="preserve"> and on-going support</w:t>
      </w:r>
      <w:r w:rsidR="005C3FBF">
        <w:t xml:space="preserve"> (to both employer/workplace and employee).</w:t>
      </w:r>
    </w:p>
    <w:p w14:paraId="66F438DF" w14:textId="77777777" w:rsidR="00FA5255" w:rsidRPr="00FA5255" w:rsidRDefault="00FA5255" w:rsidP="00A017E4">
      <w:pPr>
        <w:pStyle w:val="Normal4"/>
        <w:rPr>
          <w:rStyle w:val="IntenseEmphasis"/>
        </w:rPr>
      </w:pPr>
      <w:r w:rsidRPr="00FA5255">
        <w:rPr>
          <w:rStyle w:val="IntenseEmphasis"/>
        </w:rPr>
        <w:t xml:space="preserve">A non-segregated employment support system: equal access to all employment services </w:t>
      </w:r>
    </w:p>
    <w:p w14:paraId="343AA44A" w14:textId="0D993E17" w:rsidR="008B65CB" w:rsidRDefault="00FA5255" w:rsidP="00A017E4">
      <w:pPr>
        <w:pStyle w:val="Normal4"/>
      </w:pPr>
      <w:r w:rsidRPr="00386FAD">
        <w:t xml:space="preserve">The type and availability of employment supports </w:t>
      </w:r>
      <w:r>
        <w:t>should not</w:t>
      </w:r>
      <w:r w:rsidRPr="00386FAD">
        <w:t xml:space="preserve"> be limited by the type of income support payment a person is entitled to nor the assessment of ‘productivity’ or ‘work capacity’. All citizens should have the same right to access employment supports </w:t>
      </w:r>
      <w:r>
        <w:t>funded</w:t>
      </w:r>
      <w:r w:rsidRPr="00386FAD">
        <w:t xml:space="preserve"> by Government. Assessments of additional barriers or need should unlock </w:t>
      </w:r>
      <w:r w:rsidRPr="009E7AAC">
        <w:rPr>
          <w:i/>
          <w:iCs/>
        </w:rPr>
        <w:t xml:space="preserve">additional </w:t>
      </w:r>
      <w:r w:rsidRPr="00386FAD">
        <w:t>supports, not relegate individuals to a more limited form of employment supports and employment options. (See Paper 1)</w:t>
      </w:r>
      <w:r w:rsidR="004F0873">
        <w:t>.</w:t>
      </w:r>
      <w:r>
        <w:t xml:space="preserve"> </w:t>
      </w:r>
      <w:r w:rsidRPr="00386FAD">
        <w:t xml:space="preserve">Access to upgraded or specialised services should be available in addition to, work in collaboration with, and not replace the right of entitlement to, ‘mainstream’ </w:t>
      </w:r>
      <w:r>
        <w:t xml:space="preserve">or universal </w:t>
      </w:r>
      <w:r w:rsidRPr="00386FAD">
        <w:t>employment supports and services.</w:t>
      </w:r>
    </w:p>
    <w:p w14:paraId="4AEFAE01" w14:textId="77777777" w:rsidR="00241880" w:rsidRDefault="00241880" w:rsidP="00A017E4">
      <w:pPr>
        <w:pStyle w:val="Normal4"/>
      </w:pPr>
    </w:p>
    <w:p w14:paraId="34927C82" w14:textId="3696D836" w:rsidR="00FA5255" w:rsidRPr="00FA5255" w:rsidRDefault="00FA5255" w:rsidP="00A017E4">
      <w:pPr>
        <w:pStyle w:val="Normal4"/>
        <w:rPr>
          <w:rStyle w:val="IntenseEmphasis"/>
        </w:rPr>
      </w:pPr>
      <w:r>
        <w:rPr>
          <w:rStyle w:val="IntenseEmphasis"/>
        </w:rPr>
        <w:lastRenderedPageBreak/>
        <w:t>E</w:t>
      </w:r>
      <w:r w:rsidRPr="00FA5255">
        <w:rPr>
          <w:rStyle w:val="IntenseEmphasis"/>
        </w:rPr>
        <w:t>mployment supports and services that directly address the full range of (biopsychosocial) barriers to employment</w:t>
      </w:r>
    </w:p>
    <w:p w14:paraId="72BF6496" w14:textId="75AF93C4" w:rsidR="00FA5255" w:rsidRPr="00386FAD" w:rsidRDefault="00FA5255" w:rsidP="00A017E4">
      <w:pPr>
        <w:pStyle w:val="Normal4"/>
      </w:pPr>
      <w:r w:rsidRPr="00386FAD">
        <w:t>Employment supports and services need to be designed to be appropriate to the needs of jobseekers with intellectual disability.</w:t>
      </w:r>
      <w:r w:rsidR="001B6459">
        <w:t xml:space="preserve"> </w:t>
      </w:r>
      <w:r w:rsidR="009D7180">
        <w:t xml:space="preserve">This includes a re-design of existing active labour market programs to ensure they include all people with disability and supply relevant employment supports. </w:t>
      </w:r>
      <w:r w:rsidRPr="00386FAD">
        <w:t xml:space="preserve">Effective employment supports are those that address the barriers to employment for </w:t>
      </w:r>
      <w:proofErr w:type="gramStart"/>
      <w:r w:rsidRPr="00386FAD">
        <w:t>each individual</w:t>
      </w:r>
      <w:proofErr w:type="gramEnd"/>
      <w:r>
        <w:t xml:space="preserve"> </w:t>
      </w:r>
      <w:r w:rsidRPr="00386FAD">
        <w:t xml:space="preserve">across a wide range of focuses. Jobseekers with disability need to be able to select from the whole range of inclusive mainstream employment services </w:t>
      </w:r>
      <w:r w:rsidRPr="00386FAD">
        <w:rPr>
          <w:i/>
          <w:iCs/>
        </w:rPr>
        <w:t>and</w:t>
      </w:r>
      <w:r w:rsidRPr="00386FAD">
        <w:t xml:space="preserve"> a specialised set of employment services, not be streamed into one or another. (See Paper 2)</w:t>
      </w:r>
      <w:r w:rsidR="004F0873">
        <w:t>.</w:t>
      </w:r>
    </w:p>
    <w:p w14:paraId="3382B4C5" w14:textId="53F16C9A" w:rsidR="00FA5255" w:rsidRPr="00FA5255" w:rsidRDefault="00FA5255" w:rsidP="00A017E4">
      <w:pPr>
        <w:pStyle w:val="Normal4"/>
        <w:rPr>
          <w:rStyle w:val="IntenseEmphasis"/>
        </w:rPr>
      </w:pPr>
      <w:r>
        <w:rPr>
          <w:rStyle w:val="IntenseEmphasis"/>
        </w:rPr>
        <w:t>E</w:t>
      </w:r>
      <w:r w:rsidRPr="00FA5255">
        <w:rPr>
          <w:rStyle w:val="IntenseEmphasis"/>
        </w:rPr>
        <w:t xml:space="preserve">vidence based </w:t>
      </w:r>
      <w:r>
        <w:rPr>
          <w:rStyle w:val="IntenseEmphasis"/>
        </w:rPr>
        <w:t xml:space="preserve">and effective employment supports </w:t>
      </w:r>
      <w:r w:rsidRPr="00FA5255">
        <w:rPr>
          <w:rStyle w:val="IntenseEmphasis"/>
        </w:rPr>
        <w:t>for people with intellectual disability</w:t>
      </w:r>
    </w:p>
    <w:p w14:paraId="385DC129" w14:textId="32DD720D" w:rsidR="00FA5255" w:rsidRDefault="00FA5255" w:rsidP="00A017E4">
      <w:pPr>
        <w:pStyle w:val="Normal4"/>
      </w:pPr>
      <w:r w:rsidRPr="00386FAD">
        <w:t xml:space="preserve">There is international and domestic evidence about the design and delivery of </w:t>
      </w:r>
      <w:r w:rsidR="00D45A54">
        <w:t xml:space="preserve">effective </w:t>
      </w:r>
      <w:r w:rsidRPr="00386FAD">
        <w:t xml:space="preserve">employment supports and services for people with intellectual disability. These supports need </w:t>
      </w:r>
      <w:r>
        <w:t>substantial investment to upscale their availability</w:t>
      </w:r>
      <w:r w:rsidRPr="00386FAD">
        <w:t xml:space="preserve"> in Australia to all people with intellectual disability </w:t>
      </w:r>
      <w:r w:rsidR="003B3BC8">
        <w:t xml:space="preserve">and their employers </w:t>
      </w:r>
      <w:r w:rsidRPr="00386FAD">
        <w:t xml:space="preserve">regardless of their location. (See Papers 2 and 3). </w:t>
      </w:r>
    </w:p>
    <w:p w14:paraId="0EB4E665" w14:textId="773118C2" w:rsidR="00FA5255" w:rsidRPr="00FA5255" w:rsidRDefault="003B3BC8" w:rsidP="00A017E4">
      <w:pPr>
        <w:pStyle w:val="Normal4"/>
        <w:rPr>
          <w:rStyle w:val="IntenseEmphasis"/>
        </w:rPr>
      </w:pPr>
      <w:r>
        <w:rPr>
          <w:rStyle w:val="IntenseEmphasis"/>
        </w:rPr>
        <w:t xml:space="preserve">Re-focusing the </w:t>
      </w:r>
      <w:r w:rsidR="003950E3">
        <w:rPr>
          <w:rStyle w:val="IntenseEmphasis"/>
        </w:rPr>
        <w:t>contribution of</w:t>
      </w:r>
      <w:r w:rsidR="00FA5255" w:rsidRPr="00FA5255">
        <w:rPr>
          <w:rStyle w:val="IntenseEmphasis"/>
        </w:rPr>
        <w:t xml:space="preserve"> ADEs</w:t>
      </w:r>
    </w:p>
    <w:p w14:paraId="5D831392" w14:textId="73AE269A" w:rsidR="00FA5255" w:rsidRDefault="00FA5255" w:rsidP="00A017E4">
      <w:pPr>
        <w:pStyle w:val="Normal4"/>
      </w:pPr>
      <w:r w:rsidRPr="00386FAD">
        <w:t xml:space="preserve">The role and activities </w:t>
      </w:r>
      <w:r>
        <w:t>of ADEs</w:t>
      </w:r>
      <w:r w:rsidRPr="00386FAD">
        <w:t xml:space="preserve"> can be</w:t>
      </w:r>
      <w:r>
        <w:t xml:space="preserve"> re-imagined. ADEs can offer: </w:t>
      </w:r>
    </w:p>
    <w:p w14:paraId="043AC93E" w14:textId="3BEB79B8" w:rsidR="00FA5255" w:rsidRDefault="003950E3" w:rsidP="00FA5255">
      <w:pPr>
        <w:pStyle w:val="lettereddotpoint"/>
        <w:numPr>
          <w:ilvl w:val="0"/>
          <w:numId w:val="10"/>
        </w:numPr>
      </w:pPr>
      <w:r>
        <w:t>the creation of jobs</w:t>
      </w:r>
      <w:r w:rsidR="00FA5255">
        <w:t xml:space="preserve"> t</w:t>
      </w:r>
      <w:r>
        <w:t>hat are designed to</w:t>
      </w:r>
      <w:r w:rsidR="00FA5255">
        <w:t xml:space="preserve"> build and maximise the capacity of employees with moderate to significant disability</w:t>
      </w:r>
      <w:r w:rsidR="009D7180">
        <w:t xml:space="preserve">, and of other </w:t>
      </w:r>
      <w:proofErr w:type="gramStart"/>
      <w:r w:rsidR="009D7180">
        <w:t>groups</w:t>
      </w:r>
      <w:r w:rsidR="00FA5255">
        <w:t>;</w:t>
      </w:r>
      <w:proofErr w:type="gramEnd"/>
      <w:r w:rsidR="00FA5255">
        <w:t xml:space="preserve"> </w:t>
      </w:r>
    </w:p>
    <w:p w14:paraId="66B7F83F" w14:textId="77777777" w:rsidR="00FA5255" w:rsidRDefault="00FA5255" w:rsidP="00FA5255">
      <w:pPr>
        <w:pStyle w:val="lettereddotpoint"/>
        <w:numPr>
          <w:ilvl w:val="0"/>
          <w:numId w:val="10"/>
        </w:numPr>
      </w:pPr>
      <w:r>
        <w:t xml:space="preserve">opportunities to trial/gain work experience in a range of industries and work settings including among integrated workforces and/or settings; and </w:t>
      </w:r>
    </w:p>
    <w:p w14:paraId="43C4145A" w14:textId="77777777" w:rsidR="00FA5255" w:rsidRDefault="00FA5255" w:rsidP="00FA5255">
      <w:pPr>
        <w:pStyle w:val="lettereddotpoint"/>
        <w:numPr>
          <w:ilvl w:val="0"/>
          <w:numId w:val="10"/>
        </w:numPr>
      </w:pPr>
      <w:r w:rsidRPr="00386FAD">
        <w:t xml:space="preserve">clear pathways to </w:t>
      </w:r>
      <w:r>
        <w:t xml:space="preserve">other </w:t>
      </w:r>
      <w:r w:rsidRPr="00386FAD">
        <w:t>employment</w:t>
      </w:r>
      <w:r>
        <w:t xml:space="preserve"> opportunities beyond the enterprise</w:t>
      </w:r>
      <w:r w:rsidRPr="00386FAD">
        <w:t>.</w:t>
      </w:r>
    </w:p>
    <w:p w14:paraId="7FC80254" w14:textId="74F2891E" w:rsidR="00FA5255" w:rsidRDefault="00FA5255" w:rsidP="00A017E4">
      <w:pPr>
        <w:pStyle w:val="Normal4"/>
      </w:pPr>
      <w:r>
        <w:t xml:space="preserve">In addition, there is a need to build the market of specialist employment service providers who have the expertise </w:t>
      </w:r>
      <w:r w:rsidR="009D7180">
        <w:t xml:space="preserve">to provide employment supports in workplaces where ‘beyond reasonable adjustments’ are required. This typically requires </w:t>
      </w:r>
      <w:r>
        <w:t xml:space="preserve">high levels of </w:t>
      </w:r>
      <w:r w:rsidR="009D7180">
        <w:t xml:space="preserve">job </w:t>
      </w:r>
      <w:r>
        <w:t xml:space="preserve">customisation and the provision of on-going employment support </w:t>
      </w:r>
      <w:r w:rsidR="009D7180">
        <w:t>delivered to meet the needs of all</w:t>
      </w:r>
      <w:r>
        <w:t xml:space="preserve"> employment settings</w:t>
      </w:r>
      <w:r w:rsidR="009D7180">
        <w:t xml:space="preserve"> </w:t>
      </w:r>
      <w:r w:rsidRPr="00386FAD">
        <w:t>(See Papers 4 and 5).</w:t>
      </w:r>
      <w:r>
        <w:t xml:space="preserve"> This may be an additional area of commercial operation for </w:t>
      </w:r>
      <w:r w:rsidR="009D7180">
        <w:t xml:space="preserve">some </w:t>
      </w:r>
      <w:r>
        <w:t xml:space="preserve">ADEs if they can be supported to re-work their </w:t>
      </w:r>
      <w:r w:rsidR="009D7180">
        <w:t xml:space="preserve">business models </w:t>
      </w:r>
      <w:r>
        <w:t xml:space="preserve">to </w:t>
      </w:r>
      <w:r w:rsidR="009D7180">
        <w:t xml:space="preserve">unlock their specialist expertise </w:t>
      </w:r>
      <w:r w:rsidR="00725352">
        <w:t>(and workforce)</w:t>
      </w:r>
      <w:r w:rsidR="00F75FF0">
        <w:t xml:space="preserve"> </w:t>
      </w:r>
      <w:r w:rsidR="009D7180">
        <w:t>for use as employment specialists to support other workplaces.</w:t>
      </w:r>
    </w:p>
    <w:p w14:paraId="212C1E48" w14:textId="6B46631A" w:rsidR="00FA5255" w:rsidRPr="002567D9" w:rsidRDefault="002567D9" w:rsidP="00A017E4">
      <w:pPr>
        <w:pStyle w:val="Normal4"/>
        <w:rPr>
          <w:rStyle w:val="IntenseEmphasis"/>
        </w:rPr>
      </w:pPr>
      <w:r w:rsidRPr="002567D9">
        <w:rPr>
          <w:rStyle w:val="IntenseEmphasis"/>
        </w:rPr>
        <w:t>The funding of employment supports</w:t>
      </w:r>
    </w:p>
    <w:p w14:paraId="20E3627D" w14:textId="2FB043FB" w:rsidR="002567D9" w:rsidRDefault="002567D9" w:rsidP="00A017E4">
      <w:pPr>
        <w:pStyle w:val="Normal4"/>
      </w:pPr>
      <w:r>
        <w:t xml:space="preserve">Sufficient funding needs to be available to fund the full range of employment supports, for both jobseeker/employee and employer/workplace, as well as the wider societal supports around these (such as regional school leaver or employment networks). The NDIS has disrupted the exclusive funding of ‘supported employment’ to ADEs, enabling employment-related funding to be used in any employment setting. </w:t>
      </w:r>
      <w:r w:rsidRPr="370B7351">
        <w:t>NDIS funding is now potentially a mechanism to ensure that all levels of job customisation, workplace adjustments and ongoing support (beyond those reasonably required by the</w:t>
      </w:r>
      <w:r w:rsidRPr="370B7351">
        <w:rPr>
          <w:i/>
        </w:rPr>
        <w:t xml:space="preserve"> Disability Discrimination Act</w:t>
      </w:r>
      <w:r w:rsidRPr="370B7351">
        <w:t xml:space="preserve">) can be provided across all employment types. </w:t>
      </w:r>
      <w:r>
        <w:t xml:space="preserve">However, this funding has not been designed to cover a wide range of employment supports or ongoing capacity building needed to </w:t>
      </w:r>
      <w:r w:rsidRPr="002567D9">
        <w:rPr>
          <w:rStyle w:val="Normal4Char"/>
        </w:rPr>
        <w:t>enable people with significant disability to perform at their best in a workplace that fully supports them to do so</w:t>
      </w:r>
      <w:r>
        <w:t xml:space="preserve">. </w:t>
      </w:r>
      <w:r w:rsidR="00FA2971">
        <w:t>Nor does it address the requirements of employers and workplaces for the level of capacity bui</w:t>
      </w:r>
      <w:r w:rsidR="001C398A">
        <w:t xml:space="preserve">lding required. </w:t>
      </w:r>
      <w:r>
        <w:t xml:space="preserve">Additionally, </w:t>
      </w:r>
      <w:r w:rsidR="001C398A">
        <w:t>the</w:t>
      </w:r>
      <w:r>
        <w:t xml:space="preserve"> market of suitable providers of the wide range of </w:t>
      </w:r>
      <w:r w:rsidR="001C398A">
        <w:t xml:space="preserve">employment </w:t>
      </w:r>
      <w:r>
        <w:t xml:space="preserve">supports </w:t>
      </w:r>
      <w:r w:rsidR="001C398A">
        <w:t>is inadequate (or non</w:t>
      </w:r>
      <w:r w:rsidR="00A017E4">
        <w:t>-</w:t>
      </w:r>
      <w:r w:rsidR="001C398A">
        <w:t>existent) and needs explicit investment and cu</w:t>
      </w:r>
      <w:r w:rsidR="00281000">
        <w:t>ration. Similarly</w:t>
      </w:r>
      <w:r w:rsidR="005F1B64">
        <w:t>,</w:t>
      </w:r>
      <w:r>
        <w:t xml:space="preserve"> a mechanism to join-up </w:t>
      </w:r>
      <w:r w:rsidR="008B65CB">
        <w:t xml:space="preserve">or supplement employment supports and services in a </w:t>
      </w:r>
      <w:r w:rsidR="008B65CB">
        <w:lastRenderedPageBreak/>
        <w:t xml:space="preserve">wide range of systems and jurisdictions </w:t>
      </w:r>
      <w:r w:rsidR="00281000">
        <w:t>is required that addresses how to utilise individualised funding in inter-linked systems</w:t>
      </w:r>
      <w:r>
        <w:t xml:space="preserve">. </w:t>
      </w:r>
    </w:p>
    <w:p w14:paraId="57642761" w14:textId="77777777" w:rsidR="00041535" w:rsidRPr="00FB5E9B" w:rsidRDefault="00041535" w:rsidP="00041535"/>
    <w:p w14:paraId="20C8D8AB" w14:textId="77777777" w:rsidR="00B64DEA" w:rsidRDefault="000B48A6" w:rsidP="000B48A6">
      <w:pPr>
        <w:pStyle w:val="Heading2"/>
      </w:pPr>
      <w:r>
        <w:t>Explain</w:t>
      </w:r>
      <w:r w:rsidR="00B64DEA">
        <w:t>ing the evidence for reform series</w:t>
      </w:r>
    </w:p>
    <w:p w14:paraId="66672450" w14:textId="7B3370E5" w:rsidR="005728BA" w:rsidRDefault="00B64DEA" w:rsidP="00A017E4">
      <w:pPr>
        <w:pStyle w:val="Normal4"/>
      </w:pPr>
      <w:r>
        <w:t>The Centre for Social Impact</w:t>
      </w:r>
      <w:r w:rsidR="0076749C">
        <w:t xml:space="preserve"> (CSI)</w:t>
      </w:r>
      <w:r>
        <w:t xml:space="preserve"> has undertaken a </w:t>
      </w:r>
      <w:r w:rsidR="004E16D7">
        <w:t xml:space="preserve">range of research related to the employment needs of people with disability over several years, in addition to a substantial body of research related to social enterprise. </w:t>
      </w:r>
      <w:r w:rsidR="008E198E">
        <w:t xml:space="preserve">The </w:t>
      </w:r>
      <w:r w:rsidR="008E198E">
        <w:rPr>
          <w:i/>
          <w:iCs/>
        </w:rPr>
        <w:t xml:space="preserve">Explaining the Evidence for Reform Series </w:t>
      </w:r>
      <w:r w:rsidR="008E198E">
        <w:t xml:space="preserve">draws on this research and synthesises its evidence. </w:t>
      </w:r>
      <w:r w:rsidR="0076749C">
        <w:t>In addition, CSI researchers undertook a rapid review of evidence relating to the Australian Disability Enterprises (ADE) sector drawing on published studies, policies</w:t>
      </w:r>
      <w:r w:rsidR="00A017E4">
        <w:t>,</w:t>
      </w:r>
      <w:r w:rsidR="0076749C">
        <w:t xml:space="preserve"> and reports</w:t>
      </w:r>
      <w:r w:rsidR="005728BA">
        <w:t xml:space="preserve">; the publicly available aspects of the </w:t>
      </w:r>
      <w:proofErr w:type="spellStart"/>
      <w:r w:rsidR="005728BA">
        <w:t>Buyability</w:t>
      </w:r>
      <w:proofErr w:type="spellEnd"/>
      <w:r w:rsidR="005728BA">
        <w:t xml:space="preserve"> data set (managed by the National Disability Services); and a desktop review of ADEs.</w:t>
      </w:r>
    </w:p>
    <w:p w14:paraId="4C4DE722" w14:textId="76386B98" w:rsidR="007D331A" w:rsidRDefault="0090150B" w:rsidP="00A017E4">
      <w:pPr>
        <w:pStyle w:val="Normal4"/>
      </w:pPr>
      <w:r>
        <w:t xml:space="preserve">Together, this research base was organised to present evidence in five papers, </w:t>
      </w:r>
      <w:r w:rsidR="00642782">
        <w:t>with</w:t>
      </w:r>
      <w:r>
        <w:t xml:space="preserve"> this </w:t>
      </w:r>
      <w:r w:rsidR="007D331A">
        <w:t>‘</w:t>
      </w:r>
      <w:r w:rsidR="00642782">
        <w:t>L</w:t>
      </w:r>
      <w:r w:rsidR="007D331A">
        <w:t xml:space="preserve">ogic </w:t>
      </w:r>
      <w:r w:rsidR="00CA66AC">
        <w:t>for</w:t>
      </w:r>
      <w:r w:rsidR="007D331A">
        <w:t xml:space="preserve"> </w:t>
      </w:r>
      <w:r w:rsidR="00CA66AC">
        <w:t>R</w:t>
      </w:r>
      <w:r w:rsidR="007D331A">
        <w:t>eform’ paper as an overview of the underpinning logic emerging from the research. The series includes:</w:t>
      </w:r>
    </w:p>
    <w:p w14:paraId="20B6428B" w14:textId="755008DF" w:rsidR="00244409" w:rsidRDefault="000A2073" w:rsidP="00A017E4">
      <w:pPr>
        <w:pStyle w:val="Normal4"/>
      </w:pPr>
      <w:r w:rsidRPr="00244409">
        <w:t>Paper</w:t>
      </w:r>
      <w:r w:rsidR="00244409">
        <w:t xml:space="preserve"> 1</w:t>
      </w:r>
      <w:r w:rsidRPr="00244409">
        <w:t>:</w:t>
      </w:r>
      <w:r w:rsidR="001B6459">
        <w:t xml:space="preserve"> </w:t>
      </w:r>
      <w:r w:rsidR="00244409" w:rsidRPr="00244409">
        <w:t>Understanding the Employment Ecosystem for People with Intellectual Disability</w:t>
      </w:r>
      <w:r w:rsidR="00B23424">
        <w:t>.</w:t>
      </w:r>
    </w:p>
    <w:p w14:paraId="41F72832" w14:textId="2C25EE1F" w:rsidR="00FE0734" w:rsidRDefault="00FE0734" w:rsidP="00FE0734">
      <w:pPr>
        <w:pStyle w:val="Quote"/>
      </w:pPr>
      <w:r>
        <w:t xml:space="preserve">This paper provides an overview of the employment ecosystem which </w:t>
      </w:r>
      <w:r w:rsidR="00F122AA">
        <w:t xml:space="preserve">constructs access to employment supports for </w:t>
      </w:r>
      <w:r>
        <w:t xml:space="preserve">people with disability. </w:t>
      </w:r>
    </w:p>
    <w:p w14:paraId="24E18A27" w14:textId="04E36126" w:rsidR="00B23424" w:rsidRDefault="00B23424" w:rsidP="00A017E4">
      <w:pPr>
        <w:pStyle w:val="Normal4"/>
      </w:pPr>
      <w:r>
        <w:t>Paper 2:</w:t>
      </w:r>
      <w:r w:rsidR="001B6459">
        <w:t xml:space="preserve"> </w:t>
      </w:r>
      <w:r w:rsidR="001561BE" w:rsidRPr="00FB5E9B">
        <w:t xml:space="preserve">Understanding the </w:t>
      </w:r>
      <w:r w:rsidR="001561BE">
        <w:t>elements of employment support.</w:t>
      </w:r>
    </w:p>
    <w:p w14:paraId="356999B4" w14:textId="72F9BC33" w:rsidR="001561BE" w:rsidRDefault="001561BE" w:rsidP="001561BE">
      <w:pPr>
        <w:pStyle w:val="Quote"/>
      </w:pPr>
      <w:r>
        <w:t>This paper</w:t>
      </w:r>
      <w:r w:rsidR="00B7557E">
        <w:t xml:space="preserve"> explains the range of employment supports that should be available, and the extent to which they are provided in the current system.</w:t>
      </w:r>
    </w:p>
    <w:p w14:paraId="71B5D7DA" w14:textId="5BED5183" w:rsidR="00B7557E" w:rsidRDefault="00B7557E" w:rsidP="00A017E4">
      <w:pPr>
        <w:pStyle w:val="Normal4"/>
      </w:pPr>
      <w:r w:rsidRPr="009D4BC3">
        <w:t xml:space="preserve">Paper 3: </w:t>
      </w:r>
      <w:r w:rsidR="009D4BC3" w:rsidRPr="009D4BC3">
        <w:t>School Leaver Employment Support (SLES) – Reshaping the Approach</w:t>
      </w:r>
      <w:r w:rsidR="009D4BC3">
        <w:t>.</w:t>
      </w:r>
    </w:p>
    <w:p w14:paraId="3A5CEA87" w14:textId="7B0C22C3" w:rsidR="009D4BC3" w:rsidRDefault="005D0ABD" w:rsidP="009D4BC3">
      <w:pPr>
        <w:pStyle w:val="Quote"/>
      </w:pPr>
      <w:r>
        <w:t>This paper collates the existing data available on SLES, and on the experiences of young people with intellectual disability seeking school to work transition</w:t>
      </w:r>
      <w:r w:rsidR="006C5F96">
        <w:t xml:space="preserve">. It </w:t>
      </w:r>
      <w:r>
        <w:t>identif</w:t>
      </w:r>
      <w:r w:rsidR="006C5F96">
        <w:t>ies</w:t>
      </w:r>
      <w:r>
        <w:t xml:space="preserve"> employment support needs aligned to best practice</w:t>
      </w:r>
      <w:r w:rsidR="006C5F96">
        <w:t xml:space="preserve"> evidence</w:t>
      </w:r>
      <w:r>
        <w:t>.</w:t>
      </w:r>
    </w:p>
    <w:p w14:paraId="3BC95073" w14:textId="147E84D4" w:rsidR="006C5F96" w:rsidRDefault="00BF6A55" w:rsidP="00A017E4">
      <w:pPr>
        <w:pStyle w:val="Normal4"/>
      </w:pPr>
      <w:r>
        <w:t>Paper 4: The ADE Snapshot.</w:t>
      </w:r>
    </w:p>
    <w:p w14:paraId="54BA6F6A" w14:textId="1EFF0227" w:rsidR="00BF6A55" w:rsidRDefault="00F35215" w:rsidP="00BF6A55">
      <w:pPr>
        <w:pStyle w:val="Quote"/>
      </w:pPr>
      <w:r>
        <w:t xml:space="preserve">This paper collates the existing data available about ADEs, adding new data to </w:t>
      </w:r>
      <w:r w:rsidR="00050ECA">
        <w:t>identify the current state of the ADE sector.</w:t>
      </w:r>
    </w:p>
    <w:p w14:paraId="0492B4DD" w14:textId="37247385" w:rsidR="00050ECA" w:rsidRDefault="00050ECA" w:rsidP="00A017E4">
      <w:pPr>
        <w:pStyle w:val="Normal4"/>
      </w:pPr>
      <w:r>
        <w:t xml:space="preserve">Paper 5: </w:t>
      </w:r>
      <w:r w:rsidR="00D40738">
        <w:t>The WISE-Ability Model.</w:t>
      </w:r>
    </w:p>
    <w:p w14:paraId="3C5C1F27" w14:textId="77777777" w:rsidR="00CC1BE3" w:rsidRDefault="00DA0720" w:rsidP="00244409">
      <w:pPr>
        <w:pStyle w:val="Quote"/>
      </w:pPr>
      <w:r>
        <w:t xml:space="preserve">This paper presents a new model for ADEs: the </w:t>
      </w:r>
      <w:r w:rsidR="003922C5">
        <w:t>WISE-Ability model</w:t>
      </w:r>
      <w:r w:rsidR="00A6412D">
        <w:t>. The model articulates the organisational elements that build capacity of employees including pathways to open employment. The paper also identifies data from research about the funding barriers to transitioning employees from ADEs to open employment.</w:t>
      </w:r>
    </w:p>
    <w:p w14:paraId="13291BC3" w14:textId="4E20D071" w:rsidR="00DC68FF" w:rsidRPr="00244409" w:rsidRDefault="00DC68FF" w:rsidP="00A53E42">
      <w:pPr>
        <w:pStyle w:val="Quote"/>
        <w:ind w:left="0"/>
      </w:pPr>
      <w:r w:rsidRPr="00244409">
        <w:br w:type="page"/>
      </w:r>
    </w:p>
    <w:p w14:paraId="72BCD328" w14:textId="6A6131E3" w:rsidR="00386FAD" w:rsidRPr="009C086A" w:rsidRDefault="00386FAD" w:rsidP="00386FAD">
      <w:pPr>
        <w:pStyle w:val="Heading1"/>
        <w:rPr>
          <w:b w:val="0"/>
          <w:bCs/>
        </w:rPr>
      </w:pPr>
      <w:r w:rsidRPr="009C086A">
        <w:rPr>
          <w:b w:val="0"/>
          <w:bCs/>
        </w:rPr>
        <w:lastRenderedPageBreak/>
        <w:t>References</w:t>
      </w:r>
    </w:p>
    <w:p w14:paraId="5AB22364" w14:textId="3A4929A7" w:rsidR="006025E3" w:rsidRDefault="006025E3" w:rsidP="00DF6390">
      <w:pPr>
        <w:pStyle w:val="Normal4"/>
        <w:spacing w:after="0"/>
        <w:ind w:left="510" w:hanging="510"/>
      </w:pPr>
      <w:r>
        <w:t>Australian Federation of Disability Organisations (AFDO)</w:t>
      </w:r>
      <w:r w:rsidR="009C086A">
        <w:t>.</w:t>
      </w:r>
      <w:r>
        <w:t xml:space="preserve"> (2018). </w:t>
      </w:r>
      <w:r>
        <w:rPr>
          <w:i/>
          <w:iCs/>
        </w:rPr>
        <w:t>Paper: The future of supported employment in Australia</w:t>
      </w:r>
      <w:r w:rsidR="00A979F8">
        <w:rPr>
          <w:i/>
          <w:iCs/>
        </w:rPr>
        <w:t>.</w:t>
      </w:r>
      <w:r>
        <w:rPr>
          <w:i/>
          <w:iCs/>
        </w:rPr>
        <w:t xml:space="preserve"> </w:t>
      </w:r>
      <w:r>
        <w:t>AFDO</w:t>
      </w:r>
      <w:r w:rsidR="009C086A">
        <w:t>.</w:t>
      </w:r>
      <w:r>
        <w:t xml:space="preserve"> </w:t>
      </w:r>
      <w:hyperlink r:id="rId12" w:history="1">
        <w:r w:rsidRPr="008B2C5F">
          <w:rPr>
            <w:rStyle w:val="Hyperlink"/>
          </w:rPr>
          <w:t>https://engage.dss.gov.au/wp-content/uploads/2018/03/AFDO-Future-of-Supported-Employment-Paper-2018-03-FINAL.pdf</w:t>
        </w:r>
      </w:hyperlink>
    </w:p>
    <w:p w14:paraId="15E6181A" w14:textId="76880A7F" w:rsidR="006025E3" w:rsidRDefault="006025E3" w:rsidP="00DF6390">
      <w:pPr>
        <w:pStyle w:val="Normal4"/>
        <w:spacing w:after="0"/>
        <w:ind w:left="510" w:hanging="510"/>
        <w:rPr>
          <w:rStyle w:val="markedcontent"/>
          <w:rFonts w:cstheme="minorHAnsi"/>
          <w:i/>
          <w:iCs/>
        </w:rPr>
      </w:pPr>
      <w:r w:rsidRPr="003A5C4A">
        <w:rPr>
          <w:rStyle w:val="markedcontent"/>
          <w:rFonts w:cstheme="minorHAnsi"/>
        </w:rPr>
        <w:t>Department of Social Services (DSS)</w:t>
      </w:r>
      <w:r w:rsidR="009C086A">
        <w:rPr>
          <w:rStyle w:val="markedcontent"/>
          <w:rFonts w:cstheme="minorHAnsi"/>
        </w:rPr>
        <w:t>.</w:t>
      </w:r>
      <w:r w:rsidRPr="003A5C4A">
        <w:rPr>
          <w:rStyle w:val="markedcontent"/>
          <w:rFonts w:cstheme="minorHAnsi"/>
        </w:rPr>
        <w:t xml:space="preserve"> (2018). </w:t>
      </w:r>
      <w:r w:rsidRPr="003A5C4A">
        <w:rPr>
          <w:rStyle w:val="markedcontent"/>
          <w:rFonts w:cstheme="minorHAnsi"/>
          <w:i/>
          <w:iCs/>
        </w:rPr>
        <w:t xml:space="preserve">Ensuring a strong future for supported employment. Consultations, </w:t>
      </w:r>
      <w:r w:rsidR="00A979F8">
        <w:rPr>
          <w:rStyle w:val="markedcontent"/>
          <w:rFonts w:cstheme="minorHAnsi"/>
          <w:i/>
          <w:iCs/>
        </w:rPr>
        <w:t>s</w:t>
      </w:r>
      <w:r w:rsidRPr="003A5C4A">
        <w:rPr>
          <w:rStyle w:val="markedcontent"/>
          <w:rFonts w:cstheme="minorHAnsi"/>
          <w:i/>
          <w:iCs/>
        </w:rPr>
        <w:t>ummary of stakeholder consultations December 2017-April 2018</w:t>
      </w:r>
      <w:r w:rsidR="009C086A">
        <w:rPr>
          <w:rStyle w:val="markedcontent"/>
          <w:rFonts w:cstheme="minorHAnsi"/>
          <w:i/>
          <w:iCs/>
        </w:rPr>
        <w:t>.</w:t>
      </w:r>
      <w:r w:rsidRPr="003A5C4A">
        <w:rPr>
          <w:rStyle w:val="markedcontent"/>
          <w:rFonts w:cstheme="minorHAnsi"/>
          <w:i/>
          <w:iCs/>
        </w:rPr>
        <w:t xml:space="preserve"> </w:t>
      </w:r>
      <w:hyperlink r:id="rId13" w:history="1">
        <w:r w:rsidRPr="008B2C5F">
          <w:rPr>
            <w:rStyle w:val="Hyperlink"/>
            <w:rFonts w:cstheme="minorHAnsi"/>
            <w:i/>
            <w:iCs/>
          </w:rPr>
          <w:t>https://engage.dss.gov.au/wp-content/uploads/2018/07/PROOF-7-8876-Supported-Employment-Policy-Report-FINAL.pdf</w:t>
        </w:r>
      </w:hyperlink>
    </w:p>
    <w:p w14:paraId="7B284BE7" w14:textId="0CA9B1EB" w:rsidR="003A5C4A" w:rsidRPr="00DB75E6" w:rsidRDefault="00386FAD" w:rsidP="00DF6390">
      <w:pPr>
        <w:pStyle w:val="Normal4"/>
        <w:spacing w:after="0"/>
        <w:ind w:left="510" w:hanging="510"/>
      </w:pPr>
      <w:r>
        <w:t>Inclusion Australia and People with Disability Australia</w:t>
      </w:r>
      <w:r w:rsidR="009C086A">
        <w:t>.</w:t>
      </w:r>
      <w:r>
        <w:t xml:space="preserve"> (2022). </w:t>
      </w:r>
      <w:r>
        <w:rPr>
          <w:i/>
          <w:iCs/>
        </w:rPr>
        <w:t xml:space="preserve">Wage </w:t>
      </w:r>
      <w:r w:rsidR="007161E2">
        <w:rPr>
          <w:i/>
          <w:iCs/>
        </w:rPr>
        <w:t>e</w:t>
      </w:r>
      <w:r>
        <w:rPr>
          <w:i/>
          <w:iCs/>
        </w:rPr>
        <w:t>quity and more choices in employment for people with intellectual disability. Research review.</w:t>
      </w:r>
      <w:r w:rsidR="001B6459">
        <w:rPr>
          <w:i/>
          <w:iCs/>
        </w:rPr>
        <w:t xml:space="preserve"> </w:t>
      </w:r>
      <w:hyperlink r:id="rId14" w:history="1">
        <w:r w:rsidR="00D2759B" w:rsidRPr="008B2C5F">
          <w:rPr>
            <w:rStyle w:val="Hyperlink"/>
          </w:rPr>
          <w:t>https://pwd.org.au/wp-content/uploads/2022/04/ADE-research-brief-April-2022.pdf</w:t>
        </w:r>
      </w:hyperlink>
    </w:p>
    <w:sectPr w:rsidR="003A5C4A" w:rsidRPr="00DB75E6" w:rsidSect="003A5C4A">
      <w:footerReference w:type="default" r:id="rId15"/>
      <w:type w:val="continuous"/>
      <w:pgSz w:w="11906" w:h="16838"/>
      <w:pgMar w:top="826" w:right="1418" w:bottom="1295" w:left="1418" w:header="850" w:footer="850"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203FC" w14:textId="77777777" w:rsidR="00DA2C4D" w:rsidRDefault="00DA2C4D" w:rsidP="003C0EFA">
      <w:r>
        <w:separator/>
      </w:r>
    </w:p>
  </w:endnote>
  <w:endnote w:type="continuationSeparator" w:id="0">
    <w:p w14:paraId="05F63B3C" w14:textId="77777777" w:rsidR="00DA2C4D" w:rsidRDefault="00DA2C4D" w:rsidP="003C0EFA">
      <w:r>
        <w:continuationSeparator/>
      </w:r>
    </w:p>
  </w:endnote>
  <w:endnote w:type="continuationNotice" w:id="1">
    <w:p w14:paraId="24648EA9" w14:textId="77777777" w:rsidR="00DA2C4D" w:rsidRDefault="00DA2C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CA0FB7C-0B0F-4794-891D-84E08E0270DC}"/>
    <w:embedBold r:id="rId2" w:fontKey="{D0282B9A-B647-4919-ABD3-28981D6E40AA}"/>
    <w:embedItalic r:id="rId3" w:fontKey="{2828A0A0-5863-4263-820D-C260B69B7869}"/>
    <w:embedBoldItalic r:id="rId4" w:fontKey="{6A5617C9-D797-4155-A6DA-68C50982C78C}"/>
  </w:font>
  <w:font w:name="Arial Nova Cond">
    <w:charset w:val="00"/>
    <w:family w:val="swiss"/>
    <w:pitch w:val="variable"/>
    <w:sig w:usb0="0000028F" w:usb1="00000002" w:usb2="00000000" w:usb3="00000000" w:csb0="0000019F" w:csb1="00000000"/>
    <w:embedRegular r:id="rId5" w:fontKey="{1578CC5C-1800-4AD3-9DF1-09150A424DA4}"/>
    <w:embedBold r:id="rId6" w:fontKey="{2BAA4F2A-1A1D-4B86-90F8-3B6EC45FB971}"/>
  </w:font>
  <w:font w:name="Cambria">
    <w:panose1 w:val="02040503050406030204"/>
    <w:charset w:val="00"/>
    <w:family w:val="roman"/>
    <w:pitch w:val="variable"/>
    <w:sig w:usb0="E00006FF" w:usb1="420024FF" w:usb2="02000000" w:usb3="00000000" w:csb0="0000019F" w:csb1="00000000"/>
    <w:embedRegular r:id="rId7" w:fontKey="{AC486F76-DC79-4FC6-96DF-1FBE088684FA}"/>
  </w:font>
  <w:font w:name="Source Sans Pro">
    <w:charset w:val="00"/>
    <w:family w:val="swiss"/>
    <w:pitch w:val="variable"/>
    <w:sig w:usb0="600002F7" w:usb1="02000001" w:usb2="00000000" w:usb3="00000000" w:csb0="0000019F" w:csb1="00000000"/>
    <w:embedRegular r:id="rId8" w:fontKey="{A1719D88-128E-4461-8DAE-7884174DB4EE}"/>
  </w:font>
  <w:font w:name="Calibri Light">
    <w:panose1 w:val="020F0302020204030204"/>
    <w:charset w:val="00"/>
    <w:family w:val="swiss"/>
    <w:pitch w:val="variable"/>
    <w:sig w:usb0="E4002EFF" w:usb1="C000247B" w:usb2="00000009" w:usb3="00000000" w:csb0="000001FF" w:csb1="00000000"/>
    <w:embedRegular r:id="rId9" w:fontKey="{CC4CA5A0-8FC7-49A5-81B0-6702B13A2E0D}"/>
  </w:font>
  <w:font w:name="Arial Nova Cond Light">
    <w:charset w:val="00"/>
    <w:family w:val="swiss"/>
    <w:pitch w:val="variable"/>
    <w:sig w:usb0="0000028F" w:usb1="00000002" w:usb2="00000000" w:usb3="00000000" w:csb0="0000019F" w:csb1="00000000"/>
    <w:embedRegular r:id="rId10" w:fontKey="{0FA6855E-1B17-46D8-AB46-5CBC15B0B5D9}"/>
    <w:embedItalic r:id="rId11" w:fontKey="{5E83389D-34D5-4EAF-8808-0741A23F5FBB}"/>
  </w:font>
  <w:font w:name="Open Sans">
    <w:panose1 w:val="020B0606030504020204"/>
    <w:charset w:val="00"/>
    <w:family w:val="swiss"/>
    <w:pitch w:val="variable"/>
    <w:sig w:usb0="E00002EF" w:usb1="4000205B" w:usb2="00000028" w:usb3="00000000" w:csb0="0000019F" w:csb1="00000000"/>
    <w:embedRegular r:id="rId12" w:fontKey="{48F77C1F-03BA-434F-8611-D9B52BBA91EA}"/>
    <w:embedBold r:id="rId13" w:fontKey="{F6D6223B-4B90-4921-B89D-7B16AA49E3CF}"/>
    <w:embedItalic r:id="rId14" w:fontKey="{2D362F98-20F0-4C33-84D5-FFB2F54BACA9}"/>
    <w:embedBoldItalic r:id="rId15" w:fontKey="{B02354B4-C991-452D-92D8-C5B38AC4F48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662795"/>
      <w:docPartObj>
        <w:docPartGallery w:val="Page Numbers (Bottom of Page)"/>
        <w:docPartUnique/>
      </w:docPartObj>
    </w:sdtPr>
    <w:sdtEndPr>
      <w:rPr>
        <w:noProof/>
      </w:rPr>
    </w:sdtEndPr>
    <w:sdtContent>
      <w:p w14:paraId="0C8606CF" w14:textId="37D37A19" w:rsidR="00386FAD" w:rsidRDefault="00386F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CB60E0" w14:textId="77777777" w:rsidR="00386FAD" w:rsidRDefault="00386F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8BF0B" w14:textId="77777777" w:rsidR="00DA2C4D" w:rsidRDefault="00DA2C4D" w:rsidP="003C0EFA">
      <w:r>
        <w:separator/>
      </w:r>
    </w:p>
  </w:footnote>
  <w:footnote w:type="continuationSeparator" w:id="0">
    <w:p w14:paraId="5B1A1C73" w14:textId="77777777" w:rsidR="00DA2C4D" w:rsidRDefault="00DA2C4D" w:rsidP="003C0EFA">
      <w:r>
        <w:continuationSeparator/>
      </w:r>
    </w:p>
  </w:footnote>
  <w:footnote w:type="continuationNotice" w:id="1">
    <w:p w14:paraId="22CE68DC" w14:textId="77777777" w:rsidR="00DA2C4D" w:rsidRDefault="00DA2C4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A5E79"/>
    <w:multiLevelType w:val="hybridMultilevel"/>
    <w:tmpl w:val="134C9B46"/>
    <w:lvl w:ilvl="0" w:tplc="61BAB94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CC09A0"/>
    <w:multiLevelType w:val="hybridMultilevel"/>
    <w:tmpl w:val="6FDAA0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442B7F"/>
    <w:multiLevelType w:val="multilevel"/>
    <w:tmpl w:val="837A80A6"/>
    <w:lvl w:ilvl="0">
      <w:start w:val="1"/>
      <w:numFmt w:val="decimal"/>
      <w:pStyle w:val="NumberedList1"/>
      <w:lvlText w:val="%1)"/>
      <w:lvlJc w:val="left"/>
      <w:pPr>
        <w:tabs>
          <w:tab w:val="num" w:pos="850"/>
        </w:tabs>
        <w:ind w:left="850" w:hanging="425"/>
      </w:pPr>
    </w:lvl>
    <w:lvl w:ilvl="1">
      <w:start w:val="1"/>
      <w:numFmt w:val="decimal"/>
      <w:pStyle w:val="NumberedList11"/>
      <w:lvlText w:val="%2)"/>
      <w:lvlJc w:val="left"/>
      <w:pPr>
        <w:tabs>
          <w:tab w:val="num" w:pos="850"/>
        </w:tabs>
        <w:ind w:left="850" w:hanging="425"/>
      </w:pPr>
    </w:lvl>
    <w:lvl w:ilvl="2">
      <w:start w:val="1"/>
      <w:numFmt w:val="decimal"/>
      <w:pStyle w:val="NumberedList12"/>
      <w:lvlText w:val="%3)"/>
      <w:lvlJc w:val="left"/>
      <w:pPr>
        <w:tabs>
          <w:tab w:val="num" w:pos="1276"/>
        </w:tabs>
        <w:ind w:left="1276" w:hanging="426"/>
      </w:pPr>
    </w:lvl>
    <w:lvl w:ilvl="3">
      <w:start w:val="1"/>
      <w:numFmt w:val="decimal"/>
      <w:pStyle w:val="NumberedList13"/>
      <w:lvlText w:val="%4)"/>
      <w:lvlJc w:val="left"/>
      <w:pPr>
        <w:tabs>
          <w:tab w:val="num" w:pos="1701"/>
        </w:tabs>
        <w:ind w:left="1701" w:hanging="425"/>
      </w:pPr>
    </w:lvl>
    <w:lvl w:ilvl="4">
      <w:start w:val="1"/>
      <w:numFmt w:val="decimal"/>
      <w:pStyle w:val="NumberedList14"/>
      <w:lvlText w:val="%5)"/>
      <w:lvlJc w:val="left"/>
      <w:pPr>
        <w:tabs>
          <w:tab w:val="num" w:pos="2126"/>
        </w:tabs>
        <w:ind w:left="2126" w:hanging="425"/>
      </w:pPr>
    </w:lvl>
    <w:lvl w:ilvl="5">
      <w:start w:val="1"/>
      <w:numFmt w:val="decimal"/>
      <w:pStyle w:val="NumberedList15"/>
      <w:lvlText w:val="%6)"/>
      <w:lvlJc w:val="left"/>
      <w:pPr>
        <w:tabs>
          <w:tab w:val="num" w:pos="2551"/>
        </w:tabs>
        <w:ind w:left="2551" w:hanging="425"/>
      </w:pPr>
    </w:lvl>
    <w:lvl w:ilvl="6">
      <w:start w:val="1"/>
      <w:numFmt w:val="decimal"/>
      <w:pStyle w:val="NumberedList16"/>
      <w:lvlText w:val="%7)"/>
      <w:lvlJc w:val="left"/>
      <w:pPr>
        <w:tabs>
          <w:tab w:val="num" w:pos="2976"/>
        </w:tabs>
        <w:ind w:left="2976" w:hanging="425"/>
      </w:pPr>
    </w:lvl>
    <w:lvl w:ilvl="7">
      <w:start w:val="1"/>
      <w:numFmt w:val="decimal"/>
      <w:pStyle w:val="NumberedList17"/>
      <w:lvlText w:val="%8)"/>
      <w:lvlJc w:val="left"/>
      <w:pPr>
        <w:tabs>
          <w:tab w:val="num" w:pos="3402"/>
        </w:tabs>
        <w:ind w:left="3402" w:hanging="426"/>
      </w:pPr>
    </w:lvl>
    <w:lvl w:ilvl="8">
      <w:start w:val="1"/>
      <w:numFmt w:val="decimal"/>
      <w:pStyle w:val="NumberedList18"/>
      <w:lvlText w:val="%9)"/>
      <w:lvlJc w:val="left"/>
      <w:pPr>
        <w:tabs>
          <w:tab w:val="num" w:pos="3827"/>
        </w:tabs>
        <w:ind w:left="3827" w:hanging="425"/>
      </w:pPr>
    </w:lvl>
  </w:abstractNum>
  <w:abstractNum w:abstractNumId="3" w15:restartNumberingAfterBreak="0">
    <w:nsid w:val="13513056"/>
    <w:multiLevelType w:val="hybridMultilevel"/>
    <w:tmpl w:val="20DE6736"/>
    <w:lvl w:ilvl="0" w:tplc="0DC2455E">
      <w:start w:val="1"/>
      <w:numFmt w:val="lowerLetter"/>
      <w:pStyle w:val="lettereddotpoint"/>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4" w15:restartNumberingAfterBreak="0">
    <w:nsid w:val="1DE054E6"/>
    <w:multiLevelType w:val="hybridMultilevel"/>
    <w:tmpl w:val="84B6A55E"/>
    <w:lvl w:ilvl="0" w:tplc="731C5230">
      <w:start w:val="1"/>
      <w:numFmt w:val="decimal"/>
      <w:pStyle w:val="dotpoint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1D650C7"/>
    <w:multiLevelType w:val="hybridMultilevel"/>
    <w:tmpl w:val="62748372"/>
    <w:lvl w:ilvl="0" w:tplc="5D865DDE">
      <w:start w:val="1"/>
      <w:numFmt w:val="lowerLetter"/>
      <w:lvlText w:val="%1)"/>
      <w:lvlJc w:val="left"/>
      <w:pPr>
        <w:ind w:left="1148"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6" w15:restartNumberingAfterBreak="0">
    <w:nsid w:val="401E6FB3"/>
    <w:multiLevelType w:val="hybridMultilevel"/>
    <w:tmpl w:val="DCC29CBC"/>
    <w:lvl w:ilvl="0" w:tplc="C9540E9A">
      <w:start w:val="1"/>
      <w:numFmt w:val="bullet"/>
      <w:pStyle w:val="Bullet1"/>
      <w:lvlText w:val="»"/>
      <w:lvlJc w:val="left"/>
      <w:pPr>
        <w:ind w:left="740" w:hanging="360"/>
      </w:pPr>
      <w:rPr>
        <w:rFonts w:ascii="Times New Roman" w:hAnsi="Times New Roman" w:hint="default"/>
        <w:sz w:val="21"/>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7" w15:restartNumberingAfterBreak="0">
    <w:nsid w:val="77A40F7D"/>
    <w:multiLevelType w:val="hybridMultilevel"/>
    <w:tmpl w:val="A8729090"/>
    <w:lvl w:ilvl="0" w:tplc="9160803A">
      <w:start w:val="1"/>
      <w:numFmt w:val="decimal"/>
      <w:pStyle w:val="numberedheading"/>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7"/>
  </w:num>
  <w:num w:numId="5">
    <w:abstractNumId w:val="7"/>
    <w:lvlOverride w:ilvl="0">
      <w:startOverride w:val="1"/>
    </w:lvlOverride>
  </w:num>
  <w:num w:numId="6">
    <w:abstractNumId w:val="1"/>
  </w:num>
  <w:num w:numId="7">
    <w:abstractNumId w:val="4"/>
  </w:num>
  <w:num w:numId="8">
    <w:abstractNumId w:val="5"/>
  </w:num>
  <w:num w:numId="9">
    <w:abstractNumId w:val="3"/>
  </w:num>
  <w:num w:numId="10">
    <w:abstractNumId w:val="3"/>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TrueTypeFonts/>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33F"/>
    <w:rsid w:val="00000AEE"/>
    <w:rsid w:val="00001854"/>
    <w:rsid w:val="000023DD"/>
    <w:rsid w:val="00004C68"/>
    <w:rsid w:val="000056F9"/>
    <w:rsid w:val="0000622C"/>
    <w:rsid w:val="0000688E"/>
    <w:rsid w:val="0000696F"/>
    <w:rsid w:val="00007480"/>
    <w:rsid w:val="00007780"/>
    <w:rsid w:val="00010A29"/>
    <w:rsid w:val="00013454"/>
    <w:rsid w:val="000236E6"/>
    <w:rsid w:val="00023868"/>
    <w:rsid w:val="0002501D"/>
    <w:rsid w:val="00026DD6"/>
    <w:rsid w:val="00026DFB"/>
    <w:rsid w:val="00031EE9"/>
    <w:rsid w:val="00032B27"/>
    <w:rsid w:val="00032E55"/>
    <w:rsid w:val="000357A0"/>
    <w:rsid w:val="000370CE"/>
    <w:rsid w:val="00037389"/>
    <w:rsid w:val="0003784D"/>
    <w:rsid w:val="000410D3"/>
    <w:rsid w:val="00041535"/>
    <w:rsid w:val="00043555"/>
    <w:rsid w:val="000446EE"/>
    <w:rsid w:val="00044DC6"/>
    <w:rsid w:val="000460EF"/>
    <w:rsid w:val="00047196"/>
    <w:rsid w:val="00050ECA"/>
    <w:rsid w:val="000512BC"/>
    <w:rsid w:val="000521D5"/>
    <w:rsid w:val="00053964"/>
    <w:rsid w:val="00061839"/>
    <w:rsid w:val="000657A5"/>
    <w:rsid w:val="00065912"/>
    <w:rsid w:val="00070C76"/>
    <w:rsid w:val="00072D34"/>
    <w:rsid w:val="000753CE"/>
    <w:rsid w:val="000760EB"/>
    <w:rsid w:val="000761C9"/>
    <w:rsid w:val="000763D5"/>
    <w:rsid w:val="0007704E"/>
    <w:rsid w:val="00081B23"/>
    <w:rsid w:val="00082811"/>
    <w:rsid w:val="0008390D"/>
    <w:rsid w:val="00083C45"/>
    <w:rsid w:val="000843CE"/>
    <w:rsid w:val="0008440E"/>
    <w:rsid w:val="00087F05"/>
    <w:rsid w:val="00091397"/>
    <w:rsid w:val="00091C19"/>
    <w:rsid w:val="00092E0C"/>
    <w:rsid w:val="000930E8"/>
    <w:rsid w:val="00095294"/>
    <w:rsid w:val="000971F1"/>
    <w:rsid w:val="00097D80"/>
    <w:rsid w:val="000A2073"/>
    <w:rsid w:val="000B0F94"/>
    <w:rsid w:val="000B48A6"/>
    <w:rsid w:val="000B6B66"/>
    <w:rsid w:val="000B7196"/>
    <w:rsid w:val="000C11B8"/>
    <w:rsid w:val="000C11C0"/>
    <w:rsid w:val="000C13E4"/>
    <w:rsid w:val="000C15F5"/>
    <w:rsid w:val="000C2562"/>
    <w:rsid w:val="000C63AF"/>
    <w:rsid w:val="000C6CAA"/>
    <w:rsid w:val="000D1F3A"/>
    <w:rsid w:val="000D63A9"/>
    <w:rsid w:val="000D7D14"/>
    <w:rsid w:val="000E34A0"/>
    <w:rsid w:val="000E3929"/>
    <w:rsid w:val="000E3EE0"/>
    <w:rsid w:val="000E3F32"/>
    <w:rsid w:val="000F1434"/>
    <w:rsid w:val="000F18E6"/>
    <w:rsid w:val="000F2152"/>
    <w:rsid w:val="000F23DE"/>
    <w:rsid w:val="000F32D0"/>
    <w:rsid w:val="000F36EE"/>
    <w:rsid w:val="000F4F6A"/>
    <w:rsid w:val="000F54D7"/>
    <w:rsid w:val="000F6ADD"/>
    <w:rsid w:val="00101625"/>
    <w:rsid w:val="00102086"/>
    <w:rsid w:val="00103201"/>
    <w:rsid w:val="00103A6F"/>
    <w:rsid w:val="00105C98"/>
    <w:rsid w:val="001100CA"/>
    <w:rsid w:val="001122CB"/>
    <w:rsid w:val="00115D89"/>
    <w:rsid w:val="001163F7"/>
    <w:rsid w:val="00116CA7"/>
    <w:rsid w:val="00116F68"/>
    <w:rsid w:val="0011777C"/>
    <w:rsid w:val="001205E4"/>
    <w:rsid w:val="001217CE"/>
    <w:rsid w:val="00123A6B"/>
    <w:rsid w:val="00123B82"/>
    <w:rsid w:val="00125DE4"/>
    <w:rsid w:val="00126253"/>
    <w:rsid w:val="00127A6C"/>
    <w:rsid w:val="001306AA"/>
    <w:rsid w:val="00131A01"/>
    <w:rsid w:val="00135203"/>
    <w:rsid w:val="00140115"/>
    <w:rsid w:val="001418E3"/>
    <w:rsid w:val="00142169"/>
    <w:rsid w:val="00143733"/>
    <w:rsid w:val="00144256"/>
    <w:rsid w:val="001445FA"/>
    <w:rsid w:val="001468D0"/>
    <w:rsid w:val="00150575"/>
    <w:rsid w:val="001520CC"/>
    <w:rsid w:val="00153805"/>
    <w:rsid w:val="00154F5A"/>
    <w:rsid w:val="001561BE"/>
    <w:rsid w:val="001562FF"/>
    <w:rsid w:val="0015660A"/>
    <w:rsid w:val="00160382"/>
    <w:rsid w:val="001611A8"/>
    <w:rsid w:val="00161750"/>
    <w:rsid w:val="001625FE"/>
    <w:rsid w:val="00166D3B"/>
    <w:rsid w:val="00170AE0"/>
    <w:rsid w:val="00172597"/>
    <w:rsid w:val="00174D7E"/>
    <w:rsid w:val="00176D86"/>
    <w:rsid w:val="00181578"/>
    <w:rsid w:val="00181A8E"/>
    <w:rsid w:val="00181F97"/>
    <w:rsid w:val="00182372"/>
    <w:rsid w:val="001829F1"/>
    <w:rsid w:val="00183F1B"/>
    <w:rsid w:val="001840C9"/>
    <w:rsid w:val="0018428D"/>
    <w:rsid w:val="0018695B"/>
    <w:rsid w:val="00186A4D"/>
    <w:rsid w:val="001872FE"/>
    <w:rsid w:val="001921EC"/>
    <w:rsid w:val="00192244"/>
    <w:rsid w:val="001A1605"/>
    <w:rsid w:val="001A1616"/>
    <w:rsid w:val="001A177F"/>
    <w:rsid w:val="001A2B33"/>
    <w:rsid w:val="001A3547"/>
    <w:rsid w:val="001A3755"/>
    <w:rsid w:val="001A4720"/>
    <w:rsid w:val="001A5177"/>
    <w:rsid w:val="001A719A"/>
    <w:rsid w:val="001B10CB"/>
    <w:rsid w:val="001B3772"/>
    <w:rsid w:val="001B420F"/>
    <w:rsid w:val="001B58A4"/>
    <w:rsid w:val="001B5EB8"/>
    <w:rsid w:val="001B6459"/>
    <w:rsid w:val="001B662C"/>
    <w:rsid w:val="001B6D56"/>
    <w:rsid w:val="001B6DFC"/>
    <w:rsid w:val="001B71D7"/>
    <w:rsid w:val="001B78A6"/>
    <w:rsid w:val="001C1EC5"/>
    <w:rsid w:val="001C329E"/>
    <w:rsid w:val="001C3845"/>
    <w:rsid w:val="001C398A"/>
    <w:rsid w:val="001C4200"/>
    <w:rsid w:val="001C682F"/>
    <w:rsid w:val="001D0C71"/>
    <w:rsid w:val="001D1E3B"/>
    <w:rsid w:val="001D389C"/>
    <w:rsid w:val="001D4371"/>
    <w:rsid w:val="001D6791"/>
    <w:rsid w:val="001D78EF"/>
    <w:rsid w:val="001D7A8A"/>
    <w:rsid w:val="001E0865"/>
    <w:rsid w:val="001E0DA8"/>
    <w:rsid w:val="001E1002"/>
    <w:rsid w:val="001E2965"/>
    <w:rsid w:val="001E2C6E"/>
    <w:rsid w:val="001E3B58"/>
    <w:rsid w:val="001E40C3"/>
    <w:rsid w:val="001E411F"/>
    <w:rsid w:val="001E48B0"/>
    <w:rsid w:val="001E4A57"/>
    <w:rsid w:val="001E4F9E"/>
    <w:rsid w:val="001E5F17"/>
    <w:rsid w:val="001E6567"/>
    <w:rsid w:val="001E7173"/>
    <w:rsid w:val="001E765C"/>
    <w:rsid w:val="001E7FD5"/>
    <w:rsid w:val="001F102E"/>
    <w:rsid w:val="001F2123"/>
    <w:rsid w:val="001F3145"/>
    <w:rsid w:val="001F365C"/>
    <w:rsid w:val="001F428F"/>
    <w:rsid w:val="001F49AD"/>
    <w:rsid w:val="001F56B9"/>
    <w:rsid w:val="001F68C3"/>
    <w:rsid w:val="001F7116"/>
    <w:rsid w:val="00200919"/>
    <w:rsid w:val="00200D93"/>
    <w:rsid w:val="00201191"/>
    <w:rsid w:val="002011C9"/>
    <w:rsid w:val="0020689E"/>
    <w:rsid w:val="00206C0C"/>
    <w:rsid w:val="0020738C"/>
    <w:rsid w:val="00210A40"/>
    <w:rsid w:val="00211BC0"/>
    <w:rsid w:val="00213D12"/>
    <w:rsid w:val="00213DCA"/>
    <w:rsid w:val="002148AF"/>
    <w:rsid w:val="00215531"/>
    <w:rsid w:val="002158FD"/>
    <w:rsid w:val="002231D7"/>
    <w:rsid w:val="00227577"/>
    <w:rsid w:val="002301C1"/>
    <w:rsid w:val="00231F0C"/>
    <w:rsid w:val="0023513F"/>
    <w:rsid w:val="00235665"/>
    <w:rsid w:val="00240C1D"/>
    <w:rsid w:val="00241880"/>
    <w:rsid w:val="002427B4"/>
    <w:rsid w:val="002430EC"/>
    <w:rsid w:val="00243C96"/>
    <w:rsid w:val="00244409"/>
    <w:rsid w:val="002444DE"/>
    <w:rsid w:val="002473D5"/>
    <w:rsid w:val="00250DF4"/>
    <w:rsid w:val="00251306"/>
    <w:rsid w:val="00251FAF"/>
    <w:rsid w:val="00254A6A"/>
    <w:rsid w:val="00254AC1"/>
    <w:rsid w:val="0025631F"/>
    <w:rsid w:val="002567D9"/>
    <w:rsid w:val="00257637"/>
    <w:rsid w:val="002601A5"/>
    <w:rsid w:val="002604AF"/>
    <w:rsid w:val="002609F3"/>
    <w:rsid w:val="00261A65"/>
    <w:rsid w:val="00263367"/>
    <w:rsid w:val="00264533"/>
    <w:rsid w:val="0027140E"/>
    <w:rsid w:val="00276F3B"/>
    <w:rsid w:val="002779A7"/>
    <w:rsid w:val="00277C9B"/>
    <w:rsid w:val="00281000"/>
    <w:rsid w:val="0028205E"/>
    <w:rsid w:val="002851A8"/>
    <w:rsid w:val="00286371"/>
    <w:rsid w:val="00286AAE"/>
    <w:rsid w:val="00286BCE"/>
    <w:rsid w:val="00290BF0"/>
    <w:rsid w:val="00293CAA"/>
    <w:rsid w:val="002948EB"/>
    <w:rsid w:val="002A0141"/>
    <w:rsid w:val="002A0AC7"/>
    <w:rsid w:val="002A0D46"/>
    <w:rsid w:val="002A313A"/>
    <w:rsid w:val="002A31F1"/>
    <w:rsid w:val="002A33E8"/>
    <w:rsid w:val="002A42D9"/>
    <w:rsid w:val="002B0A98"/>
    <w:rsid w:val="002B0AD1"/>
    <w:rsid w:val="002B0D0A"/>
    <w:rsid w:val="002B1C71"/>
    <w:rsid w:val="002B5654"/>
    <w:rsid w:val="002B785A"/>
    <w:rsid w:val="002B7E66"/>
    <w:rsid w:val="002C1B56"/>
    <w:rsid w:val="002C1C07"/>
    <w:rsid w:val="002C3DBA"/>
    <w:rsid w:val="002C5C71"/>
    <w:rsid w:val="002C5DDE"/>
    <w:rsid w:val="002D0E43"/>
    <w:rsid w:val="002D2088"/>
    <w:rsid w:val="002D500E"/>
    <w:rsid w:val="002D7D6C"/>
    <w:rsid w:val="002E1A32"/>
    <w:rsid w:val="002E1FEC"/>
    <w:rsid w:val="002E4148"/>
    <w:rsid w:val="002E6056"/>
    <w:rsid w:val="002F0166"/>
    <w:rsid w:val="002F2AFD"/>
    <w:rsid w:val="002F3013"/>
    <w:rsid w:val="002F46C2"/>
    <w:rsid w:val="002F4873"/>
    <w:rsid w:val="00300F0E"/>
    <w:rsid w:val="0030129D"/>
    <w:rsid w:val="00301979"/>
    <w:rsid w:val="00302504"/>
    <w:rsid w:val="003025A4"/>
    <w:rsid w:val="003029A6"/>
    <w:rsid w:val="00303109"/>
    <w:rsid w:val="00307596"/>
    <w:rsid w:val="00311D0A"/>
    <w:rsid w:val="00311D1D"/>
    <w:rsid w:val="0031237B"/>
    <w:rsid w:val="00312D5B"/>
    <w:rsid w:val="00313737"/>
    <w:rsid w:val="00313FBD"/>
    <w:rsid w:val="003141C1"/>
    <w:rsid w:val="003141D9"/>
    <w:rsid w:val="003146FD"/>
    <w:rsid w:val="00314B80"/>
    <w:rsid w:val="00315DC2"/>
    <w:rsid w:val="0031657D"/>
    <w:rsid w:val="00323664"/>
    <w:rsid w:val="0032479A"/>
    <w:rsid w:val="00326441"/>
    <w:rsid w:val="003267CA"/>
    <w:rsid w:val="00330D5D"/>
    <w:rsid w:val="0033163D"/>
    <w:rsid w:val="00332DF3"/>
    <w:rsid w:val="00333D35"/>
    <w:rsid w:val="00334782"/>
    <w:rsid w:val="003347B0"/>
    <w:rsid w:val="00334C92"/>
    <w:rsid w:val="00334EF3"/>
    <w:rsid w:val="00335072"/>
    <w:rsid w:val="003353EA"/>
    <w:rsid w:val="00336A8B"/>
    <w:rsid w:val="003372CA"/>
    <w:rsid w:val="00337E4A"/>
    <w:rsid w:val="00340A58"/>
    <w:rsid w:val="00341047"/>
    <w:rsid w:val="003412D9"/>
    <w:rsid w:val="0034145C"/>
    <w:rsid w:val="00344EF9"/>
    <w:rsid w:val="003512FB"/>
    <w:rsid w:val="003517CF"/>
    <w:rsid w:val="003520B9"/>
    <w:rsid w:val="00353227"/>
    <w:rsid w:val="00354291"/>
    <w:rsid w:val="00355EDA"/>
    <w:rsid w:val="00360941"/>
    <w:rsid w:val="00363DAD"/>
    <w:rsid w:val="0036400D"/>
    <w:rsid w:val="00364D27"/>
    <w:rsid w:val="00366CEB"/>
    <w:rsid w:val="00373056"/>
    <w:rsid w:val="0037308E"/>
    <w:rsid w:val="0037596E"/>
    <w:rsid w:val="003764E4"/>
    <w:rsid w:val="00376D05"/>
    <w:rsid w:val="003802D7"/>
    <w:rsid w:val="0038057A"/>
    <w:rsid w:val="003819BA"/>
    <w:rsid w:val="00384DF6"/>
    <w:rsid w:val="00384EAB"/>
    <w:rsid w:val="00386FAD"/>
    <w:rsid w:val="00387BE6"/>
    <w:rsid w:val="003914B1"/>
    <w:rsid w:val="003922C5"/>
    <w:rsid w:val="003925BA"/>
    <w:rsid w:val="003931FE"/>
    <w:rsid w:val="00393EF2"/>
    <w:rsid w:val="00394729"/>
    <w:rsid w:val="003950E3"/>
    <w:rsid w:val="00395A14"/>
    <w:rsid w:val="003A0CDD"/>
    <w:rsid w:val="003A11EE"/>
    <w:rsid w:val="003A409E"/>
    <w:rsid w:val="003A40C5"/>
    <w:rsid w:val="003A4219"/>
    <w:rsid w:val="003A563C"/>
    <w:rsid w:val="003A5C4A"/>
    <w:rsid w:val="003B165A"/>
    <w:rsid w:val="003B1CD6"/>
    <w:rsid w:val="003B2CD8"/>
    <w:rsid w:val="003B37ED"/>
    <w:rsid w:val="003B3BC8"/>
    <w:rsid w:val="003B4404"/>
    <w:rsid w:val="003B45F3"/>
    <w:rsid w:val="003B4BCE"/>
    <w:rsid w:val="003B7A70"/>
    <w:rsid w:val="003C0AE1"/>
    <w:rsid w:val="003C0EFA"/>
    <w:rsid w:val="003C387E"/>
    <w:rsid w:val="003C4CCA"/>
    <w:rsid w:val="003C53F7"/>
    <w:rsid w:val="003C688B"/>
    <w:rsid w:val="003C7452"/>
    <w:rsid w:val="003D3D3A"/>
    <w:rsid w:val="003D5B70"/>
    <w:rsid w:val="003D6289"/>
    <w:rsid w:val="003D66A3"/>
    <w:rsid w:val="003D797B"/>
    <w:rsid w:val="003E0B10"/>
    <w:rsid w:val="003E0F75"/>
    <w:rsid w:val="003E2428"/>
    <w:rsid w:val="003E3D30"/>
    <w:rsid w:val="003E4F51"/>
    <w:rsid w:val="003E6168"/>
    <w:rsid w:val="003E64B3"/>
    <w:rsid w:val="003E66BE"/>
    <w:rsid w:val="003E6CA3"/>
    <w:rsid w:val="003F0397"/>
    <w:rsid w:val="003F6499"/>
    <w:rsid w:val="003F7DE5"/>
    <w:rsid w:val="004009C0"/>
    <w:rsid w:val="00402F1C"/>
    <w:rsid w:val="00405456"/>
    <w:rsid w:val="00405710"/>
    <w:rsid w:val="00406447"/>
    <w:rsid w:val="00407132"/>
    <w:rsid w:val="00413D27"/>
    <w:rsid w:val="00415169"/>
    <w:rsid w:val="004152DA"/>
    <w:rsid w:val="00415B66"/>
    <w:rsid w:val="00417B33"/>
    <w:rsid w:val="00417F44"/>
    <w:rsid w:val="004238FF"/>
    <w:rsid w:val="00424482"/>
    <w:rsid w:val="00424662"/>
    <w:rsid w:val="004258C5"/>
    <w:rsid w:val="004266CC"/>
    <w:rsid w:val="00427FCE"/>
    <w:rsid w:val="00431147"/>
    <w:rsid w:val="00435A8B"/>
    <w:rsid w:val="00437CDE"/>
    <w:rsid w:val="0044261C"/>
    <w:rsid w:val="004459DD"/>
    <w:rsid w:val="00451286"/>
    <w:rsid w:val="004540B7"/>
    <w:rsid w:val="004542AB"/>
    <w:rsid w:val="0045537E"/>
    <w:rsid w:val="004606C5"/>
    <w:rsid w:val="0046313A"/>
    <w:rsid w:val="00463765"/>
    <w:rsid w:val="004649F7"/>
    <w:rsid w:val="004655D5"/>
    <w:rsid w:val="004656E2"/>
    <w:rsid w:val="00465CB9"/>
    <w:rsid w:val="004709FF"/>
    <w:rsid w:val="00470E91"/>
    <w:rsid w:val="00471502"/>
    <w:rsid w:val="004744EF"/>
    <w:rsid w:val="00474681"/>
    <w:rsid w:val="00474C15"/>
    <w:rsid w:val="00475563"/>
    <w:rsid w:val="004777F7"/>
    <w:rsid w:val="00477F7D"/>
    <w:rsid w:val="004811AE"/>
    <w:rsid w:val="004824DE"/>
    <w:rsid w:val="00483251"/>
    <w:rsid w:val="00484A4F"/>
    <w:rsid w:val="00484DE4"/>
    <w:rsid w:val="00485162"/>
    <w:rsid w:val="00487C58"/>
    <w:rsid w:val="0049133D"/>
    <w:rsid w:val="00492509"/>
    <w:rsid w:val="00496834"/>
    <w:rsid w:val="004978C9"/>
    <w:rsid w:val="004A0700"/>
    <w:rsid w:val="004A0E68"/>
    <w:rsid w:val="004A14CC"/>
    <w:rsid w:val="004A1862"/>
    <w:rsid w:val="004A1905"/>
    <w:rsid w:val="004A1D85"/>
    <w:rsid w:val="004A2461"/>
    <w:rsid w:val="004A48E5"/>
    <w:rsid w:val="004A5EB8"/>
    <w:rsid w:val="004A695C"/>
    <w:rsid w:val="004B1B6B"/>
    <w:rsid w:val="004B2ECC"/>
    <w:rsid w:val="004B35AB"/>
    <w:rsid w:val="004B3B58"/>
    <w:rsid w:val="004B5091"/>
    <w:rsid w:val="004B67F3"/>
    <w:rsid w:val="004C1461"/>
    <w:rsid w:val="004C371E"/>
    <w:rsid w:val="004C50DB"/>
    <w:rsid w:val="004C5D89"/>
    <w:rsid w:val="004C6C66"/>
    <w:rsid w:val="004D08C1"/>
    <w:rsid w:val="004D1ECB"/>
    <w:rsid w:val="004D314C"/>
    <w:rsid w:val="004D499B"/>
    <w:rsid w:val="004D5610"/>
    <w:rsid w:val="004D7879"/>
    <w:rsid w:val="004E16D7"/>
    <w:rsid w:val="004E2031"/>
    <w:rsid w:val="004E4D3F"/>
    <w:rsid w:val="004E535C"/>
    <w:rsid w:val="004E62B9"/>
    <w:rsid w:val="004F042A"/>
    <w:rsid w:val="004F0873"/>
    <w:rsid w:val="004F1382"/>
    <w:rsid w:val="004F40FD"/>
    <w:rsid w:val="004F52D1"/>
    <w:rsid w:val="004F6BDB"/>
    <w:rsid w:val="00500381"/>
    <w:rsid w:val="00506925"/>
    <w:rsid w:val="005076F5"/>
    <w:rsid w:val="005103F8"/>
    <w:rsid w:val="00510A99"/>
    <w:rsid w:val="0051282B"/>
    <w:rsid w:val="00516755"/>
    <w:rsid w:val="005171FD"/>
    <w:rsid w:val="005209A0"/>
    <w:rsid w:val="005216D8"/>
    <w:rsid w:val="00524489"/>
    <w:rsid w:val="00524791"/>
    <w:rsid w:val="005251DE"/>
    <w:rsid w:val="00531F48"/>
    <w:rsid w:val="00533755"/>
    <w:rsid w:val="00533847"/>
    <w:rsid w:val="005338AE"/>
    <w:rsid w:val="00535681"/>
    <w:rsid w:val="00536377"/>
    <w:rsid w:val="0053759A"/>
    <w:rsid w:val="00540431"/>
    <w:rsid w:val="00540C1D"/>
    <w:rsid w:val="00541247"/>
    <w:rsid w:val="005429F5"/>
    <w:rsid w:val="00543387"/>
    <w:rsid w:val="00546D3C"/>
    <w:rsid w:val="00550041"/>
    <w:rsid w:val="005503A6"/>
    <w:rsid w:val="0055310B"/>
    <w:rsid w:val="00553119"/>
    <w:rsid w:val="00553ED6"/>
    <w:rsid w:val="00554D62"/>
    <w:rsid w:val="0055754B"/>
    <w:rsid w:val="0056200E"/>
    <w:rsid w:val="00563C5B"/>
    <w:rsid w:val="0056433F"/>
    <w:rsid w:val="00565524"/>
    <w:rsid w:val="00566206"/>
    <w:rsid w:val="00570F07"/>
    <w:rsid w:val="005716E7"/>
    <w:rsid w:val="0057210B"/>
    <w:rsid w:val="005728BA"/>
    <w:rsid w:val="00577D47"/>
    <w:rsid w:val="00581241"/>
    <w:rsid w:val="0058132D"/>
    <w:rsid w:val="00583E32"/>
    <w:rsid w:val="005859FC"/>
    <w:rsid w:val="005865BC"/>
    <w:rsid w:val="00586B79"/>
    <w:rsid w:val="005873A9"/>
    <w:rsid w:val="00587E58"/>
    <w:rsid w:val="00590946"/>
    <w:rsid w:val="00591147"/>
    <w:rsid w:val="00595B07"/>
    <w:rsid w:val="005A13EA"/>
    <w:rsid w:val="005A45B9"/>
    <w:rsid w:val="005A4B06"/>
    <w:rsid w:val="005A5BE3"/>
    <w:rsid w:val="005A79EA"/>
    <w:rsid w:val="005A7CF7"/>
    <w:rsid w:val="005A7F55"/>
    <w:rsid w:val="005B25E0"/>
    <w:rsid w:val="005B2885"/>
    <w:rsid w:val="005B4429"/>
    <w:rsid w:val="005B51A9"/>
    <w:rsid w:val="005B63BE"/>
    <w:rsid w:val="005C0840"/>
    <w:rsid w:val="005C17D6"/>
    <w:rsid w:val="005C34F1"/>
    <w:rsid w:val="005C3F76"/>
    <w:rsid w:val="005C3FBF"/>
    <w:rsid w:val="005C5581"/>
    <w:rsid w:val="005C6720"/>
    <w:rsid w:val="005C6DC8"/>
    <w:rsid w:val="005D03D4"/>
    <w:rsid w:val="005D0ABD"/>
    <w:rsid w:val="005D165F"/>
    <w:rsid w:val="005D20F9"/>
    <w:rsid w:val="005D2614"/>
    <w:rsid w:val="005D3B35"/>
    <w:rsid w:val="005D3C2E"/>
    <w:rsid w:val="005D4361"/>
    <w:rsid w:val="005D5AE4"/>
    <w:rsid w:val="005D739A"/>
    <w:rsid w:val="005E0291"/>
    <w:rsid w:val="005E3FBD"/>
    <w:rsid w:val="005E44F2"/>
    <w:rsid w:val="005F02DC"/>
    <w:rsid w:val="005F1B64"/>
    <w:rsid w:val="005F226B"/>
    <w:rsid w:val="005F325A"/>
    <w:rsid w:val="005F4561"/>
    <w:rsid w:val="005F4C46"/>
    <w:rsid w:val="005F52D8"/>
    <w:rsid w:val="005F592B"/>
    <w:rsid w:val="005F5CEC"/>
    <w:rsid w:val="006002AF"/>
    <w:rsid w:val="0060136D"/>
    <w:rsid w:val="006025E3"/>
    <w:rsid w:val="006060FD"/>
    <w:rsid w:val="00607771"/>
    <w:rsid w:val="00610C89"/>
    <w:rsid w:val="00610CE8"/>
    <w:rsid w:val="006116F6"/>
    <w:rsid w:val="00611BB7"/>
    <w:rsid w:val="00617CB8"/>
    <w:rsid w:val="00620375"/>
    <w:rsid w:val="006207ED"/>
    <w:rsid w:val="00621269"/>
    <w:rsid w:val="006223DA"/>
    <w:rsid w:val="00622FEF"/>
    <w:rsid w:val="00623EDA"/>
    <w:rsid w:val="00624412"/>
    <w:rsid w:val="00624A76"/>
    <w:rsid w:val="006250EC"/>
    <w:rsid w:val="00625B5B"/>
    <w:rsid w:val="00625F89"/>
    <w:rsid w:val="00627321"/>
    <w:rsid w:val="0063146C"/>
    <w:rsid w:val="0063366B"/>
    <w:rsid w:val="00633978"/>
    <w:rsid w:val="00635149"/>
    <w:rsid w:val="006356AB"/>
    <w:rsid w:val="00642782"/>
    <w:rsid w:val="00642F64"/>
    <w:rsid w:val="00645743"/>
    <w:rsid w:val="00645EF9"/>
    <w:rsid w:val="006471CF"/>
    <w:rsid w:val="00647AD3"/>
    <w:rsid w:val="00647E4B"/>
    <w:rsid w:val="0065020D"/>
    <w:rsid w:val="006507A6"/>
    <w:rsid w:val="00655727"/>
    <w:rsid w:val="0065665B"/>
    <w:rsid w:val="00656DD1"/>
    <w:rsid w:val="006624CD"/>
    <w:rsid w:val="00663BA7"/>
    <w:rsid w:val="00667EC4"/>
    <w:rsid w:val="00671135"/>
    <w:rsid w:val="00672224"/>
    <w:rsid w:val="00674E7C"/>
    <w:rsid w:val="00675701"/>
    <w:rsid w:val="00676534"/>
    <w:rsid w:val="00680D25"/>
    <w:rsid w:val="00685B9C"/>
    <w:rsid w:val="00687C2D"/>
    <w:rsid w:val="006900E6"/>
    <w:rsid w:val="00690358"/>
    <w:rsid w:val="00690FCD"/>
    <w:rsid w:val="00691E9A"/>
    <w:rsid w:val="006936C9"/>
    <w:rsid w:val="00694B1C"/>
    <w:rsid w:val="0069571D"/>
    <w:rsid w:val="00695B15"/>
    <w:rsid w:val="006A0461"/>
    <w:rsid w:val="006A16CF"/>
    <w:rsid w:val="006A25B6"/>
    <w:rsid w:val="006A2723"/>
    <w:rsid w:val="006A2C16"/>
    <w:rsid w:val="006A39ED"/>
    <w:rsid w:val="006A4CB6"/>
    <w:rsid w:val="006A5BF4"/>
    <w:rsid w:val="006A79A8"/>
    <w:rsid w:val="006B0234"/>
    <w:rsid w:val="006B0D2F"/>
    <w:rsid w:val="006B0DFE"/>
    <w:rsid w:val="006B2AD9"/>
    <w:rsid w:val="006B31BC"/>
    <w:rsid w:val="006C2238"/>
    <w:rsid w:val="006C349B"/>
    <w:rsid w:val="006C4BD7"/>
    <w:rsid w:val="006C5F96"/>
    <w:rsid w:val="006C626B"/>
    <w:rsid w:val="006C78BF"/>
    <w:rsid w:val="006D0C37"/>
    <w:rsid w:val="006D37C0"/>
    <w:rsid w:val="006D65D9"/>
    <w:rsid w:val="006E03F4"/>
    <w:rsid w:val="006E0737"/>
    <w:rsid w:val="006E1A4A"/>
    <w:rsid w:val="006E3AA7"/>
    <w:rsid w:val="006E6CF5"/>
    <w:rsid w:val="006E7269"/>
    <w:rsid w:val="006F2B53"/>
    <w:rsid w:val="006F34A7"/>
    <w:rsid w:val="006F3F5F"/>
    <w:rsid w:val="006F4F41"/>
    <w:rsid w:val="00700ECE"/>
    <w:rsid w:val="0070281F"/>
    <w:rsid w:val="00702D53"/>
    <w:rsid w:val="00704FB5"/>
    <w:rsid w:val="0070579E"/>
    <w:rsid w:val="00705AB6"/>
    <w:rsid w:val="00710D6C"/>
    <w:rsid w:val="00712B49"/>
    <w:rsid w:val="0071355F"/>
    <w:rsid w:val="0071456B"/>
    <w:rsid w:val="00714600"/>
    <w:rsid w:val="0071590A"/>
    <w:rsid w:val="007161E2"/>
    <w:rsid w:val="00717378"/>
    <w:rsid w:val="00720585"/>
    <w:rsid w:val="0072354E"/>
    <w:rsid w:val="00724478"/>
    <w:rsid w:val="00725352"/>
    <w:rsid w:val="0072542E"/>
    <w:rsid w:val="00725497"/>
    <w:rsid w:val="00725D1A"/>
    <w:rsid w:val="00726A7B"/>
    <w:rsid w:val="007273BD"/>
    <w:rsid w:val="007311AD"/>
    <w:rsid w:val="00731D42"/>
    <w:rsid w:val="00731E16"/>
    <w:rsid w:val="00731F9D"/>
    <w:rsid w:val="00733405"/>
    <w:rsid w:val="00735D1A"/>
    <w:rsid w:val="00736232"/>
    <w:rsid w:val="00736818"/>
    <w:rsid w:val="00740D27"/>
    <w:rsid w:val="00741F21"/>
    <w:rsid w:val="00742248"/>
    <w:rsid w:val="00745447"/>
    <w:rsid w:val="0075156C"/>
    <w:rsid w:val="007530E5"/>
    <w:rsid w:val="007562E9"/>
    <w:rsid w:val="00757EE9"/>
    <w:rsid w:val="007601BF"/>
    <w:rsid w:val="00761AF5"/>
    <w:rsid w:val="00762CDB"/>
    <w:rsid w:val="00763003"/>
    <w:rsid w:val="00763452"/>
    <w:rsid w:val="00766E12"/>
    <w:rsid w:val="0076749C"/>
    <w:rsid w:val="0077035B"/>
    <w:rsid w:val="007708B2"/>
    <w:rsid w:val="00770A81"/>
    <w:rsid w:val="007719F5"/>
    <w:rsid w:val="007742AB"/>
    <w:rsid w:val="00775066"/>
    <w:rsid w:val="00775A30"/>
    <w:rsid w:val="00776A77"/>
    <w:rsid w:val="0077782D"/>
    <w:rsid w:val="00781758"/>
    <w:rsid w:val="00781856"/>
    <w:rsid w:val="00782753"/>
    <w:rsid w:val="00782761"/>
    <w:rsid w:val="00782D1E"/>
    <w:rsid w:val="00784518"/>
    <w:rsid w:val="0078455D"/>
    <w:rsid w:val="00784634"/>
    <w:rsid w:val="007862D8"/>
    <w:rsid w:val="00786B8E"/>
    <w:rsid w:val="00790028"/>
    <w:rsid w:val="0079046D"/>
    <w:rsid w:val="00794632"/>
    <w:rsid w:val="00794650"/>
    <w:rsid w:val="00794776"/>
    <w:rsid w:val="00794B35"/>
    <w:rsid w:val="00795A7C"/>
    <w:rsid w:val="007A4885"/>
    <w:rsid w:val="007A563E"/>
    <w:rsid w:val="007A67EE"/>
    <w:rsid w:val="007B19EE"/>
    <w:rsid w:val="007B2F19"/>
    <w:rsid w:val="007B60A3"/>
    <w:rsid w:val="007B667C"/>
    <w:rsid w:val="007B70CA"/>
    <w:rsid w:val="007B7BFC"/>
    <w:rsid w:val="007D2421"/>
    <w:rsid w:val="007D32D9"/>
    <w:rsid w:val="007D331A"/>
    <w:rsid w:val="007D3EBB"/>
    <w:rsid w:val="007D5936"/>
    <w:rsid w:val="007D73FE"/>
    <w:rsid w:val="007D7F1D"/>
    <w:rsid w:val="007E1D62"/>
    <w:rsid w:val="007E2D23"/>
    <w:rsid w:val="007E315A"/>
    <w:rsid w:val="007E3982"/>
    <w:rsid w:val="007F0E4F"/>
    <w:rsid w:val="007F2A29"/>
    <w:rsid w:val="007F4CFC"/>
    <w:rsid w:val="007F65A7"/>
    <w:rsid w:val="007F6C36"/>
    <w:rsid w:val="007F6C95"/>
    <w:rsid w:val="008009E7"/>
    <w:rsid w:val="00801400"/>
    <w:rsid w:val="008035FA"/>
    <w:rsid w:val="00804089"/>
    <w:rsid w:val="008045D4"/>
    <w:rsid w:val="008112C0"/>
    <w:rsid w:val="0082336F"/>
    <w:rsid w:val="00823B97"/>
    <w:rsid w:val="008260DD"/>
    <w:rsid w:val="008262E2"/>
    <w:rsid w:val="008301AC"/>
    <w:rsid w:val="00831065"/>
    <w:rsid w:val="00831DEB"/>
    <w:rsid w:val="00832870"/>
    <w:rsid w:val="00836D83"/>
    <w:rsid w:val="0084029B"/>
    <w:rsid w:val="008405DC"/>
    <w:rsid w:val="00844D33"/>
    <w:rsid w:val="00846743"/>
    <w:rsid w:val="00852CB7"/>
    <w:rsid w:val="008530E2"/>
    <w:rsid w:val="00862969"/>
    <w:rsid w:val="00864F5D"/>
    <w:rsid w:val="00865143"/>
    <w:rsid w:val="008666CF"/>
    <w:rsid w:val="0086757C"/>
    <w:rsid w:val="0087025C"/>
    <w:rsid w:val="00872B73"/>
    <w:rsid w:val="00873014"/>
    <w:rsid w:val="00874E78"/>
    <w:rsid w:val="0087740E"/>
    <w:rsid w:val="00877EF0"/>
    <w:rsid w:val="00880C71"/>
    <w:rsid w:val="008811BA"/>
    <w:rsid w:val="00881CA3"/>
    <w:rsid w:val="00882B67"/>
    <w:rsid w:val="00884CF9"/>
    <w:rsid w:val="008858F4"/>
    <w:rsid w:val="008870E8"/>
    <w:rsid w:val="00887450"/>
    <w:rsid w:val="00892481"/>
    <w:rsid w:val="0089291B"/>
    <w:rsid w:val="00892A3F"/>
    <w:rsid w:val="00893E32"/>
    <w:rsid w:val="0089405B"/>
    <w:rsid w:val="008947F5"/>
    <w:rsid w:val="00897279"/>
    <w:rsid w:val="00897884"/>
    <w:rsid w:val="008A355F"/>
    <w:rsid w:val="008A394C"/>
    <w:rsid w:val="008A44FB"/>
    <w:rsid w:val="008A5A85"/>
    <w:rsid w:val="008A6FD9"/>
    <w:rsid w:val="008B13B1"/>
    <w:rsid w:val="008B2AD5"/>
    <w:rsid w:val="008B4C62"/>
    <w:rsid w:val="008B4E73"/>
    <w:rsid w:val="008B65CB"/>
    <w:rsid w:val="008C1292"/>
    <w:rsid w:val="008C233F"/>
    <w:rsid w:val="008C2737"/>
    <w:rsid w:val="008C2E0E"/>
    <w:rsid w:val="008C3159"/>
    <w:rsid w:val="008C52F2"/>
    <w:rsid w:val="008D17FD"/>
    <w:rsid w:val="008D2CCC"/>
    <w:rsid w:val="008D45DD"/>
    <w:rsid w:val="008D5272"/>
    <w:rsid w:val="008D534D"/>
    <w:rsid w:val="008D53D4"/>
    <w:rsid w:val="008D6927"/>
    <w:rsid w:val="008D6D69"/>
    <w:rsid w:val="008D7203"/>
    <w:rsid w:val="008D7862"/>
    <w:rsid w:val="008E1397"/>
    <w:rsid w:val="008E198E"/>
    <w:rsid w:val="008E4458"/>
    <w:rsid w:val="008E7797"/>
    <w:rsid w:val="008F0799"/>
    <w:rsid w:val="008F13F4"/>
    <w:rsid w:val="008F1E08"/>
    <w:rsid w:val="008F726B"/>
    <w:rsid w:val="009007D0"/>
    <w:rsid w:val="0090150B"/>
    <w:rsid w:val="0090556F"/>
    <w:rsid w:val="00906216"/>
    <w:rsid w:val="009103B5"/>
    <w:rsid w:val="00913C5B"/>
    <w:rsid w:val="0091575C"/>
    <w:rsid w:val="0091788F"/>
    <w:rsid w:val="00920584"/>
    <w:rsid w:val="00922033"/>
    <w:rsid w:val="00922A31"/>
    <w:rsid w:val="00923212"/>
    <w:rsid w:val="009234A6"/>
    <w:rsid w:val="00924A40"/>
    <w:rsid w:val="00932424"/>
    <w:rsid w:val="009340CF"/>
    <w:rsid w:val="0093501E"/>
    <w:rsid w:val="00936EF9"/>
    <w:rsid w:val="0093795F"/>
    <w:rsid w:val="0094180A"/>
    <w:rsid w:val="00941F42"/>
    <w:rsid w:val="009422A1"/>
    <w:rsid w:val="00942DA6"/>
    <w:rsid w:val="009436D3"/>
    <w:rsid w:val="00944CE0"/>
    <w:rsid w:val="009456BC"/>
    <w:rsid w:val="00945C02"/>
    <w:rsid w:val="009468C9"/>
    <w:rsid w:val="00946F49"/>
    <w:rsid w:val="00947953"/>
    <w:rsid w:val="0095089C"/>
    <w:rsid w:val="009519D1"/>
    <w:rsid w:val="0095255C"/>
    <w:rsid w:val="00952B2E"/>
    <w:rsid w:val="0095346D"/>
    <w:rsid w:val="00956867"/>
    <w:rsid w:val="009579AD"/>
    <w:rsid w:val="00957C64"/>
    <w:rsid w:val="009617F9"/>
    <w:rsid w:val="00962757"/>
    <w:rsid w:val="00966855"/>
    <w:rsid w:val="009707F2"/>
    <w:rsid w:val="00973A80"/>
    <w:rsid w:val="00974E19"/>
    <w:rsid w:val="00975205"/>
    <w:rsid w:val="009774D9"/>
    <w:rsid w:val="009806B9"/>
    <w:rsid w:val="00981660"/>
    <w:rsid w:val="00982E90"/>
    <w:rsid w:val="009855B7"/>
    <w:rsid w:val="00985796"/>
    <w:rsid w:val="00987683"/>
    <w:rsid w:val="00990895"/>
    <w:rsid w:val="00991562"/>
    <w:rsid w:val="00991C63"/>
    <w:rsid w:val="00993549"/>
    <w:rsid w:val="00994596"/>
    <w:rsid w:val="00994A36"/>
    <w:rsid w:val="00994F38"/>
    <w:rsid w:val="00996A07"/>
    <w:rsid w:val="00997D70"/>
    <w:rsid w:val="009A0218"/>
    <w:rsid w:val="009A266D"/>
    <w:rsid w:val="009A3BD6"/>
    <w:rsid w:val="009A431A"/>
    <w:rsid w:val="009A4856"/>
    <w:rsid w:val="009A6156"/>
    <w:rsid w:val="009A68AE"/>
    <w:rsid w:val="009A7765"/>
    <w:rsid w:val="009B0618"/>
    <w:rsid w:val="009B0F1D"/>
    <w:rsid w:val="009B37F0"/>
    <w:rsid w:val="009B565D"/>
    <w:rsid w:val="009B6DA6"/>
    <w:rsid w:val="009B748E"/>
    <w:rsid w:val="009B7BA8"/>
    <w:rsid w:val="009C06FE"/>
    <w:rsid w:val="009C086A"/>
    <w:rsid w:val="009C0CF6"/>
    <w:rsid w:val="009C1D64"/>
    <w:rsid w:val="009C22C6"/>
    <w:rsid w:val="009C31FE"/>
    <w:rsid w:val="009C4AFB"/>
    <w:rsid w:val="009C6DF5"/>
    <w:rsid w:val="009C7569"/>
    <w:rsid w:val="009C7AB4"/>
    <w:rsid w:val="009D1F1D"/>
    <w:rsid w:val="009D3767"/>
    <w:rsid w:val="009D3844"/>
    <w:rsid w:val="009D3A68"/>
    <w:rsid w:val="009D42D3"/>
    <w:rsid w:val="009D4BC3"/>
    <w:rsid w:val="009D52EC"/>
    <w:rsid w:val="009D6358"/>
    <w:rsid w:val="009D7180"/>
    <w:rsid w:val="009D73AC"/>
    <w:rsid w:val="009E0C85"/>
    <w:rsid w:val="009E3265"/>
    <w:rsid w:val="009E349A"/>
    <w:rsid w:val="009E3952"/>
    <w:rsid w:val="009E407C"/>
    <w:rsid w:val="009E49D4"/>
    <w:rsid w:val="009E533B"/>
    <w:rsid w:val="009E745F"/>
    <w:rsid w:val="009E7AAC"/>
    <w:rsid w:val="009F0BD1"/>
    <w:rsid w:val="009F0D2F"/>
    <w:rsid w:val="009F4412"/>
    <w:rsid w:val="009F6FF9"/>
    <w:rsid w:val="00A017E4"/>
    <w:rsid w:val="00A01E13"/>
    <w:rsid w:val="00A01F35"/>
    <w:rsid w:val="00A025E6"/>
    <w:rsid w:val="00A04B41"/>
    <w:rsid w:val="00A04CA1"/>
    <w:rsid w:val="00A050DC"/>
    <w:rsid w:val="00A105DD"/>
    <w:rsid w:val="00A116F1"/>
    <w:rsid w:val="00A12485"/>
    <w:rsid w:val="00A13C41"/>
    <w:rsid w:val="00A14B00"/>
    <w:rsid w:val="00A15223"/>
    <w:rsid w:val="00A15C5F"/>
    <w:rsid w:val="00A174EE"/>
    <w:rsid w:val="00A2045D"/>
    <w:rsid w:val="00A2080F"/>
    <w:rsid w:val="00A211B2"/>
    <w:rsid w:val="00A21A21"/>
    <w:rsid w:val="00A221D7"/>
    <w:rsid w:val="00A252FB"/>
    <w:rsid w:val="00A2735B"/>
    <w:rsid w:val="00A3119B"/>
    <w:rsid w:val="00A3399F"/>
    <w:rsid w:val="00A33A6F"/>
    <w:rsid w:val="00A33C51"/>
    <w:rsid w:val="00A3552C"/>
    <w:rsid w:val="00A35F08"/>
    <w:rsid w:val="00A40242"/>
    <w:rsid w:val="00A4084D"/>
    <w:rsid w:val="00A45910"/>
    <w:rsid w:val="00A46E47"/>
    <w:rsid w:val="00A508F3"/>
    <w:rsid w:val="00A51AC7"/>
    <w:rsid w:val="00A51BE2"/>
    <w:rsid w:val="00A529DB"/>
    <w:rsid w:val="00A53BA6"/>
    <w:rsid w:val="00A53E42"/>
    <w:rsid w:val="00A55F81"/>
    <w:rsid w:val="00A60923"/>
    <w:rsid w:val="00A61341"/>
    <w:rsid w:val="00A62E35"/>
    <w:rsid w:val="00A62E52"/>
    <w:rsid w:val="00A63C11"/>
    <w:rsid w:val="00A6412D"/>
    <w:rsid w:val="00A671C7"/>
    <w:rsid w:val="00A67282"/>
    <w:rsid w:val="00A678D0"/>
    <w:rsid w:val="00A70232"/>
    <w:rsid w:val="00A71EED"/>
    <w:rsid w:val="00A74B41"/>
    <w:rsid w:val="00A755C0"/>
    <w:rsid w:val="00A75C6C"/>
    <w:rsid w:val="00A80600"/>
    <w:rsid w:val="00A821B0"/>
    <w:rsid w:val="00A85D8A"/>
    <w:rsid w:val="00A86408"/>
    <w:rsid w:val="00A918E3"/>
    <w:rsid w:val="00A91F9F"/>
    <w:rsid w:val="00A92B1E"/>
    <w:rsid w:val="00A93C24"/>
    <w:rsid w:val="00A9447A"/>
    <w:rsid w:val="00A946DE"/>
    <w:rsid w:val="00A949EE"/>
    <w:rsid w:val="00A95462"/>
    <w:rsid w:val="00A9587B"/>
    <w:rsid w:val="00A979F8"/>
    <w:rsid w:val="00AA00DB"/>
    <w:rsid w:val="00AA0701"/>
    <w:rsid w:val="00AA7F9E"/>
    <w:rsid w:val="00AB2683"/>
    <w:rsid w:val="00AB26A4"/>
    <w:rsid w:val="00AB326A"/>
    <w:rsid w:val="00AB51E6"/>
    <w:rsid w:val="00AB5D82"/>
    <w:rsid w:val="00AC13BF"/>
    <w:rsid w:val="00AC260A"/>
    <w:rsid w:val="00AC2739"/>
    <w:rsid w:val="00AC3BE2"/>
    <w:rsid w:val="00AC4267"/>
    <w:rsid w:val="00AC45CB"/>
    <w:rsid w:val="00AC77C1"/>
    <w:rsid w:val="00AD2E45"/>
    <w:rsid w:val="00AD74D0"/>
    <w:rsid w:val="00AE0501"/>
    <w:rsid w:val="00AE088D"/>
    <w:rsid w:val="00AE0A43"/>
    <w:rsid w:val="00AE1187"/>
    <w:rsid w:val="00AE23A1"/>
    <w:rsid w:val="00AE24E5"/>
    <w:rsid w:val="00AE285D"/>
    <w:rsid w:val="00AE2FE4"/>
    <w:rsid w:val="00AE33EE"/>
    <w:rsid w:val="00AE43E0"/>
    <w:rsid w:val="00AE7EDE"/>
    <w:rsid w:val="00AF0CDA"/>
    <w:rsid w:val="00AF158F"/>
    <w:rsid w:val="00AF2FB9"/>
    <w:rsid w:val="00AF543C"/>
    <w:rsid w:val="00AF7CDA"/>
    <w:rsid w:val="00B0140C"/>
    <w:rsid w:val="00B06178"/>
    <w:rsid w:val="00B062A4"/>
    <w:rsid w:val="00B07655"/>
    <w:rsid w:val="00B136B3"/>
    <w:rsid w:val="00B17AEA"/>
    <w:rsid w:val="00B20980"/>
    <w:rsid w:val="00B212C9"/>
    <w:rsid w:val="00B222D8"/>
    <w:rsid w:val="00B223B1"/>
    <w:rsid w:val="00B22882"/>
    <w:rsid w:val="00B23424"/>
    <w:rsid w:val="00B27624"/>
    <w:rsid w:val="00B34EC8"/>
    <w:rsid w:val="00B3506C"/>
    <w:rsid w:val="00B41D56"/>
    <w:rsid w:val="00B41E2F"/>
    <w:rsid w:val="00B42CE0"/>
    <w:rsid w:val="00B44CAB"/>
    <w:rsid w:val="00B46A74"/>
    <w:rsid w:val="00B46F95"/>
    <w:rsid w:val="00B5184D"/>
    <w:rsid w:val="00B52054"/>
    <w:rsid w:val="00B5391B"/>
    <w:rsid w:val="00B54273"/>
    <w:rsid w:val="00B550B9"/>
    <w:rsid w:val="00B5664C"/>
    <w:rsid w:val="00B61B08"/>
    <w:rsid w:val="00B61E0E"/>
    <w:rsid w:val="00B6202A"/>
    <w:rsid w:val="00B62676"/>
    <w:rsid w:val="00B630C0"/>
    <w:rsid w:val="00B640F7"/>
    <w:rsid w:val="00B64B60"/>
    <w:rsid w:val="00B64DEA"/>
    <w:rsid w:val="00B64F16"/>
    <w:rsid w:val="00B66CB7"/>
    <w:rsid w:val="00B71F5F"/>
    <w:rsid w:val="00B72397"/>
    <w:rsid w:val="00B73ABC"/>
    <w:rsid w:val="00B74C6E"/>
    <w:rsid w:val="00B750F9"/>
    <w:rsid w:val="00B7557E"/>
    <w:rsid w:val="00B76F25"/>
    <w:rsid w:val="00B77CC6"/>
    <w:rsid w:val="00B83696"/>
    <w:rsid w:val="00B83DBC"/>
    <w:rsid w:val="00B852EA"/>
    <w:rsid w:val="00B90114"/>
    <w:rsid w:val="00B92955"/>
    <w:rsid w:val="00B93EC7"/>
    <w:rsid w:val="00B94A90"/>
    <w:rsid w:val="00B959A0"/>
    <w:rsid w:val="00B968A1"/>
    <w:rsid w:val="00B96D54"/>
    <w:rsid w:val="00BA7D92"/>
    <w:rsid w:val="00BB12C4"/>
    <w:rsid w:val="00BB2185"/>
    <w:rsid w:val="00BB5F2B"/>
    <w:rsid w:val="00BB629F"/>
    <w:rsid w:val="00BB70B7"/>
    <w:rsid w:val="00BC0140"/>
    <w:rsid w:val="00BC1DA4"/>
    <w:rsid w:val="00BC216E"/>
    <w:rsid w:val="00BC3EF5"/>
    <w:rsid w:val="00BC408B"/>
    <w:rsid w:val="00BC472A"/>
    <w:rsid w:val="00BC6D3F"/>
    <w:rsid w:val="00BD137D"/>
    <w:rsid w:val="00BD1EF7"/>
    <w:rsid w:val="00BD3B31"/>
    <w:rsid w:val="00BD4EFA"/>
    <w:rsid w:val="00BD4FF6"/>
    <w:rsid w:val="00BD651E"/>
    <w:rsid w:val="00BD6E73"/>
    <w:rsid w:val="00BD78CA"/>
    <w:rsid w:val="00BE095F"/>
    <w:rsid w:val="00BE16B5"/>
    <w:rsid w:val="00BE2C40"/>
    <w:rsid w:val="00BE4545"/>
    <w:rsid w:val="00BE7B79"/>
    <w:rsid w:val="00BF0685"/>
    <w:rsid w:val="00BF40E8"/>
    <w:rsid w:val="00BF6A55"/>
    <w:rsid w:val="00BF6C40"/>
    <w:rsid w:val="00C0386A"/>
    <w:rsid w:val="00C04061"/>
    <w:rsid w:val="00C056EB"/>
    <w:rsid w:val="00C0598E"/>
    <w:rsid w:val="00C122FF"/>
    <w:rsid w:val="00C12EDF"/>
    <w:rsid w:val="00C13F6E"/>
    <w:rsid w:val="00C14EF9"/>
    <w:rsid w:val="00C176C6"/>
    <w:rsid w:val="00C17F9F"/>
    <w:rsid w:val="00C20202"/>
    <w:rsid w:val="00C2035C"/>
    <w:rsid w:val="00C20ABF"/>
    <w:rsid w:val="00C2288B"/>
    <w:rsid w:val="00C234CD"/>
    <w:rsid w:val="00C23B21"/>
    <w:rsid w:val="00C23F86"/>
    <w:rsid w:val="00C249C9"/>
    <w:rsid w:val="00C33297"/>
    <w:rsid w:val="00C34445"/>
    <w:rsid w:val="00C3450A"/>
    <w:rsid w:val="00C3598C"/>
    <w:rsid w:val="00C36579"/>
    <w:rsid w:val="00C4015C"/>
    <w:rsid w:val="00C40D28"/>
    <w:rsid w:val="00C4171C"/>
    <w:rsid w:val="00C432AC"/>
    <w:rsid w:val="00C44506"/>
    <w:rsid w:val="00C4683C"/>
    <w:rsid w:val="00C470FB"/>
    <w:rsid w:val="00C55223"/>
    <w:rsid w:val="00C616FA"/>
    <w:rsid w:val="00C62281"/>
    <w:rsid w:val="00C637F8"/>
    <w:rsid w:val="00C70878"/>
    <w:rsid w:val="00C729AD"/>
    <w:rsid w:val="00C72AF7"/>
    <w:rsid w:val="00C736CB"/>
    <w:rsid w:val="00C74090"/>
    <w:rsid w:val="00C75845"/>
    <w:rsid w:val="00C85DA4"/>
    <w:rsid w:val="00C86283"/>
    <w:rsid w:val="00C867D1"/>
    <w:rsid w:val="00C8694C"/>
    <w:rsid w:val="00C906A0"/>
    <w:rsid w:val="00C90F69"/>
    <w:rsid w:val="00C91354"/>
    <w:rsid w:val="00C92575"/>
    <w:rsid w:val="00C94850"/>
    <w:rsid w:val="00C97A7A"/>
    <w:rsid w:val="00C97EC2"/>
    <w:rsid w:val="00CA0D27"/>
    <w:rsid w:val="00CA0FAB"/>
    <w:rsid w:val="00CA10F0"/>
    <w:rsid w:val="00CA1BED"/>
    <w:rsid w:val="00CA2B6F"/>
    <w:rsid w:val="00CA2BE9"/>
    <w:rsid w:val="00CA31DD"/>
    <w:rsid w:val="00CA463A"/>
    <w:rsid w:val="00CA509E"/>
    <w:rsid w:val="00CA66AC"/>
    <w:rsid w:val="00CA70B9"/>
    <w:rsid w:val="00CA7F8D"/>
    <w:rsid w:val="00CB0279"/>
    <w:rsid w:val="00CB0B4E"/>
    <w:rsid w:val="00CB1676"/>
    <w:rsid w:val="00CB4401"/>
    <w:rsid w:val="00CC0524"/>
    <w:rsid w:val="00CC100D"/>
    <w:rsid w:val="00CC1878"/>
    <w:rsid w:val="00CC1BE3"/>
    <w:rsid w:val="00CC6FF9"/>
    <w:rsid w:val="00CD0944"/>
    <w:rsid w:val="00CD0B7C"/>
    <w:rsid w:val="00CD27A8"/>
    <w:rsid w:val="00CD2CC6"/>
    <w:rsid w:val="00CD42BD"/>
    <w:rsid w:val="00CD527C"/>
    <w:rsid w:val="00CE0019"/>
    <w:rsid w:val="00CE00B3"/>
    <w:rsid w:val="00CE0636"/>
    <w:rsid w:val="00CE1EF1"/>
    <w:rsid w:val="00CE39A2"/>
    <w:rsid w:val="00CE56D4"/>
    <w:rsid w:val="00CE57EB"/>
    <w:rsid w:val="00CE58A9"/>
    <w:rsid w:val="00CE5B7E"/>
    <w:rsid w:val="00CE75FF"/>
    <w:rsid w:val="00CE7D01"/>
    <w:rsid w:val="00CF3356"/>
    <w:rsid w:val="00CF4551"/>
    <w:rsid w:val="00CF76B3"/>
    <w:rsid w:val="00D00FF4"/>
    <w:rsid w:val="00D0219F"/>
    <w:rsid w:val="00D03ACE"/>
    <w:rsid w:val="00D05442"/>
    <w:rsid w:val="00D065BA"/>
    <w:rsid w:val="00D0735B"/>
    <w:rsid w:val="00D106B5"/>
    <w:rsid w:val="00D11865"/>
    <w:rsid w:val="00D11D4E"/>
    <w:rsid w:val="00D12128"/>
    <w:rsid w:val="00D1273D"/>
    <w:rsid w:val="00D14B66"/>
    <w:rsid w:val="00D14C2C"/>
    <w:rsid w:val="00D16310"/>
    <w:rsid w:val="00D169B0"/>
    <w:rsid w:val="00D17162"/>
    <w:rsid w:val="00D1785B"/>
    <w:rsid w:val="00D20A6D"/>
    <w:rsid w:val="00D2126A"/>
    <w:rsid w:val="00D21364"/>
    <w:rsid w:val="00D21719"/>
    <w:rsid w:val="00D21868"/>
    <w:rsid w:val="00D22236"/>
    <w:rsid w:val="00D254A8"/>
    <w:rsid w:val="00D2759B"/>
    <w:rsid w:val="00D37294"/>
    <w:rsid w:val="00D375E6"/>
    <w:rsid w:val="00D40738"/>
    <w:rsid w:val="00D419BB"/>
    <w:rsid w:val="00D443AA"/>
    <w:rsid w:val="00D454B1"/>
    <w:rsid w:val="00D4596C"/>
    <w:rsid w:val="00D45A54"/>
    <w:rsid w:val="00D46537"/>
    <w:rsid w:val="00D46DFD"/>
    <w:rsid w:val="00D4773F"/>
    <w:rsid w:val="00D5106D"/>
    <w:rsid w:val="00D54786"/>
    <w:rsid w:val="00D55309"/>
    <w:rsid w:val="00D55836"/>
    <w:rsid w:val="00D55CD6"/>
    <w:rsid w:val="00D60704"/>
    <w:rsid w:val="00D6102B"/>
    <w:rsid w:val="00D63F47"/>
    <w:rsid w:val="00D66B91"/>
    <w:rsid w:val="00D700FD"/>
    <w:rsid w:val="00D70548"/>
    <w:rsid w:val="00D70C7D"/>
    <w:rsid w:val="00D727C6"/>
    <w:rsid w:val="00D73FED"/>
    <w:rsid w:val="00D74021"/>
    <w:rsid w:val="00D748F3"/>
    <w:rsid w:val="00D75AA0"/>
    <w:rsid w:val="00D77800"/>
    <w:rsid w:val="00D80F14"/>
    <w:rsid w:val="00D82A2C"/>
    <w:rsid w:val="00D82E1B"/>
    <w:rsid w:val="00D83CE3"/>
    <w:rsid w:val="00D83D74"/>
    <w:rsid w:val="00D926AC"/>
    <w:rsid w:val="00D92951"/>
    <w:rsid w:val="00D92D79"/>
    <w:rsid w:val="00D944CB"/>
    <w:rsid w:val="00DA0720"/>
    <w:rsid w:val="00DA1F51"/>
    <w:rsid w:val="00DA2C4D"/>
    <w:rsid w:val="00DB2273"/>
    <w:rsid w:val="00DB2DB2"/>
    <w:rsid w:val="00DB66E8"/>
    <w:rsid w:val="00DB6701"/>
    <w:rsid w:val="00DB6823"/>
    <w:rsid w:val="00DB75E6"/>
    <w:rsid w:val="00DC0F3C"/>
    <w:rsid w:val="00DC1AB8"/>
    <w:rsid w:val="00DC270B"/>
    <w:rsid w:val="00DC3A75"/>
    <w:rsid w:val="00DC462E"/>
    <w:rsid w:val="00DC5B84"/>
    <w:rsid w:val="00DC5B9B"/>
    <w:rsid w:val="00DC629B"/>
    <w:rsid w:val="00DC68FF"/>
    <w:rsid w:val="00DC70FC"/>
    <w:rsid w:val="00DD04A6"/>
    <w:rsid w:val="00DD0A13"/>
    <w:rsid w:val="00DD1810"/>
    <w:rsid w:val="00DD1BE8"/>
    <w:rsid w:val="00DD1C78"/>
    <w:rsid w:val="00DD3C8D"/>
    <w:rsid w:val="00DD56EC"/>
    <w:rsid w:val="00DE566B"/>
    <w:rsid w:val="00DE6C34"/>
    <w:rsid w:val="00DE6D43"/>
    <w:rsid w:val="00DF25C2"/>
    <w:rsid w:val="00DF6390"/>
    <w:rsid w:val="00E02B1A"/>
    <w:rsid w:val="00E0429D"/>
    <w:rsid w:val="00E04343"/>
    <w:rsid w:val="00E05ED4"/>
    <w:rsid w:val="00E06B56"/>
    <w:rsid w:val="00E12A60"/>
    <w:rsid w:val="00E13293"/>
    <w:rsid w:val="00E14B70"/>
    <w:rsid w:val="00E151F0"/>
    <w:rsid w:val="00E16463"/>
    <w:rsid w:val="00E1649F"/>
    <w:rsid w:val="00E20E5B"/>
    <w:rsid w:val="00E222CD"/>
    <w:rsid w:val="00E22407"/>
    <w:rsid w:val="00E24678"/>
    <w:rsid w:val="00E2686C"/>
    <w:rsid w:val="00E32480"/>
    <w:rsid w:val="00E332C4"/>
    <w:rsid w:val="00E359C0"/>
    <w:rsid w:val="00E36176"/>
    <w:rsid w:val="00E361FF"/>
    <w:rsid w:val="00E406BB"/>
    <w:rsid w:val="00E41A9B"/>
    <w:rsid w:val="00E438C7"/>
    <w:rsid w:val="00E443BC"/>
    <w:rsid w:val="00E454F9"/>
    <w:rsid w:val="00E461E7"/>
    <w:rsid w:val="00E46EEA"/>
    <w:rsid w:val="00E4722E"/>
    <w:rsid w:val="00E54742"/>
    <w:rsid w:val="00E55969"/>
    <w:rsid w:val="00E55E81"/>
    <w:rsid w:val="00E57F7D"/>
    <w:rsid w:val="00E60817"/>
    <w:rsid w:val="00E635FB"/>
    <w:rsid w:val="00E63774"/>
    <w:rsid w:val="00E63DD0"/>
    <w:rsid w:val="00E6643A"/>
    <w:rsid w:val="00E66CE1"/>
    <w:rsid w:val="00E67665"/>
    <w:rsid w:val="00E705F6"/>
    <w:rsid w:val="00E71947"/>
    <w:rsid w:val="00E734C5"/>
    <w:rsid w:val="00E73E7E"/>
    <w:rsid w:val="00E760BC"/>
    <w:rsid w:val="00E778A3"/>
    <w:rsid w:val="00E80185"/>
    <w:rsid w:val="00E804BE"/>
    <w:rsid w:val="00E80698"/>
    <w:rsid w:val="00E80F33"/>
    <w:rsid w:val="00E82E21"/>
    <w:rsid w:val="00E83406"/>
    <w:rsid w:val="00E84EAD"/>
    <w:rsid w:val="00E864EA"/>
    <w:rsid w:val="00E8763B"/>
    <w:rsid w:val="00E90B41"/>
    <w:rsid w:val="00E913B7"/>
    <w:rsid w:val="00E92597"/>
    <w:rsid w:val="00E947F2"/>
    <w:rsid w:val="00E949B4"/>
    <w:rsid w:val="00EA1074"/>
    <w:rsid w:val="00EA37E9"/>
    <w:rsid w:val="00EA4130"/>
    <w:rsid w:val="00EA5A0F"/>
    <w:rsid w:val="00EA6353"/>
    <w:rsid w:val="00EA765C"/>
    <w:rsid w:val="00EB0576"/>
    <w:rsid w:val="00EB1FD8"/>
    <w:rsid w:val="00EB3462"/>
    <w:rsid w:val="00EB6131"/>
    <w:rsid w:val="00EB6A5B"/>
    <w:rsid w:val="00EB77DE"/>
    <w:rsid w:val="00EB7D4D"/>
    <w:rsid w:val="00EC0CDE"/>
    <w:rsid w:val="00EC5032"/>
    <w:rsid w:val="00EC7E12"/>
    <w:rsid w:val="00ED2AE7"/>
    <w:rsid w:val="00ED32E0"/>
    <w:rsid w:val="00ED4275"/>
    <w:rsid w:val="00ED511D"/>
    <w:rsid w:val="00ED53FF"/>
    <w:rsid w:val="00ED7FA2"/>
    <w:rsid w:val="00EE0FCB"/>
    <w:rsid w:val="00EE2BE1"/>
    <w:rsid w:val="00EE4489"/>
    <w:rsid w:val="00EE5A05"/>
    <w:rsid w:val="00EE650F"/>
    <w:rsid w:val="00EE69CD"/>
    <w:rsid w:val="00EE75F1"/>
    <w:rsid w:val="00EF0CB8"/>
    <w:rsid w:val="00EF174F"/>
    <w:rsid w:val="00EF2D57"/>
    <w:rsid w:val="00EF34AF"/>
    <w:rsid w:val="00EF5320"/>
    <w:rsid w:val="00EF55FB"/>
    <w:rsid w:val="00EF5673"/>
    <w:rsid w:val="00EF6534"/>
    <w:rsid w:val="00EF7461"/>
    <w:rsid w:val="00F0047F"/>
    <w:rsid w:val="00F00CDC"/>
    <w:rsid w:val="00F02709"/>
    <w:rsid w:val="00F02B58"/>
    <w:rsid w:val="00F037CD"/>
    <w:rsid w:val="00F03970"/>
    <w:rsid w:val="00F04187"/>
    <w:rsid w:val="00F05089"/>
    <w:rsid w:val="00F07FAC"/>
    <w:rsid w:val="00F10D7F"/>
    <w:rsid w:val="00F11371"/>
    <w:rsid w:val="00F122AA"/>
    <w:rsid w:val="00F12B1E"/>
    <w:rsid w:val="00F130BC"/>
    <w:rsid w:val="00F14D79"/>
    <w:rsid w:val="00F15D9E"/>
    <w:rsid w:val="00F177D7"/>
    <w:rsid w:val="00F21165"/>
    <w:rsid w:val="00F220BA"/>
    <w:rsid w:val="00F22AE0"/>
    <w:rsid w:val="00F24D81"/>
    <w:rsid w:val="00F25EE1"/>
    <w:rsid w:val="00F2602B"/>
    <w:rsid w:val="00F32997"/>
    <w:rsid w:val="00F336E5"/>
    <w:rsid w:val="00F33765"/>
    <w:rsid w:val="00F35215"/>
    <w:rsid w:val="00F35B67"/>
    <w:rsid w:val="00F40782"/>
    <w:rsid w:val="00F41788"/>
    <w:rsid w:val="00F443D5"/>
    <w:rsid w:val="00F45196"/>
    <w:rsid w:val="00F531F5"/>
    <w:rsid w:val="00F53328"/>
    <w:rsid w:val="00F54DE6"/>
    <w:rsid w:val="00F5690F"/>
    <w:rsid w:val="00F56B02"/>
    <w:rsid w:val="00F63D33"/>
    <w:rsid w:val="00F64B5E"/>
    <w:rsid w:val="00F66122"/>
    <w:rsid w:val="00F67EEB"/>
    <w:rsid w:val="00F67F3F"/>
    <w:rsid w:val="00F71F6A"/>
    <w:rsid w:val="00F72B7C"/>
    <w:rsid w:val="00F75FF0"/>
    <w:rsid w:val="00F76822"/>
    <w:rsid w:val="00F76F16"/>
    <w:rsid w:val="00F776A1"/>
    <w:rsid w:val="00F81B9F"/>
    <w:rsid w:val="00F81BD7"/>
    <w:rsid w:val="00F8268A"/>
    <w:rsid w:val="00F829DE"/>
    <w:rsid w:val="00F838E4"/>
    <w:rsid w:val="00F839EE"/>
    <w:rsid w:val="00F8497E"/>
    <w:rsid w:val="00F90466"/>
    <w:rsid w:val="00F90D30"/>
    <w:rsid w:val="00F91BED"/>
    <w:rsid w:val="00F95583"/>
    <w:rsid w:val="00F978C1"/>
    <w:rsid w:val="00F97D78"/>
    <w:rsid w:val="00F97F8C"/>
    <w:rsid w:val="00FA0456"/>
    <w:rsid w:val="00FA1971"/>
    <w:rsid w:val="00FA2317"/>
    <w:rsid w:val="00FA2971"/>
    <w:rsid w:val="00FA2D21"/>
    <w:rsid w:val="00FA486B"/>
    <w:rsid w:val="00FA4ABB"/>
    <w:rsid w:val="00FA5255"/>
    <w:rsid w:val="00FA7599"/>
    <w:rsid w:val="00FB1213"/>
    <w:rsid w:val="00FB1D36"/>
    <w:rsid w:val="00FB2511"/>
    <w:rsid w:val="00FB4226"/>
    <w:rsid w:val="00FB5A85"/>
    <w:rsid w:val="00FB5E9B"/>
    <w:rsid w:val="00FC196F"/>
    <w:rsid w:val="00FC44AC"/>
    <w:rsid w:val="00FC60A8"/>
    <w:rsid w:val="00FC621F"/>
    <w:rsid w:val="00FC735B"/>
    <w:rsid w:val="00FD0C64"/>
    <w:rsid w:val="00FD25CD"/>
    <w:rsid w:val="00FD3C84"/>
    <w:rsid w:val="00FD3CD5"/>
    <w:rsid w:val="00FD50C9"/>
    <w:rsid w:val="00FD5500"/>
    <w:rsid w:val="00FD5A7B"/>
    <w:rsid w:val="00FD5AE6"/>
    <w:rsid w:val="00FD69BB"/>
    <w:rsid w:val="00FD6E84"/>
    <w:rsid w:val="00FE0734"/>
    <w:rsid w:val="00FE0D5B"/>
    <w:rsid w:val="00FE28A7"/>
    <w:rsid w:val="00FE3C64"/>
    <w:rsid w:val="00FE3F1F"/>
    <w:rsid w:val="00FE5C01"/>
    <w:rsid w:val="00FF05B2"/>
    <w:rsid w:val="00FF0BDE"/>
    <w:rsid w:val="00FF0D09"/>
    <w:rsid w:val="00FF11AE"/>
    <w:rsid w:val="00FF220A"/>
    <w:rsid w:val="00FF41A7"/>
    <w:rsid w:val="00FF4407"/>
    <w:rsid w:val="00FF5248"/>
    <w:rsid w:val="370B73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66D6D"/>
  <w15:docId w15:val="{2E9D6B7D-AFB1-BC4E-B87D-11C332DDD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9447A"/>
    <w:rPr>
      <w:rFonts w:ascii="Times New Roman" w:eastAsia="Times New Roman" w:hAnsi="Times New Roman" w:cs="Times New Roman"/>
      <w:lang w:val="en-AU" w:bidi="en-US"/>
    </w:rPr>
  </w:style>
  <w:style w:type="paragraph" w:styleId="Heading1">
    <w:name w:val="heading 1"/>
    <w:basedOn w:val="Normal"/>
    <w:next w:val="Normal"/>
    <w:link w:val="Heading1Char"/>
    <w:uiPriority w:val="9"/>
    <w:qFormat/>
    <w:rsid w:val="004F0873"/>
    <w:pPr>
      <w:outlineLvl w:val="0"/>
    </w:pPr>
    <w:rPr>
      <w:rFonts w:ascii="Arial Nova Cond" w:hAnsi="Arial Nova Cond"/>
      <w:b/>
      <w:caps/>
      <w:color w:val="A82700"/>
      <w:sz w:val="32"/>
      <w:szCs w:val="32"/>
    </w:rPr>
  </w:style>
  <w:style w:type="paragraph" w:styleId="Heading2">
    <w:name w:val="heading 2"/>
    <w:basedOn w:val="Heading1"/>
    <w:next w:val="Normal"/>
    <w:link w:val="Heading2Char"/>
    <w:uiPriority w:val="9"/>
    <w:unhideWhenUsed/>
    <w:qFormat/>
    <w:rsid w:val="004F0873"/>
    <w:pPr>
      <w:outlineLvl w:val="1"/>
    </w:pPr>
    <w:rPr>
      <w:b w:val="0"/>
      <w:szCs w:val="24"/>
    </w:rPr>
  </w:style>
  <w:style w:type="paragraph" w:styleId="Heading3">
    <w:name w:val="heading 3"/>
    <w:basedOn w:val="Normal"/>
    <w:next w:val="Normal"/>
    <w:link w:val="Heading3Char"/>
    <w:uiPriority w:val="9"/>
    <w:unhideWhenUsed/>
    <w:qFormat/>
    <w:rsid w:val="004A48E5"/>
    <w:pPr>
      <w:keepNext/>
      <w:keepLines/>
      <w:spacing w:before="240" w:after="120"/>
      <w:outlineLvl w:val="2"/>
    </w:pPr>
    <w:rPr>
      <w:rFonts w:ascii="Arial Nova Cond" w:eastAsiaTheme="majorEastAsia" w:hAnsi="Arial Nova Cond" w:cstheme="majorBidi"/>
      <w:b/>
      <w:bCs/>
      <w:caps/>
      <w:color w:val="A82700"/>
      <w:sz w:val="21"/>
      <w:szCs w:val="21"/>
    </w:rPr>
  </w:style>
  <w:style w:type="paragraph" w:styleId="Heading4">
    <w:name w:val="heading 4"/>
    <w:basedOn w:val="Normal"/>
    <w:next w:val="Normal"/>
    <w:link w:val="Heading4Char"/>
    <w:uiPriority w:val="9"/>
    <w:unhideWhenUsed/>
    <w:qFormat/>
    <w:rsid w:val="004A48E5"/>
    <w:pPr>
      <w:keepNext/>
      <w:keepLines/>
      <w:spacing w:before="80" w:after="80"/>
      <w:outlineLvl w:val="3"/>
    </w:pPr>
    <w:rPr>
      <w:rFonts w:eastAsiaTheme="majorEastAsia"/>
      <w:b/>
      <w:i/>
      <w:iCs/>
      <w:color w:val="A82700"/>
    </w:rPr>
  </w:style>
  <w:style w:type="paragraph" w:styleId="Heading5">
    <w:name w:val="heading 5"/>
    <w:basedOn w:val="Normal"/>
    <w:next w:val="Normal"/>
    <w:link w:val="Heading5Char"/>
    <w:uiPriority w:val="9"/>
    <w:unhideWhenUsed/>
    <w:qFormat/>
    <w:rsid w:val="001306AA"/>
    <w:pPr>
      <w:keepNext/>
      <w:keepLines/>
      <w:spacing w:before="40"/>
      <w:outlineLvl w:val="4"/>
    </w:pPr>
    <w:rPr>
      <w:rFonts w:asciiTheme="majorHAnsi" w:eastAsiaTheme="majorEastAsia" w:hAnsiTheme="majorHAnsi" w:cstheme="majorBidi"/>
      <w:color w:val="EE3400" w:themeColor="accent1" w:themeShade="BF"/>
    </w:rPr>
  </w:style>
  <w:style w:type="paragraph" w:styleId="Heading6">
    <w:name w:val="heading 6"/>
    <w:basedOn w:val="Normal"/>
    <w:next w:val="Normal"/>
    <w:link w:val="Heading6Char"/>
    <w:uiPriority w:val="9"/>
    <w:semiHidden/>
    <w:unhideWhenUsed/>
    <w:qFormat/>
    <w:rsid w:val="00A9447A"/>
    <w:pPr>
      <w:keepNext/>
      <w:keepLines/>
      <w:spacing w:before="40"/>
      <w:outlineLvl w:val="5"/>
    </w:pPr>
    <w:rPr>
      <w:rFonts w:asciiTheme="majorHAnsi" w:eastAsiaTheme="majorEastAsia" w:hAnsiTheme="majorHAnsi" w:cstheme="majorBidi"/>
      <w:color w:val="9E22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9447A"/>
    <w:pPr>
      <w:spacing w:before="115" w:line="249" w:lineRule="auto"/>
      <w:ind w:left="20" w:right="59"/>
    </w:pPr>
    <w:rPr>
      <w:color w:val="414042"/>
      <w:sz w:val="21"/>
      <w:szCs w:val="21"/>
    </w:rPr>
  </w:style>
  <w:style w:type="paragraph" w:styleId="ListParagraph">
    <w:name w:val="List Paragraph"/>
    <w:aliases w:val="List Paragraph IS,lp,Bullets Level 1,Bullets,List Paragraph1,List Paragraph11,Capire List Paragraph,Bullet point,L,Recommendation,DDM Gen Text,List Paragraph - bullets,NFP GP Bulleted List,bullet point list,Bullet points,Bullet Point,Main"/>
    <w:basedOn w:val="Normal"/>
    <w:link w:val="ListParagraphChar"/>
    <w:uiPriority w:val="34"/>
    <w:qFormat/>
    <w:rsid w:val="00A9447A"/>
  </w:style>
  <w:style w:type="paragraph" w:customStyle="1" w:styleId="TableParagraph">
    <w:name w:val="Table Paragraph"/>
    <w:basedOn w:val="Normal"/>
    <w:uiPriority w:val="1"/>
    <w:qFormat/>
    <w:rsid w:val="00A9447A"/>
  </w:style>
  <w:style w:type="paragraph" w:styleId="Header">
    <w:name w:val="header"/>
    <w:basedOn w:val="Normal"/>
    <w:link w:val="HeaderChar"/>
    <w:uiPriority w:val="99"/>
    <w:unhideWhenUsed/>
    <w:rsid w:val="00A9447A"/>
    <w:pPr>
      <w:tabs>
        <w:tab w:val="center" w:pos="4680"/>
        <w:tab w:val="right" w:pos="9360"/>
      </w:tabs>
    </w:pPr>
  </w:style>
  <w:style w:type="character" w:customStyle="1" w:styleId="HeaderChar">
    <w:name w:val="Header Char"/>
    <w:basedOn w:val="DefaultParagraphFont"/>
    <w:link w:val="Header"/>
    <w:uiPriority w:val="99"/>
    <w:rsid w:val="00A9447A"/>
    <w:rPr>
      <w:rFonts w:ascii="Times New Roman" w:eastAsia="Times New Roman" w:hAnsi="Times New Roman" w:cs="Times New Roman"/>
      <w:lang w:val="en-AU" w:bidi="en-US"/>
    </w:rPr>
  </w:style>
  <w:style w:type="paragraph" w:styleId="Footer">
    <w:name w:val="footer"/>
    <w:basedOn w:val="Normal"/>
    <w:link w:val="FooterChar"/>
    <w:uiPriority w:val="99"/>
    <w:unhideWhenUsed/>
    <w:rsid w:val="00A9447A"/>
    <w:pPr>
      <w:tabs>
        <w:tab w:val="center" w:pos="4680"/>
        <w:tab w:val="right" w:pos="9360"/>
      </w:tabs>
    </w:pPr>
  </w:style>
  <w:style w:type="character" w:customStyle="1" w:styleId="FooterChar">
    <w:name w:val="Footer Char"/>
    <w:basedOn w:val="DefaultParagraphFont"/>
    <w:link w:val="Footer"/>
    <w:uiPriority w:val="99"/>
    <w:rsid w:val="00A9447A"/>
    <w:rPr>
      <w:rFonts w:ascii="Times New Roman" w:eastAsia="Times New Roman" w:hAnsi="Times New Roman" w:cs="Times New Roman"/>
      <w:lang w:val="en-AU" w:bidi="en-US"/>
    </w:rPr>
  </w:style>
  <w:style w:type="character" w:styleId="PageNumber">
    <w:name w:val="page number"/>
    <w:basedOn w:val="DefaultParagraphFont"/>
    <w:uiPriority w:val="99"/>
    <w:semiHidden/>
    <w:unhideWhenUsed/>
    <w:rsid w:val="00A9447A"/>
  </w:style>
  <w:style w:type="paragraph" w:styleId="BalloonText">
    <w:name w:val="Balloon Text"/>
    <w:basedOn w:val="Normal"/>
    <w:link w:val="BalloonTextChar"/>
    <w:uiPriority w:val="99"/>
    <w:semiHidden/>
    <w:unhideWhenUsed/>
    <w:rsid w:val="00A9447A"/>
    <w:rPr>
      <w:sz w:val="18"/>
      <w:szCs w:val="18"/>
    </w:rPr>
  </w:style>
  <w:style w:type="character" w:customStyle="1" w:styleId="BalloonTextChar">
    <w:name w:val="Balloon Text Char"/>
    <w:basedOn w:val="DefaultParagraphFont"/>
    <w:link w:val="BalloonText"/>
    <w:uiPriority w:val="99"/>
    <w:semiHidden/>
    <w:rsid w:val="00A9447A"/>
    <w:rPr>
      <w:rFonts w:ascii="Times New Roman" w:eastAsia="Times New Roman" w:hAnsi="Times New Roman" w:cs="Times New Roman"/>
      <w:sz w:val="18"/>
      <w:szCs w:val="18"/>
      <w:lang w:val="en-AU" w:bidi="en-US"/>
    </w:rPr>
  </w:style>
  <w:style w:type="paragraph" w:styleId="NoSpacing">
    <w:name w:val="No Spacing"/>
    <w:link w:val="NoSpacingChar"/>
    <w:uiPriority w:val="1"/>
    <w:rsid w:val="00A9447A"/>
    <w:pPr>
      <w:widowControl/>
      <w:autoSpaceDE/>
      <w:autoSpaceDN/>
    </w:pPr>
    <w:rPr>
      <w:rFonts w:eastAsiaTheme="minorEastAsia"/>
      <w:lang w:eastAsia="zh-CN"/>
    </w:rPr>
  </w:style>
  <w:style w:type="character" w:customStyle="1" w:styleId="NoSpacingChar">
    <w:name w:val="No Spacing Char"/>
    <w:basedOn w:val="DefaultParagraphFont"/>
    <w:link w:val="NoSpacing"/>
    <w:uiPriority w:val="1"/>
    <w:rsid w:val="00A9447A"/>
    <w:rPr>
      <w:rFonts w:eastAsiaTheme="minorEastAsia"/>
      <w:lang w:eastAsia="zh-CN"/>
    </w:rPr>
  </w:style>
  <w:style w:type="character" w:customStyle="1" w:styleId="Heading1Char">
    <w:name w:val="Heading 1 Char"/>
    <w:basedOn w:val="DefaultParagraphFont"/>
    <w:link w:val="Heading1"/>
    <w:uiPriority w:val="9"/>
    <w:rsid w:val="004F0873"/>
    <w:rPr>
      <w:rFonts w:ascii="Arial Nova Cond" w:eastAsia="Times New Roman" w:hAnsi="Arial Nova Cond" w:cs="Times New Roman"/>
      <w:b/>
      <w:caps/>
      <w:color w:val="A82700"/>
      <w:sz w:val="32"/>
      <w:szCs w:val="32"/>
      <w:lang w:val="en-AU" w:bidi="en-US"/>
    </w:rPr>
  </w:style>
  <w:style w:type="character" w:customStyle="1" w:styleId="Heading2Char">
    <w:name w:val="Heading 2 Char"/>
    <w:basedOn w:val="DefaultParagraphFont"/>
    <w:link w:val="Heading2"/>
    <w:uiPriority w:val="9"/>
    <w:rsid w:val="004F0873"/>
    <w:rPr>
      <w:rFonts w:ascii="Arial Nova Cond" w:eastAsia="Times New Roman" w:hAnsi="Arial Nova Cond" w:cs="Times New Roman"/>
      <w:caps/>
      <w:color w:val="A82700"/>
      <w:sz w:val="32"/>
      <w:szCs w:val="24"/>
      <w:lang w:val="en-AU" w:bidi="en-US"/>
    </w:rPr>
  </w:style>
  <w:style w:type="character" w:styleId="Hyperlink">
    <w:name w:val="Hyperlink"/>
    <w:basedOn w:val="DefaultParagraphFont"/>
    <w:uiPriority w:val="99"/>
    <w:unhideWhenUsed/>
    <w:rsid w:val="00A9447A"/>
    <w:rPr>
      <w:color w:val="25408F" w:themeColor="hyperlink"/>
      <w:u w:val="single"/>
    </w:rPr>
  </w:style>
  <w:style w:type="character" w:styleId="UnresolvedMention">
    <w:name w:val="Unresolved Mention"/>
    <w:basedOn w:val="DefaultParagraphFont"/>
    <w:uiPriority w:val="99"/>
    <w:unhideWhenUsed/>
    <w:rsid w:val="00A9447A"/>
    <w:rPr>
      <w:color w:val="605E5C"/>
      <w:shd w:val="clear" w:color="auto" w:fill="E1DFDD"/>
    </w:rPr>
  </w:style>
  <w:style w:type="paragraph" w:customStyle="1" w:styleId="BodyText1">
    <w:name w:val="Body Text1"/>
    <w:link w:val="BodytextChar0"/>
    <w:rsid w:val="00A9447A"/>
    <w:pPr>
      <w:widowControl/>
      <w:tabs>
        <w:tab w:val="left" w:pos="284"/>
        <w:tab w:val="left" w:pos="567"/>
        <w:tab w:val="left" w:pos="851"/>
      </w:tabs>
      <w:suppressAutoHyphens/>
      <w:autoSpaceDE/>
      <w:autoSpaceDN/>
      <w:spacing w:after="120"/>
    </w:pPr>
    <w:rPr>
      <w:rFonts w:ascii="Source Sans Pro" w:eastAsiaTheme="minorEastAsia" w:hAnsi="Source Sans Pro"/>
      <w:color w:val="414042" w:themeColor="text1"/>
      <w:sz w:val="20"/>
      <w:lang w:val="en-AU" w:eastAsia="en-AU"/>
    </w:rPr>
  </w:style>
  <w:style w:type="paragraph" w:customStyle="1" w:styleId="ReferenceAHURI">
    <w:name w:val="Reference (AHURI)"/>
    <w:basedOn w:val="BodyText1"/>
    <w:uiPriority w:val="5"/>
    <w:rsid w:val="00A9447A"/>
    <w:pPr>
      <w:spacing w:after="180"/>
      <w:ind w:left="425" w:hanging="425"/>
    </w:pPr>
  </w:style>
  <w:style w:type="paragraph" w:styleId="TOC1">
    <w:name w:val="toc 1"/>
    <w:basedOn w:val="Normal"/>
    <w:next w:val="Normal"/>
    <w:autoRedefine/>
    <w:uiPriority w:val="39"/>
    <w:unhideWhenUsed/>
    <w:qFormat/>
    <w:rsid w:val="00A9447A"/>
    <w:pPr>
      <w:widowControl/>
      <w:tabs>
        <w:tab w:val="right" w:leader="dot" w:pos="9016"/>
      </w:tabs>
      <w:autoSpaceDE/>
      <w:autoSpaceDN/>
      <w:spacing w:after="100" w:line="259" w:lineRule="auto"/>
    </w:pPr>
    <w:rPr>
      <w:rFonts w:eastAsiaTheme="minorHAnsi"/>
      <w:b/>
      <w:bCs/>
      <w:noProof/>
      <w:color w:val="414042" w:themeColor="text1"/>
      <w:sz w:val="21"/>
      <w:szCs w:val="21"/>
    </w:rPr>
  </w:style>
  <w:style w:type="character" w:customStyle="1" w:styleId="ListParagraphChar">
    <w:name w:val="List Paragraph Char"/>
    <w:aliases w:val="List Paragraph IS Char,lp Char,Bullets Level 1 Char,Bullets Char,List Paragraph1 Char,List Paragraph11 Char,Capire List Paragraph Char,Bullet point Char,L Char,Recommendation Char,DDM Gen Text Char,List Paragraph - bullets Char"/>
    <w:link w:val="ListParagraph"/>
    <w:uiPriority w:val="34"/>
    <w:qFormat/>
    <w:locked/>
    <w:rsid w:val="00A9447A"/>
    <w:rPr>
      <w:rFonts w:ascii="Times New Roman" w:eastAsia="Times New Roman" w:hAnsi="Times New Roman" w:cs="Times New Roman"/>
      <w:lang w:val="en-AU" w:bidi="en-US"/>
    </w:rPr>
  </w:style>
  <w:style w:type="table" w:customStyle="1" w:styleId="Style3">
    <w:name w:val="Style3"/>
    <w:basedOn w:val="TableNormal"/>
    <w:uiPriority w:val="99"/>
    <w:rsid w:val="00A9447A"/>
    <w:pPr>
      <w:widowControl/>
      <w:autoSpaceDE/>
      <w:autoSpaceDN/>
    </w:pPr>
    <w:rPr>
      <w:rFonts w:ascii="Calibri Light" w:eastAsia="Times New Roman" w:hAnsi="Calibri Light" w:cs="Times New Roman"/>
      <w:sz w:val="20"/>
      <w:szCs w:val="20"/>
      <w:lang w:val="en-AU" w:eastAsia="en-AU"/>
    </w:rPr>
    <w:tblPr>
      <w:tblBorders>
        <w:insideH w:val="single" w:sz="8" w:space="0" w:color="F2F2F2" w:themeColor="background1" w:themeShade="F2"/>
        <w:insideV w:val="single" w:sz="8" w:space="0" w:color="F2F2F2" w:themeColor="background1" w:themeShade="F2"/>
      </w:tblBorders>
    </w:tblPr>
  </w:style>
  <w:style w:type="character" w:customStyle="1" w:styleId="BodytextChar0">
    <w:name w:val="Body text Char"/>
    <w:basedOn w:val="DefaultParagraphFont"/>
    <w:link w:val="BodyText1"/>
    <w:rsid w:val="00A9447A"/>
    <w:rPr>
      <w:rFonts w:ascii="Source Sans Pro" w:eastAsiaTheme="minorEastAsia" w:hAnsi="Source Sans Pro"/>
      <w:color w:val="414042" w:themeColor="text1"/>
      <w:sz w:val="20"/>
      <w:lang w:val="en-AU" w:eastAsia="en-AU"/>
    </w:rPr>
  </w:style>
  <w:style w:type="paragraph" w:customStyle="1" w:styleId="Tabletext">
    <w:name w:val="Table text"/>
    <w:basedOn w:val="BodyText1"/>
    <w:link w:val="TabletextChar"/>
    <w:qFormat/>
    <w:rsid w:val="00A9447A"/>
    <w:pPr>
      <w:spacing w:before="40" w:after="40"/>
    </w:pPr>
    <w:rPr>
      <w:rFonts w:ascii="Arial Nova Cond Light" w:hAnsi="Arial Nova Cond Light" w:cs="Times New Roman"/>
      <w:szCs w:val="20"/>
      <w:lang w:val="en-GB"/>
    </w:rPr>
  </w:style>
  <w:style w:type="character" w:customStyle="1" w:styleId="TabletextChar">
    <w:name w:val="Table text Char"/>
    <w:basedOn w:val="BodytextChar0"/>
    <w:link w:val="Tabletext"/>
    <w:rsid w:val="00A9447A"/>
    <w:rPr>
      <w:rFonts w:ascii="Arial Nova Cond Light" w:eastAsiaTheme="minorEastAsia" w:hAnsi="Arial Nova Cond Light" w:cs="Times New Roman"/>
      <w:color w:val="414042" w:themeColor="text1"/>
      <w:sz w:val="20"/>
      <w:szCs w:val="20"/>
      <w:lang w:val="en-GB" w:eastAsia="en-AU"/>
    </w:rPr>
  </w:style>
  <w:style w:type="paragraph" w:customStyle="1" w:styleId="Tableheader">
    <w:name w:val="Table header"/>
    <w:basedOn w:val="Tabletext"/>
    <w:link w:val="TableheaderChar"/>
    <w:qFormat/>
    <w:rsid w:val="00A9447A"/>
    <w:rPr>
      <w:rFonts w:ascii="Arial Nova Cond" w:hAnsi="Arial Nova Cond"/>
      <w:bCs/>
      <w:color w:val="FFFFFF" w:themeColor="background1"/>
    </w:rPr>
  </w:style>
  <w:style w:type="character" w:customStyle="1" w:styleId="TableheaderChar">
    <w:name w:val="Table header Char"/>
    <w:basedOn w:val="TabletextChar"/>
    <w:link w:val="Tableheader"/>
    <w:rsid w:val="00A9447A"/>
    <w:rPr>
      <w:rFonts w:ascii="Arial Nova Cond" w:eastAsiaTheme="minorEastAsia" w:hAnsi="Arial Nova Cond" w:cs="Times New Roman"/>
      <w:bCs/>
      <w:color w:val="FFFFFF" w:themeColor="background1"/>
      <w:sz w:val="20"/>
      <w:szCs w:val="20"/>
      <w:lang w:val="en-GB" w:eastAsia="en-AU"/>
    </w:rPr>
  </w:style>
  <w:style w:type="character" w:customStyle="1" w:styleId="BioheadingsChar">
    <w:name w:val="Bio headings Char"/>
    <w:basedOn w:val="DefaultParagraphFont"/>
    <w:link w:val="Bioheadings"/>
    <w:locked/>
    <w:rsid w:val="00A9447A"/>
    <w:rPr>
      <w:rFonts w:ascii="Arial Nova Cond" w:eastAsia="Times New Roman" w:hAnsi="Arial Nova Cond" w:cstheme="majorHAnsi"/>
      <w:caps/>
      <w:noProof/>
      <w:color w:val="222222"/>
      <w:sz w:val="24"/>
      <w:szCs w:val="24"/>
      <w:lang w:eastAsia="en-AU"/>
    </w:rPr>
  </w:style>
  <w:style w:type="paragraph" w:customStyle="1" w:styleId="Bioheadings">
    <w:name w:val="Bio headings"/>
    <w:basedOn w:val="Heading6"/>
    <w:next w:val="Heading6"/>
    <w:link w:val="BioheadingsChar"/>
    <w:autoRedefine/>
    <w:rsid w:val="00A9447A"/>
    <w:pPr>
      <w:widowControl/>
      <w:autoSpaceDE/>
      <w:autoSpaceDN/>
      <w:spacing w:before="120" w:after="60" w:line="288" w:lineRule="atLeast"/>
    </w:pPr>
    <w:rPr>
      <w:rFonts w:ascii="Arial Nova Cond" w:eastAsia="Times New Roman" w:hAnsi="Arial Nova Cond" w:cstheme="majorHAnsi"/>
      <w:caps/>
      <w:noProof/>
      <w:color w:val="222222"/>
      <w:sz w:val="24"/>
      <w:szCs w:val="24"/>
      <w:lang w:val="en-US" w:eastAsia="en-AU" w:bidi="ar-SA"/>
    </w:rPr>
  </w:style>
  <w:style w:type="paragraph" w:customStyle="1" w:styleId="Default">
    <w:name w:val="Default"/>
    <w:rsid w:val="00A9447A"/>
    <w:pPr>
      <w:widowControl/>
      <w:adjustRightInd w:val="0"/>
    </w:pPr>
    <w:rPr>
      <w:rFonts w:ascii="Calibri" w:hAnsi="Calibri" w:cs="Calibri"/>
      <w:color w:val="000000"/>
      <w:sz w:val="24"/>
      <w:szCs w:val="24"/>
      <w:lang w:val="en-AU"/>
    </w:rPr>
  </w:style>
  <w:style w:type="table" w:styleId="ListTable1Light-Accent1">
    <w:name w:val="List Table 1 Light Accent 1"/>
    <w:basedOn w:val="TableNormal"/>
    <w:uiPriority w:val="46"/>
    <w:rsid w:val="00A9447A"/>
    <w:pPr>
      <w:widowControl/>
      <w:autoSpaceDE/>
      <w:autoSpaceDN/>
    </w:pPr>
    <w:rPr>
      <w:lang w:val="sv-SE"/>
    </w:rPr>
    <w:tblPr>
      <w:tblStyleRowBandSize w:val="1"/>
      <w:tblStyleColBandSize w:val="1"/>
    </w:tblPr>
    <w:tblStylePr w:type="firstRow">
      <w:rPr>
        <w:b/>
        <w:bCs/>
      </w:rPr>
      <w:tblPr/>
      <w:tcPr>
        <w:tcBorders>
          <w:bottom w:val="single" w:sz="4" w:space="0" w:color="FFA58C" w:themeColor="accent1" w:themeTint="99"/>
        </w:tcBorders>
      </w:tcPr>
    </w:tblStylePr>
    <w:tblStylePr w:type="lastRow">
      <w:rPr>
        <w:b/>
        <w:bCs/>
      </w:rPr>
      <w:tblPr/>
      <w:tcPr>
        <w:tcBorders>
          <w:top w:val="single" w:sz="4" w:space="0" w:color="FFA58C" w:themeColor="accent1" w:themeTint="99"/>
        </w:tcBorders>
      </w:tcPr>
    </w:tblStylePr>
    <w:tblStylePr w:type="firstCol">
      <w:rPr>
        <w:b/>
        <w:bCs/>
      </w:rPr>
    </w:tblStylePr>
    <w:tblStylePr w:type="lastCol">
      <w:rPr>
        <w:b/>
        <w:bCs/>
      </w:rPr>
    </w:tblStylePr>
    <w:tblStylePr w:type="band1Vert">
      <w:tblPr/>
      <w:tcPr>
        <w:shd w:val="clear" w:color="auto" w:fill="FFE1D8" w:themeFill="accent1" w:themeFillTint="33"/>
      </w:tcPr>
    </w:tblStylePr>
    <w:tblStylePr w:type="band1Horz">
      <w:tblPr/>
      <w:tcPr>
        <w:shd w:val="clear" w:color="auto" w:fill="FFE1D8" w:themeFill="accent1" w:themeFillTint="33"/>
      </w:tcPr>
    </w:tblStylePr>
  </w:style>
  <w:style w:type="character" w:customStyle="1" w:styleId="Heading6Char">
    <w:name w:val="Heading 6 Char"/>
    <w:basedOn w:val="DefaultParagraphFont"/>
    <w:link w:val="Heading6"/>
    <w:uiPriority w:val="9"/>
    <w:semiHidden/>
    <w:rsid w:val="00A9447A"/>
    <w:rPr>
      <w:rFonts w:asciiTheme="majorHAnsi" w:eastAsiaTheme="majorEastAsia" w:hAnsiTheme="majorHAnsi" w:cstheme="majorBidi"/>
      <w:color w:val="9E2200" w:themeColor="accent1" w:themeShade="7F"/>
      <w:lang w:val="en-AU" w:bidi="en-US"/>
    </w:rPr>
  </w:style>
  <w:style w:type="paragraph" w:customStyle="1" w:styleId="Bullet1">
    <w:name w:val="Bullet 1"/>
    <w:basedOn w:val="Normal"/>
    <w:rsid w:val="00A9447A"/>
    <w:pPr>
      <w:numPr>
        <w:numId w:val="1"/>
      </w:numPr>
    </w:pPr>
  </w:style>
  <w:style w:type="character" w:styleId="CommentReference">
    <w:name w:val="annotation reference"/>
    <w:basedOn w:val="DefaultParagraphFont"/>
    <w:uiPriority w:val="99"/>
    <w:semiHidden/>
    <w:unhideWhenUsed/>
    <w:rsid w:val="00A9447A"/>
    <w:rPr>
      <w:sz w:val="16"/>
      <w:szCs w:val="16"/>
    </w:rPr>
  </w:style>
  <w:style w:type="paragraph" w:styleId="CommentText">
    <w:name w:val="annotation text"/>
    <w:basedOn w:val="Normal"/>
    <w:link w:val="CommentTextChar"/>
    <w:uiPriority w:val="99"/>
    <w:unhideWhenUsed/>
    <w:rsid w:val="00A9447A"/>
    <w:rPr>
      <w:sz w:val="20"/>
      <w:szCs w:val="20"/>
    </w:rPr>
  </w:style>
  <w:style w:type="character" w:customStyle="1" w:styleId="CommentTextChar">
    <w:name w:val="Comment Text Char"/>
    <w:basedOn w:val="DefaultParagraphFont"/>
    <w:link w:val="CommentText"/>
    <w:uiPriority w:val="99"/>
    <w:rsid w:val="00A9447A"/>
    <w:rPr>
      <w:rFonts w:ascii="Times New Roman" w:eastAsia="Times New Roman" w:hAnsi="Times New Roman" w:cs="Times New Roman"/>
      <w:sz w:val="20"/>
      <w:szCs w:val="20"/>
      <w:lang w:val="en-AU" w:bidi="en-US"/>
    </w:rPr>
  </w:style>
  <w:style w:type="paragraph" w:styleId="CommentSubject">
    <w:name w:val="annotation subject"/>
    <w:basedOn w:val="CommentText"/>
    <w:next w:val="CommentText"/>
    <w:link w:val="CommentSubjectChar"/>
    <w:uiPriority w:val="99"/>
    <w:semiHidden/>
    <w:unhideWhenUsed/>
    <w:rsid w:val="00A9447A"/>
    <w:rPr>
      <w:b/>
      <w:bCs/>
    </w:rPr>
  </w:style>
  <w:style w:type="character" w:customStyle="1" w:styleId="CommentSubjectChar">
    <w:name w:val="Comment Subject Char"/>
    <w:basedOn w:val="CommentTextChar"/>
    <w:link w:val="CommentSubject"/>
    <w:uiPriority w:val="99"/>
    <w:semiHidden/>
    <w:rsid w:val="00A9447A"/>
    <w:rPr>
      <w:rFonts w:ascii="Times New Roman" w:eastAsia="Times New Roman" w:hAnsi="Times New Roman" w:cs="Times New Roman"/>
      <w:b/>
      <w:bCs/>
      <w:sz w:val="20"/>
      <w:szCs w:val="20"/>
      <w:lang w:val="en-AU" w:bidi="en-US"/>
    </w:rPr>
  </w:style>
  <w:style w:type="paragraph" w:customStyle="1" w:styleId="paragraph">
    <w:name w:val="paragraph"/>
    <w:basedOn w:val="Normal"/>
    <w:rsid w:val="00A9447A"/>
    <w:pPr>
      <w:widowControl/>
      <w:autoSpaceDE/>
      <w:autoSpaceDN/>
      <w:spacing w:before="100" w:beforeAutospacing="1" w:after="100" w:afterAutospacing="1"/>
    </w:pPr>
    <w:rPr>
      <w:sz w:val="24"/>
      <w:szCs w:val="24"/>
      <w:lang w:eastAsia="en-AU" w:bidi="ar-SA"/>
    </w:rPr>
  </w:style>
  <w:style w:type="character" w:customStyle="1" w:styleId="normaltextrun">
    <w:name w:val="normaltextrun"/>
    <w:basedOn w:val="DefaultParagraphFont"/>
    <w:rsid w:val="00A9447A"/>
  </w:style>
  <w:style w:type="character" w:customStyle="1" w:styleId="eop">
    <w:name w:val="eop"/>
    <w:basedOn w:val="DefaultParagraphFont"/>
    <w:rsid w:val="00A9447A"/>
  </w:style>
  <w:style w:type="paragraph" w:styleId="TOCHeading">
    <w:name w:val="TOC Heading"/>
    <w:basedOn w:val="Heading1"/>
    <w:next w:val="Normal"/>
    <w:uiPriority w:val="39"/>
    <w:unhideWhenUsed/>
    <w:qFormat/>
    <w:rsid w:val="00A9447A"/>
    <w:pPr>
      <w:keepNext/>
      <w:keepLines/>
      <w:widowControl/>
      <w:autoSpaceDE/>
      <w:autoSpaceDN/>
      <w:spacing w:before="240" w:line="259" w:lineRule="auto"/>
      <w:outlineLvl w:val="9"/>
    </w:pPr>
    <w:rPr>
      <w:rFonts w:asciiTheme="majorHAnsi" w:eastAsiaTheme="majorEastAsia" w:hAnsiTheme="majorHAnsi" w:cstheme="majorBidi"/>
      <w:b w:val="0"/>
      <w:caps w:val="0"/>
      <w:color w:val="EE3400" w:themeColor="accent1" w:themeShade="BF"/>
      <w:lang w:bidi="ar-SA"/>
    </w:rPr>
  </w:style>
  <w:style w:type="paragraph" w:styleId="TOC2">
    <w:name w:val="toc 2"/>
    <w:basedOn w:val="Normal"/>
    <w:next w:val="Normal"/>
    <w:autoRedefine/>
    <w:uiPriority w:val="39"/>
    <w:unhideWhenUsed/>
    <w:rsid w:val="00A9447A"/>
    <w:pPr>
      <w:tabs>
        <w:tab w:val="right" w:leader="dot" w:pos="9016"/>
      </w:tabs>
      <w:spacing w:after="100"/>
      <w:ind w:left="220"/>
    </w:pPr>
    <w:rPr>
      <w:iCs/>
      <w:noProof/>
      <w:sz w:val="20"/>
      <w:szCs w:val="20"/>
    </w:rPr>
  </w:style>
  <w:style w:type="character" w:customStyle="1" w:styleId="BodyTextChar">
    <w:name w:val="Body Text Char"/>
    <w:basedOn w:val="DefaultParagraphFont"/>
    <w:link w:val="BodyText"/>
    <w:uiPriority w:val="1"/>
    <w:rsid w:val="00A9447A"/>
    <w:rPr>
      <w:rFonts w:ascii="Times New Roman" w:eastAsia="Times New Roman" w:hAnsi="Times New Roman" w:cs="Times New Roman"/>
      <w:color w:val="414042"/>
      <w:sz w:val="21"/>
      <w:szCs w:val="21"/>
      <w:lang w:val="en-AU" w:bidi="en-US"/>
    </w:rPr>
  </w:style>
  <w:style w:type="paragraph" w:styleId="Caption">
    <w:name w:val="caption"/>
    <w:basedOn w:val="Normal"/>
    <w:next w:val="Normal"/>
    <w:uiPriority w:val="35"/>
    <w:unhideWhenUsed/>
    <w:qFormat/>
    <w:rsid w:val="00A9447A"/>
    <w:pPr>
      <w:spacing w:after="200"/>
    </w:pPr>
    <w:rPr>
      <w:i/>
      <w:iCs/>
      <w:color w:val="FCF277" w:themeColor="text2"/>
      <w:sz w:val="18"/>
      <w:szCs w:val="18"/>
    </w:rPr>
  </w:style>
  <w:style w:type="paragraph" w:styleId="Revision">
    <w:name w:val="Revision"/>
    <w:hidden/>
    <w:uiPriority w:val="99"/>
    <w:semiHidden/>
    <w:rsid w:val="00A9447A"/>
    <w:pPr>
      <w:widowControl/>
      <w:autoSpaceDE/>
      <w:autoSpaceDN/>
    </w:pPr>
    <w:rPr>
      <w:rFonts w:ascii="Times New Roman" w:eastAsia="Times New Roman" w:hAnsi="Times New Roman" w:cs="Times New Roman"/>
      <w:lang w:bidi="en-US"/>
    </w:rPr>
  </w:style>
  <w:style w:type="table" w:styleId="ListTable6Colorful-Accent1">
    <w:name w:val="List Table 6 Colorful Accent 1"/>
    <w:basedOn w:val="TableNormal"/>
    <w:uiPriority w:val="51"/>
    <w:rsid w:val="00A9447A"/>
    <w:rPr>
      <w:color w:val="EE3400" w:themeColor="accent1" w:themeShade="BF"/>
    </w:rPr>
    <w:tblPr>
      <w:tblStyleRowBandSize w:val="1"/>
      <w:tblStyleColBandSize w:val="1"/>
      <w:tblBorders>
        <w:top w:val="single" w:sz="4" w:space="0" w:color="FF6A40" w:themeColor="accent1"/>
        <w:bottom w:val="single" w:sz="4" w:space="0" w:color="FF6A40" w:themeColor="accent1"/>
      </w:tblBorders>
    </w:tblPr>
    <w:tblStylePr w:type="firstRow">
      <w:rPr>
        <w:b/>
        <w:bCs/>
      </w:rPr>
      <w:tblPr/>
      <w:tcPr>
        <w:tcBorders>
          <w:bottom w:val="single" w:sz="4" w:space="0" w:color="FF6A40" w:themeColor="accent1"/>
        </w:tcBorders>
      </w:tcPr>
    </w:tblStylePr>
    <w:tblStylePr w:type="lastRow">
      <w:rPr>
        <w:b/>
        <w:bCs/>
      </w:rPr>
      <w:tblPr/>
      <w:tcPr>
        <w:tcBorders>
          <w:top w:val="double" w:sz="4" w:space="0" w:color="FF6A40" w:themeColor="accent1"/>
        </w:tcBorders>
      </w:tcPr>
    </w:tblStylePr>
    <w:tblStylePr w:type="firstCol">
      <w:rPr>
        <w:b/>
        <w:bCs/>
      </w:rPr>
    </w:tblStylePr>
    <w:tblStylePr w:type="lastCol">
      <w:rPr>
        <w:b/>
        <w:bCs/>
      </w:rPr>
    </w:tblStylePr>
    <w:tblStylePr w:type="band1Vert">
      <w:tblPr/>
      <w:tcPr>
        <w:shd w:val="clear" w:color="auto" w:fill="FFE1D8" w:themeFill="accent1" w:themeFillTint="33"/>
      </w:tcPr>
    </w:tblStylePr>
    <w:tblStylePr w:type="band1Horz">
      <w:tblPr/>
      <w:tcPr>
        <w:shd w:val="clear" w:color="auto" w:fill="FFE1D8" w:themeFill="accent1" w:themeFillTint="33"/>
      </w:tcPr>
    </w:tblStylePr>
  </w:style>
  <w:style w:type="character" w:customStyle="1" w:styleId="Heading3Char">
    <w:name w:val="Heading 3 Char"/>
    <w:basedOn w:val="DefaultParagraphFont"/>
    <w:link w:val="Heading3"/>
    <w:uiPriority w:val="9"/>
    <w:rsid w:val="004A48E5"/>
    <w:rPr>
      <w:rFonts w:ascii="Arial Nova Cond" w:eastAsiaTheme="majorEastAsia" w:hAnsi="Arial Nova Cond" w:cstheme="majorBidi"/>
      <w:b/>
      <w:bCs/>
      <w:caps/>
      <w:color w:val="A82700"/>
      <w:sz w:val="21"/>
      <w:szCs w:val="21"/>
      <w:lang w:val="en-AU" w:bidi="en-US"/>
    </w:rPr>
  </w:style>
  <w:style w:type="character" w:customStyle="1" w:styleId="Heading4Char">
    <w:name w:val="Heading 4 Char"/>
    <w:basedOn w:val="DefaultParagraphFont"/>
    <w:link w:val="Heading4"/>
    <w:uiPriority w:val="9"/>
    <w:rsid w:val="004A48E5"/>
    <w:rPr>
      <w:rFonts w:ascii="Times New Roman" w:eastAsiaTheme="majorEastAsia" w:hAnsi="Times New Roman" w:cs="Times New Roman"/>
      <w:b/>
      <w:i/>
      <w:iCs/>
      <w:color w:val="A82700"/>
      <w:lang w:val="en-AU" w:bidi="en-US"/>
    </w:rPr>
  </w:style>
  <w:style w:type="table" w:customStyle="1" w:styleId="ListTable6Colorful-Accent11">
    <w:name w:val="List Table 6 Colorful - Accent 11"/>
    <w:basedOn w:val="TableNormal"/>
    <w:next w:val="ListTable6Colorful-Accent1"/>
    <w:uiPriority w:val="51"/>
    <w:rsid w:val="00A9447A"/>
    <w:rPr>
      <w:color w:val="EE3400"/>
    </w:rPr>
    <w:tblPr>
      <w:tblStyleRowBandSize w:val="1"/>
      <w:tblStyleColBandSize w:val="1"/>
      <w:tblBorders>
        <w:top w:val="single" w:sz="4" w:space="0" w:color="FF6A40"/>
        <w:bottom w:val="single" w:sz="4" w:space="0" w:color="FF6A40"/>
      </w:tblBorders>
    </w:tblPr>
    <w:tblStylePr w:type="firstRow">
      <w:rPr>
        <w:b/>
        <w:bCs/>
      </w:rPr>
      <w:tblPr/>
      <w:tcPr>
        <w:tcBorders>
          <w:bottom w:val="single" w:sz="4" w:space="0" w:color="FF6A40"/>
        </w:tcBorders>
      </w:tcPr>
    </w:tblStylePr>
    <w:tblStylePr w:type="lastRow">
      <w:rPr>
        <w:b/>
        <w:bCs/>
      </w:rPr>
      <w:tblPr/>
      <w:tcPr>
        <w:tcBorders>
          <w:top w:val="double" w:sz="4" w:space="0" w:color="FF6A40"/>
        </w:tcBorders>
      </w:tcPr>
    </w:tblStylePr>
    <w:tblStylePr w:type="firstCol">
      <w:rPr>
        <w:b/>
        <w:bCs/>
      </w:rPr>
    </w:tblStylePr>
    <w:tblStylePr w:type="lastCol">
      <w:rPr>
        <w:b/>
        <w:bCs/>
      </w:rPr>
    </w:tblStylePr>
    <w:tblStylePr w:type="band1Vert">
      <w:tblPr/>
      <w:tcPr>
        <w:shd w:val="clear" w:color="auto" w:fill="FFE1D8"/>
      </w:tcPr>
    </w:tblStylePr>
    <w:tblStylePr w:type="band1Horz">
      <w:tblPr/>
      <w:tcPr>
        <w:shd w:val="clear" w:color="auto" w:fill="FFE1D8"/>
      </w:tcPr>
    </w:tblStylePr>
  </w:style>
  <w:style w:type="character" w:styleId="Mention">
    <w:name w:val="Mention"/>
    <w:basedOn w:val="DefaultParagraphFont"/>
    <w:uiPriority w:val="99"/>
    <w:unhideWhenUsed/>
    <w:rsid w:val="00A9447A"/>
    <w:rPr>
      <w:color w:val="2B579A"/>
      <w:shd w:val="clear" w:color="auto" w:fill="E1DFDD"/>
    </w:rPr>
  </w:style>
  <w:style w:type="table" w:styleId="TableGrid">
    <w:name w:val="Table Grid"/>
    <w:basedOn w:val="TableNormal"/>
    <w:uiPriority w:val="39"/>
    <w:rsid w:val="00A94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94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A9447A"/>
    <w:pPr>
      <w:jc w:val="center"/>
    </w:pPr>
    <w:rPr>
      <w:noProof/>
      <w:color w:val="414042"/>
      <w:sz w:val="21"/>
      <w:szCs w:val="21"/>
    </w:rPr>
  </w:style>
  <w:style w:type="character" w:customStyle="1" w:styleId="EndNoteBibliographyTitleChar">
    <w:name w:val="EndNote Bibliography Title Char"/>
    <w:basedOn w:val="BodyTextChar"/>
    <w:link w:val="EndNoteBibliographyTitle"/>
    <w:rsid w:val="00A9447A"/>
    <w:rPr>
      <w:rFonts w:ascii="Times New Roman" w:eastAsia="Times New Roman" w:hAnsi="Times New Roman" w:cs="Times New Roman"/>
      <w:noProof/>
      <w:color w:val="414042"/>
      <w:sz w:val="21"/>
      <w:szCs w:val="21"/>
      <w:lang w:val="en-AU" w:bidi="en-US"/>
    </w:rPr>
  </w:style>
  <w:style w:type="paragraph" w:customStyle="1" w:styleId="EndNoteBibliography">
    <w:name w:val="EndNote Bibliography"/>
    <w:basedOn w:val="Normal"/>
    <w:link w:val="EndNoteBibliographyChar"/>
    <w:rsid w:val="00A9447A"/>
    <w:rPr>
      <w:noProof/>
      <w:color w:val="414042"/>
      <w:sz w:val="21"/>
      <w:szCs w:val="21"/>
    </w:rPr>
  </w:style>
  <w:style w:type="character" w:customStyle="1" w:styleId="EndNoteBibliographyChar">
    <w:name w:val="EndNote Bibliography Char"/>
    <w:basedOn w:val="BodyTextChar"/>
    <w:link w:val="EndNoteBibliography"/>
    <w:rsid w:val="00A9447A"/>
    <w:rPr>
      <w:rFonts w:ascii="Times New Roman" w:eastAsia="Times New Roman" w:hAnsi="Times New Roman" w:cs="Times New Roman"/>
      <w:noProof/>
      <w:color w:val="414042"/>
      <w:sz w:val="21"/>
      <w:szCs w:val="21"/>
      <w:lang w:val="en-AU" w:bidi="en-US"/>
    </w:rPr>
  </w:style>
  <w:style w:type="character" w:styleId="FootnoteReference">
    <w:name w:val="footnote reference"/>
    <w:basedOn w:val="DefaultParagraphFont"/>
    <w:uiPriority w:val="99"/>
    <w:semiHidden/>
    <w:unhideWhenUsed/>
    <w:rsid w:val="00A9447A"/>
    <w:rPr>
      <w:vertAlign w:val="superscript"/>
    </w:rPr>
  </w:style>
  <w:style w:type="character" w:customStyle="1" w:styleId="FootnoteTextChar">
    <w:name w:val="Footnote Text Char"/>
    <w:basedOn w:val="DefaultParagraphFont"/>
    <w:link w:val="FootnoteText"/>
    <w:uiPriority w:val="99"/>
    <w:semiHidden/>
    <w:rsid w:val="00A9447A"/>
    <w:rPr>
      <w:sz w:val="20"/>
      <w:szCs w:val="20"/>
    </w:rPr>
  </w:style>
  <w:style w:type="paragraph" w:styleId="FootnoteText">
    <w:name w:val="footnote text"/>
    <w:basedOn w:val="Normal"/>
    <w:link w:val="FootnoteTextChar"/>
    <w:uiPriority w:val="99"/>
    <w:semiHidden/>
    <w:unhideWhenUsed/>
    <w:rsid w:val="00A9447A"/>
    <w:rPr>
      <w:rFonts w:asciiTheme="minorHAnsi" w:eastAsiaTheme="minorHAnsi" w:hAnsiTheme="minorHAnsi" w:cstheme="minorBidi"/>
      <w:sz w:val="20"/>
      <w:szCs w:val="20"/>
      <w:lang w:val="en-US" w:bidi="ar-SA"/>
    </w:rPr>
  </w:style>
  <w:style w:type="character" w:customStyle="1" w:styleId="FootnoteTextChar1">
    <w:name w:val="Footnote Text Char1"/>
    <w:basedOn w:val="DefaultParagraphFont"/>
    <w:uiPriority w:val="99"/>
    <w:semiHidden/>
    <w:rsid w:val="00A9447A"/>
    <w:rPr>
      <w:rFonts w:ascii="Times New Roman" w:eastAsia="Times New Roman" w:hAnsi="Times New Roman" w:cs="Times New Roman"/>
      <w:sz w:val="20"/>
      <w:szCs w:val="20"/>
      <w:lang w:val="en-AU" w:bidi="en-US"/>
    </w:rPr>
  </w:style>
  <w:style w:type="table" w:styleId="ListTable3-Accent1">
    <w:name w:val="List Table 3 Accent 1"/>
    <w:basedOn w:val="TableNormal"/>
    <w:uiPriority w:val="48"/>
    <w:rsid w:val="00A9447A"/>
    <w:tblPr>
      <w:tblStyleRowBandSize w:val="1"/>
      <w:tblStyleColBandSize w:val="1"/>
      <w:tblBorders>
        <w:top w:val="single" w:sz="4" w:space="0" w:color="FF6A40" w:themeColor="accent1"/>
        <w:left w:val="single" w:sz="4" w:space="0" w:color="FF6A40" w:themeColor="accent1"/>
        <w:bottom w:val="single" w:sz="4" w:space="0" w:color="FF6A40" w:themeColor="accent1"/>
        <w:right w:val="single" w:sz="4" w:space="0" w:color="FF6A40" w:themeColor="accent1"/>
      </w:tblBorders>
    </w:tblPr>
    <w:tblStylePr w:type="firstRow">
      <w:rPr>
        <w:b/>
        <w:bCs/>
        <w:color w:val="FFFFFF" w:themeColor="background1"/>
      </w:rPr>
      <w:tblPr/>
      <w:tcPr>
        <w:shd w:val="clear" w:color="auto" w:fill="FF6A40" w:themeFill="accent1"/>
      </w:tcPr>
    </w:tblStylePr>
    <w:tblStylePr w:type="lastRow">
      <w:rPr>
        <w:b/>
        <w:bCs/>
      </w:rPr>
      <w:tblPr/>
      <w:tcPr>
        <w:tcBorders>
          <w:top w:val="double" w:sz="4" w:space="0" w:color="FF6A4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6A40" w:themeColor="accent1"/>
          <w:right w:val="single" w:sz="4" w:space="0" w:color="FF6A40" w:themeColor="accent1"/>
        </w:tcBorders>
      </w:tcPr>
    </w:tblStylePr>
    <w:tblStylePr w:type="band1Horz">
      <w:tblPr/>
      <w:tcPr>
        <w:tcBorders>
          <w:top w:val="single" w:sz="4" w:space="0" w:color="FF6A40" w:themeColor="accent1"/>
          <w:bottom w:val="single" w:sz="4" w:space="0" w:color="FF6A4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6A40" w:themeColor="accent1"/>
          <w:left w:val="nil"/>
        </w:tcBorders>
      </w:tcPr>
    </w:tblStylePr>
    <w:tblStylePr w:type="swCell">
      <w:tblPr/>
      <w:tcPr>
        <w:tcBorders>
          <w:top w:val="double" w:sz="4" w:space="0" w:color="FF6A40" w:themeColor="accent1"/>
          <w:right w:val="nil"/>
        </w:tcBorders>
      </w:tcPr>
    </w:tblStylePr>
  </w:style>
  <w:style w:type="paragraph" w:styleId="TOC3">
    <w:name w:val="toc 3"/>
    <w:basedOn w:val="Normal"/>
    <w:next w:val="Normal"/>
    <w:autoRedefine/>
    <w:uiPriority w:val="39"/>
    <w:unhideWhenUsed/>
    <w:rsid w:val="00A9447A"/>
    <w:pPr>
      <w:spacing w:after="100"/>
      <w:ind w:left="440"/>
    </w:pPr>
  </w:style>
  <w:style w:type="table" w:customStyle="1" w:styleId="TableGrid0">
    <w:name w:val="Table Grid0"/>
    <w:basedOn w:val="TableNormal"/>
    <w:uiPriority w:val="39"/>
    <w:rsid w:val="00311D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TOC1"/>
    <w:link w:val="Style1Char"/>
    <w:rsid w:val="00C20202"/>
    <w:pPr>
      <w:spacing w:before="480" w:line="192" w:lineRule="auto"/>
      <w:ind w:left="23"/>
    </w:pPr>
    <w:rPr>
      <w:rFonts w:ascii="Arial Nova Cond" w:hAnsi="Arial Nova Cond"/>
      <w:b/>
      <w:color w:val="414042" w:themeColor="text1"/>
      <w:spacing w:val="-27"/>
      <w:sz w:val="140"/>
      <w:szCs w:val="140"/>
    </w:rPr>
  </w:style>
  <w:style w:type="character" w:customStyle="1" w:styleId="Style1Char">
    <w:name w:val="Style1 Char"/>
    <w:basedOn w:val="DefaultParagraphFont"/>
    <w:link w:val="Style1"/>
    <w:rsid w:val="00C20202"/>
    <w:rPr>
      <w:rFonts w:ascii="Arial Nova Cond" w:eastAsia="Times New Roman" w:hAnsi="Arial Nova Cond" w:cs="Times New Roman"/>
      <w:b/>
      <w:color w:val="414042" w:themeColor="text1"/>
      <w:spacing w:val="-27"/>
      <w:sz w:val="140"/>
      <w:szCs w:val="140"/>
      <w:lang w:val="en-AU" w:bidi="en-US"/>
    </w:rPr>
  </w:style>
  <w:style w:type="paragraph" w:customStyle="1" w:styleId="SIScoverheading">
    <w:name w:val="SIS cover heading"/>
    <w:basedOn w:val="Normal"/>
    <w:qFormat/>
    <w:rsid w:val="0071456B"/>
    <w:pPr>
      <w:widowControl/>
      <w:autoSpaceDE/>
      <w:autoSpaceDN/>
      <w:spacing w:line="192" w:lineRule="auto"/>
    </w:pPr>
    <w:rPr>
      <w:rFonts w:ascii="Open Sans" w:eastAsiaTheme="minorEastAsia" w:hAnsi="Open Sans" w:cstheme="minorBidi"/>
      <w:color w:val="414042" w:themeColor="text1"/>
      <w:spacing w:val="-12"/>
      <w:sz w:val="56"/>
      <w:szCs w:val="60"/>
      <w:lang w:val="en-US" w:bidi="ar-SA"/>
    </w:rPr>
  </w:style>
  <w:style w:type="paragraph" w:customStyle="1" w:styleId="SIScoversubheading">
    <w:name w:val="SIS cover subheading"/>
    <w:basedOn w:val="Normal"/>
    <w:link w:val="SIScoversubheadingChar"/>
    <w:qFormat/>
    <w:rsid w:val="0071456B"/>
    <w:pPr>
      <w:widowControl/>
      <w:autoSpaceDE/>
      <w:autoSpaceDN/>
      <w:spacing w:line="216" w:lineRule="auto"/>
    </w:pPr>
    <w:rPr>
      <w:rFonts w:ascii="Open Sans" w:eastAsiaTheme="minorEastAsia" w:hAnsi="Open Sans" w:cstheme="minorBidi"/>
      <w:color w:val="414042" w:themeColor="text1"/>
      <w:spacing w:val="-4"/>
      <w:sz w:val="40"/>
      <w:szCs w:val="36"/>
      <w:lang w:val="en-US" w:bidi="ar-SA"/>
    </w:rPr>
  </w:style>
  <w:style w:type="character" w:customStyle="1" w:styleId="SIScoversubheadingChar">
    <w:name w:val="SIS cover subheading Char"/>
    <w:basedOn w:val="DefaultParagraphFont"/>
    <w:link w:val="SIScoversubheading"/>
    <w:rsid w:val="0071456B"/>
    <w:rPr>
      <w:rFonts w:ascii="Open Sans" w:eastAsiaTheme="minorEastAsia" w:hAnsi="Open Sans"/>
      <w:color w:val="414042" w:themeColor="text1"/>
      <w:spacing w:val="-4"/>
      <w:sz w:val="40"/>
      <w:szCs w:val="36"/>
    </w:rPr>
  </w:style>
  <w:style w:type="paragraph" w:customStyle="1" w:styleId="BodyTextSP">
    <w:name w:val="Body Text (SP)"/>
    <w:link w:val="BodyTextSPChar"/>
    <w:qFormat/>
    <w:rsid w:val="00E60817"/>
    <w:pPr>
      <w:widowControl/>
      <w:autoSpaceDE/>
      <w:autoSpaceDN/>
      <w:spacing w:before="80" w:after="60"/>
    </w:pPr>
    <w:rPr>
      <w:rFonts w:ascii="Open Sans" w:eastAsiaTheme="minorEastAsia" w:hAnsi="Open Sans"/>
      <w:color w:val="414042" w:themeColor="text1"/>
      <w:sz w:val="20"/>
      <w:szCs w:val="20"/>
    </w:rPr>
  </w:style>
  <w:style w:type="character" w:customStyle="1" w:styleId="BodyTextSPChar">
    <w:name w:val="Body Text (SP) Char"/>
    <w:basedOn w:val="DefaultParagraphFont"/>
    <w:link w:val="BodyTextSP"/>
    <w:rsid w:val="00E60817"/>
    <w:rPr>
      <w:rFonts w:ascii="Open Sans" w:eastAsiaTheme="minorEastAsia" w:hAnsi="Open Sans"/>
      <w:color w:val="414042" w:themeColor="text1"/>
      <w:sz w:val="20"/>
      <w:szCs w:val="20"/>
    </w:rPr>
  </w:style>
  <w:style w:type="paragraph" w:customStyle="1" w:styleId="BlackSubheadingItalic">
    <w:name w:val="Black Subheading Italic"/>
    <w:basedOn w:val="Normal"/>
    <w:link w:val="BlackSubheadingItalicChar"/>
    <w:autoRedefine/>
    <w:qFormat/>
    <w:rsid w:val="008B65CB"/>
    <w:pPr>
      <w:widowControl/>
      <w:autoSpaceDE/>
      <w:autoSpaceDN/>
      <w:spacing w:before="120" w:after="240"/>
    </w:pPr>
    <w:rPr>
      <w:rFonts w:ascii="Open Sans" w:eastAsiaTheme="minorHAnsi" w:hAnsi="Open Sans" w:cs="Open Sans"/>
      <w:b/>
      <w:sz w:val="24"/>
      <w:szCs w:val="24"/>
      <w:lang w:eastAsia="zh-CN" w:bidi="th-TH"/>
    </w:rPr>
  </w:style>
  <w:style w:type="character" w:customStyle="1" w:styleId="BlackSubheadingItalicChar">
    <w:name w:val="Black Subheading Italic Char"/>
    <w:basedOn w:val="DefaultParagraphFont"/>
    <w:link w:val="BlackSubheadingItalic"/>
    <w:rsid w:val="008B65CB"/>
    <w:rPr>
      <w:rFonts w:ascii="Open Sans" w:hAnsi="Open Sans" w:cs="Open Sans"/>
      <w:b/>
      <w:sz w:val="24"/>
      <w:szCs w:val="24"/>
      <w:lang w:val="en-AU" w:eastAsia="zh-CN" w:bidi="th-TH"/>
    </w:rPr>
  </w:style>
  <w:style w:type="paragraph" w:customStyle="1" w:styleId="TableHeader0">
    <w:name w:val="Table Header"/>
    <w:basedOn w:val="Normal"/>
    <w:qFormat/>
    <w:rsid w:val="00116F68"/>
    <w:pPr>
      <w:widowControl/>
      <w:autoSpaceDE/>
      <w:autoSpaceDN/>
      <w:spacing w:before="40" w:after="40"/>
      <w:jc w:val="center"/>
    </w:pPr>
    <w:rPr>
      <w:rFonts w:asciiTheme="minorHAnsi" w:hAnsiTheme="minorHAnsi"/>
      <w:b/>
      <w:bCs/>
      <w:color w:val="FFFFFF" w:themeColor="background1"/>
      <w:sz w:val="19"/>
      <w:szCs w:val="20"/>
      <w:lang w:val="en-US" w:bidi="ar-SA"/>
    </w:rPr>
  </w:style>
  <w:style w:type="paragraph" w:customStyle="1" w:styleId="Normal4">
    <w:name w:val="Normal4"/>
    <w:basedOn w:val="Normal"/>
    <w:link w:val="Normal4Char"/>
    <w:autoRedefine/>
    <w:qFormat/>
    <w:rsid w:val="00A017E4"/>
    <w:pPr>
      <w:widowControl/>
      <w:shd w:val="clear" w:color="auto" w:fill="FFFFFF" w:themeFill="background1"/>
      <w:autoSpaceDE/>
      <w:autoSpaceDN/>
      <w:spacing w:before="120" w:after="160" w:line="276" w:lineRule="auto"/>
    </w:pPr>
    <w:rPr>
      <w:rFonts w:asciiTheme="minorHAnsi" w:eastAsiaTheme="minorHAnsi" w:hAnsiTheme="minorHAnsi" w:cs="Arial"/>
      <w:lang w:bidi="ar-SA"/>
    </w:rPr>
  </w:style>
  <w:style w:type="character" w:customStyle="1" w:styleId="Normal4Char">
    <w:name w:val="Normal4 Char"/>
    <w:basedOn w:val="DefaultParagraphFont"/>
    <w:link w:val="Normal4"/>
    <w:rsid w:val="00A017E4"/>
    <w:rPr>
      <w:rFonts w:cs="Arial"/>
      <w:shd w:val="clear" w:color="auto" w:fill="FFFFFF" w:themeFill="background1"/>
      <w:lang w:val="en-AU"/>
    </w:rPr>
  </w:style>
  <w:style w:type="paragraph" w:customStyle="1" w:styleId="Table">
    <w:name w:val="Table"/>
    <w:basedOn w:val="Normal"/>
    <w:qFormat/>
    <w:rsid w:val="00F67F3F"/>
    <w:pPr>
      <w:widowControl/>
      <w:autoSpaceDE/>
      <w:autoSpaceDN/>
      <w:spacing w:before="40" w:after="40" w:line="252" w:lineRule="auto"/>
    </w:pPr>
    <w:rPr>
      <w:rFonts w:ascii="Calibri" w:eastAsiaTheme="minorHAnsi" w:hAnsi="Calibri" w:cs="Calibri"/>
      <w:sz w:val="19"/>
      <w:szCs w:val="19"/>
      <w:lang w:bidi="ar-SA"/>
    </w:rPr>
  </w:style>
  <w:style w:type="character" w:customStyle="1" w:styleId="lt-line-clampline">
    <w:name w:val="lt-line-clamp__line"/>
    <w:basedOn w:val="DefaultParagraphFont"/>
    <w:rsid w:val="00F67F3F"/>
  </w:style>
  <w:style w:type="paragraph" w:customStyle="1" w:styleId="PlainParagraph">
    <w:name w:val="Plain Paragraph"/>
    <w:basedOn w:val="Normal"/>
    <w:rsid w:val="007601BF"/>
    <w:pPr>
      <w:widowControl/>
      <w:autoSpaceDE/>
      <w:autoSpaceDN/>
      <w:spacing w:before="120" w:after="120" w:line="280" w:lineRule="atLeast"/>
      <w:ind w:left="567"/>
    </w:pPr>
    <w:rPr>
      <w:rFonts w:ascii="Arial" w:hAnsi="Arial" w:cs="Arial"/>
      <w:lang w:eastAsia="en-AU" w:bidi="ar-SA"/>
    </w:rPr>
  </w:style>
  <w:style w:type="paragraph" w:customStyle="1" w:styleId="NumberedList1">
    <w:name w:val="Numbered List: 1)"/>
    <w:basedOn w:val="PlainParagraph"/>
    <w:semiHidden/>
    <w:rsid w:val="007601BF"/>
    <w:pPr>
      <w:numPr>
        <w:numId w:val="2"/>
      </w:numPr>
      <w:spacing w:before="0"/>
    </w:pPr>
  </w:style>
  <w:style w:type="paragraph" w:customStyle="1" w:styleId="NumberedList11">
    <w:name w:val="Numbered List: 1) 1"/>
    <w:basedOn w:val="NumberedList1"/>
    <w:semiHidden/>
    <w:rsid w:val="007601BF"/>
    <w:pPr>
      <w:numPr>
        <w:ilvl w:val="1"/>
      </w:numPr>
    </w:pPr>
  </w:style>
  <w:style w:type="paragraph" w:customStyle="1" w:styleId="NumberedList12">
    <w:name w:val="Numbered List: 1) 2"/>
    <w:basedOn w:val="NumberedList11"/>
    <w:semiHidden/>
    <w:rsid w:val="007601BF"/>
    <w:pPr>
      <w:numPr>
        <w:ilvl w:val="2"/>
      </w:numPr>
    </w:pPr>
  </w:style>
  <w:style w:type="paragraph" w:customStyle="1" w:styleId="NumberedList13">
    <w:name w:val="Numbered List: 1) 3"/>
    <w:basedOn w:val="NumberedList12"/>
    <w:semiHidden/>
    <w:rsid w:val="007601BF"/>
    <w:pPr>
      <w:numPr>
        <w:ilvl w:val="3"/>
      </w:numPr>
    </w:pPr>
  </w:style>
  <w:style w:type="paragraph" w:customStyle="1" w:styleId="NumberedList14">
    <w:name w:val="Numbered List: 1) 4"/>
    <w:basedOn w:val="NumberedList13"/>
    <w:semiHidden/>
    <w:rsid w:val="007601BF"/>
    <w:pPr>
      <w:numPr>
        <w:ilvl w:val="4"/>
      </w:numPr>
    </w:pPr>
  </w:style>
  <w:style w:type="paragraph" w:customStyle="1" w:styleId="NumberedList15">
    <w:name w:val="Numbered List: 1) 5"/>
    <w:basedOn w:val="NumberedList14"/>
    <w:semiHidden/>
    <w:rsid w:val="007601BF"/>
    <w:pPr>
      <w:numPr>
        <w:ilvl w:val="5"/>
      </w:numPr>
    </w:pPr>
  </w:style>
  <w:style w:type="paragraph" w:customStyle="1" w:styleId="NumberedList16">
    <w:name w:val="Numbered List: 1) 6"/>
    <w:basedOn w:val="NumberedList15"/>
    <w:semiHidden/>
    <w:rsid w:val="007601BF"/>
    <w:pPr>
      <w:numPr>
        <w:ilvl w:val="6"/>
      </w:numPr>
    </w:pPr>
  </w:style>
  <w:style w:type="paragraph" w:customStyle="1" w:styleId="NumberedList17">
    <w:name w:val="Numbered List: 1) 7"/>
    <w:basedOn w:val="NumberedList16"/>
    <w:semiHidden/>
    <w:rsid w:val="007601BF"/>
    <w:pPr>
      <w:numPr>
        <w:ilvl w:val="7"/>
      </w:numPr>
    </w:pPr>
  </w:style>
  <w:style w:type="paragraph" w:customStyle="1" w:styleId="NumberedList18">
    <w:name w:val="Numbered List: 1) 8"/>
    <w:basedOn w:val="NumberedList17"/>
    <w:semiHidden/>
    <w:rsid w:val="007601BF"/>
    <w:pPr>
      <w:numPr>
        <w:ilvl w:val="8"/>
      </w:numPr>
    </w:pPr>
  </w:style>
  <w:style w:type="character" w:customStyle="1" w:styleId="Heading5Char">
    <w:name w:val="Heading 5 Char"/>
    <w:basedOn w:val="DefaultParagraphFont"/>
    <w:link w:val="Heading5"/>
    <w:uiPriority w:val="9"/>
    <w:rsid w:val="001306AA"/>
    <w:rPr>
      <w:rFonts w:asciiTheme="majorHAnsi" w:eastAsiaTheme="majorEastAsia" w:hAnsiTheme="majorHAnsi" w:cstheme="majorBidi"/>
      <w:color w:val="EE3400" w:themeColor="accent1" w:themeShade="BF"/>
      <w:lang w:val="en-AU" w:bidi="en-US"/>
    </w:rPr>
  </w:style>
  <w:style w:type="character" w:styleId="FollowedHyperlink">
    <w:name w:val="FollowedHyperlink"/>
    <w:basedOn w:val="DefaultParagraphFont"/>
    <w:uiPriority w:val="99"/>
    <w:semiHidden/>
    <w:unhideWhenUsed/>
    <w:rsid w:val="00A70232"/>
    <w:rPr>
      <w:color w:val="79437D" w:themeColor="followedHyperlink"/>
      <w:u w:val="single"/>
    </w:rPr>
  </w:style>
  <w:style w:type="paragraph" w:styleId="EndnoteText">
    <w:name w:val="endnote text"/>
    <w:basedOn w:val="Normal"/>
    <w:link w:val="EndnoteTextChar"/>
    <w:uiPriority w:val="99"/>
    <w:semiHidden/>
    <w:unhideWhenUsed/>
    <w:rsid w:val="00671135"/>
    <w:rPr>
      <w:sz w:val="20"/>
      <w:szCs w:val="20"/>
    </w:rPr>
  </w:style>
  <w:style w:type="character" w:customStyle="1" w:styleId="EndnoteTextChar">
    <w:name w:val="Endnote Text Char"/>
    <w:basedOn w:val="DefaultParagraphFont"/>
    <w:link w:val="EndnoteText"/>
    <w:uiPriority w:val="99"/>
    <w:semiHidden/>
    <w:rsid w:val="00671135"/>
    <w:rPr>
      <w:rFonts w:ascii="Times New Roman" w:eastAsia="Times New Roman" w:hAnsi="Times New Roman" w:cs="Times New Roman"/>
      <w:sz w:val="20"/>
      <w:szCs w:val="20"/>
      <w:lang w:val="en-AU" w:bidi="en-US"/>
    </w:rPr>
  </w:style>
  <w:style w:type="character" w:styleId="EndnoteReference">
    <w:name w:val="endnote reference"/>
    <w:basedOn w:val="DefaultParagraphFont"/>
    <w:uiPriority w:val="99"/>
    <w:semiHidden/>
    <w:unhideWhenUsed/>
    <w:rsid w:val="00671135"/>
    <w:rPr>
      <w:vertAlign w:val="superscript"/>
    </w:rPr>
  </w:style>
  <w:style w:type="character" w:customStyle="1" w:styleId="apple-converted-space">
    <w:name w:val="apple-converted-space"/>
    <w:basedOn w:val="DefaultParagraphFont"/>
    <w:rsid w:val="00251FAF"/>
  </w:style>
  <w:style w:type="paragraph" w:styleId="NormalWeb">
    <w:name w:val="Normal (Web)"/>
    <w:basedOn w:val="Normal"/>
    <w:uiPriority w:val="99"/>
    <w:semiHidden/>
    <w:unhideWhenUsed/>
    <w:rsid w:val="0055310B"/>
    <w:pPr>
      <w:widowControl/>
      <w:autoSpaceDE/>
      <w:autoSpaceDN/>
      <w:spacing w:before="100" w:beforeAutospacing="1" w:after="100" w:afterAutospacing="1"/>
    </w:pPr>
    <w:rPr>
      <w:sz w:val="24"/>
      <w:szCs w:val="24"/>
      <w:lang w:eastAsia="en-GB" w:bidi="ar-SA"/>
    </w:rPr>
  </w:style>
  <w:style w:type="character" w:customStyle="1" w:styleId="markedcontent">
    <w:name w:val="markedcontent"/>
    <w:basedOn w:val="DefaultParagraphFont"/>
    <w:rsid w:val="003A5C4A"/>
  </w:style>
  <w:style w:type="character" w:customStyle="1" w:styleId="authors">
    <w:name w:val="authors"/>
    <w:basedOn w:val="DefaultParagraphFont"/>
    <w:rsid w:val="003A5C4A"/>
  </w:style>
  <w:style w:type="character" w:customStyle="1" w:styleId="Date1">
    <w:name w:val="Date1"/>
    <w:basedOn w:val="DefaultParagraphFont"/>
    <w:rsid w:val="003A5C4A"/>
  </w:style>
  <w:style w:type="character" w:customStyle="1" w:styleId="arttitle">
    <w:name w:val="art_title"/>
    <w:basedOn w:val="DefaultParagraphFont"/>
    <w:rsid w:val="003A5C4A"/>
  </w:style>
  <w:style w:type="character" w:customStyle="1" w:styleId="serialtitle">
    <w:name w:val="serial_title"/>
    <w:basedOn w:val="DefaultParagraphFont"/>
    <w:rsid w:val="003A5C4A"/>
  </w:style>
  <w:style w:type="character" w:customStyle="1" w:styleId="volumeissue">
    <w:name w:val="volume_issue"/>
    <w:basedOn w:val="DefaultParagraphFont"/>
    <w:rsid w:val="003A5C4A"/>
  </w:style>
  <w:style w:type="character" w:customStyle="1" w:styleId="pagerange">
    <w:name w:val="page_range"/>
    <w:basedOn w:val="DefaultParagraphFont"/>
    <w:rsid w:val="003A5C4A"/>
  </w:style>
  <w:style w:type="character" w:customStyle="1" w:styleId="doilink">
    <w:name w:val="doi_link"/>
    <w:basedOn w:val="DefaultParagraphFont"/>
    <w:rsid w:val="003A5C4A"/>
  </w:style>
  <w:style w:type="character" w:customStyle="1" w:styleId="scxw219621689">
    <w:name w:val="scxw219621689"/>
    <w:basedOn w:val="DefaultParagraphFont"/>
    <w:rsid w:val="003A5C4A"/>
  </w:style>
  <w:style w:type="paragraph" w:styleId="Quote">
    <w:name w:val="Quote"/>
    <w:basedOn w:val="Normal"/>
    <w:next w:val="Normal"/>
    <w:link w:val="QuoteChar"/>
    <w:autoRedefine/>
    <w:uiPriority w:val="29"/>
    <w:qFormat/>
    <w:rsid w:val="00244409"/>
    <w:pPr>
      <w:spacing w:before="200" w:after="160" w:line="276" w:lineRule="auto"/>
      <w:ind w:left="862" w:right="862"/>
    </w:pPr>
    <w:rPr>
      <w:rFonts w:ascii="Calibri" w:hAnsi="Calibri"/>
      <w:iCs/>
    </w:rPr>
  </w:style>
  <w:style w:type="character" w:customStyle="1" w:styleId="QuoteChar">
    <w:name w:val="Quote Char"/>
    <w:basedOn w:val="DefaultParagraphFont"/>
    <w:link w:val="Quote"/>
    <w:uiPriority w:val="29"/>
    <w:rsid w:val="00244409"/>
    <w:rPr>
      <w:rFonts w:ascii="Calibri" w:eastAsia="Times New Roman" w:hAnsi="Calibri" w:cs="Times New Roman"/>
      <w:iCs/>
      <w:lang w:val="en-AU" w:bidi="en-US"/>
    </w:rPr>
  </w:style>
  <w:style w:type="paragraph" w:customStyle="1" w:styleId="dotpoints">
    <w:name w:val="dot points"/>
    <w:basedOn w:val="ListParagraph"/>
    <w:link w:val="dotpointsChar"/>
    <w:autoRedefine/>
    <w:qFormat/>
    <w:rsid w:val="001163F7"/>
    <w:pPr>
      <w:widowControl/>
      <w:numPr>
        <w:numId w:val="7"/>
      </w:numPr>
      <w:autoSpaceDE/>
      <w:autoSpaceDN/>
      <w:spacing w:before="120" w:after="160" w:line="276" w:lineRule="auto"/>
      <w:contextualSpacing/>
    </w:pPr>
    <w:rPr>
      <w:rFonts w:ascii="Calibri" w:hAnsi="Calibri"/>
    </w:rPr>
  </w:style>
  <w:style w:type="paragraph" w:styleId="Subtitle">
    <w:name w:val="Subtitle"/>
    <w:basedOn w:val="Normal"/>
    <w:next w:val="Normal"/>
    <w:link w:val="SubtitleChar"/>
    <w:uiPriority w:val="11"/>
    <w:qFormat/>
    <w:rsid w:val="00FB5E9B"/>
    <w:pPr>
      <w:numPr>
        <w:ilvl w:val="1"/>
      </w:numPr>
      <w:spacing w:after="160"/>
    </w:pPr>
    <w:rPr>
      <w:rFonts w:asciiTheme="minorHAnsi" w:eastAsiaTheme="minorEastAsia" w:hAnsiTheme="minorHAnsi" w:cstheme="minorBidi"/>
      <w:spacing w:val="15"/>
      <w:sz w:val="18"/>
    </w:rPr>
  </w:style>
  <w:style w:type="character" w:customStyle="1" w:styleId="dotpointsChar">
    <w:name w:val="dot points Char"/>
    <w:basedOn w:val="ListParagraphChar"/>
    <w:link w:val="dotpoints"/>
    <w:rsid w:val="001163F7"/>
    <w:rPr>
      <w:rFonts w:ascii="Calibri" w:eastAsia="Times New Roman" w:hAnsi="Calibri" w:cs="Times New Roman"/>
      <w:lang w:val="en-AU" w:bidi="en-US"/>
    </w:rPr>
  </w:style>
  <w:style w:type="character" w:customStyle="1" w:styleId="SubtitleChar">
    <w:name w:val="Subtitle Char"/>
    <w:basedOn w:val="DefaultParagraphFont"/>
    <w:link w:val="Subtitle"/>
    <w:uiPriority w:val="11"/>
    <w:rsid w:val="00FB5E9B"/>
    <w:rPr>
      <w:rFonts w:eastAsiaTheme="minorEastAsia"/>
      <w:spacing w:val="15"/>
      <w:sz w:val="18"/>
      <w:lang w:val="en-AU" w:bidi="en-US"/>
    </w:rPr>
  </w:style>
  <w:style w:type="paragraph" w:customStyle="1" w:styleId="numberedheading">
    <w:name w:val="numbered heading"/>
    <w:basedOn w:val="ListParagraph"/>
    <w:link w:val="numberedheadingChar"/>
    <w:autoRedefine/>
    <w:qFormat/>
    <w:rsid w:val="00F00CDC"/>
    <w:pPr>
      <w:widowControl/>
      <w:numPr>
        <w:numId w:val="4"/>
      </w:numPr>
      <w:autoSpaceDE/>
      <w:autoSpaceDN/>
      <w:spacing w:after="120" w:line="276" w:lineRule="auto"/>
      <w:ind w:left="357" w:hanging="357"/>
    </w:pPr>
    <w:rPr>
      <w:rFonts w:asciiTheme="minorHAnsi" w:hAnsiTheme="minorHAnsi" w:cstheme="minorHAnsi"/>
      <w:b/>
      <w:bCs/>
    </w:rPr>
  </w:style>
  <w:style w:type="character" w:customStyle="1" w:styleId="numberedheadingChar">
    <w:name w:val="numbered heading Char"/>
    <w:basedOn w:val="ListParagraphChar"/>
    <w:link w:val="numberedheading"/>
    <w:rsid w:val="00F00CDC"/>
    <w:rPr>
      <w:rFonts w:ascii="Times New Roman" w:eastAsia="Times New Roman" w:hAnsi="Times New Roman" w:cstheme="minorHAnsi"/>
      <w:b/>
      <w:bCs/>
      <w:lang w:val="en-AU" w:bidi="en-US"/>
    </w:rPr>
  </w:style>
  <w:style w:type="character" w:styleId="IntenseEmphasis">
    <w:name w:val="Intense Emphasis"/>
    <w:basedOn w:val="DefaultParagraphFont"/>
    <w:uiPriority w:val="21"/>
    <w:qFormat/>
    <w:rsid w:val="004F0873"/>
    <w:rPr>
      <w:i/>
      <w:iCs/>
      <w:color w:val="A82700"/>
    </w:rPr>
  </w:style>
  <w:style w:type="paragraph" w:customStyle="1" w:styleId="lettereddotpoint">
    <w:name w:val="lettered dot point"/>
    <w:basedOn w:val="Normal"/>
    <w:link w:val="lettereddotpointChar"/>
    <w:autoRedefine/>
    <w:qFormat/>
    <w:rsid w:val="00FA5255"/>
    <w:pPr>
      <w:numPr>
        <w:numId w:val="9"/>
      </w:numPr>
      <w:spacing w:line="276" w:lineRule="auto"/>
    </w:pPr>
    <w:rPr>
      <w:rFonts w:asciiTheme="minorHAnsi" w:hAnsiTheme="minorHAnsi"/>
      <w:szCs w:val="24"/>
    </w:rPr>
  </w:style>
  <w:style w:type="character" w:styleId="Emphasis">
    <w:name w:val="Emphasis"/>
    <w:basedOn w:val="DefaultParagraphFont"/>
    <w:uiPriority w:val="20"/>
    <w:qFormat/>
    <w:rsid w:val="00FA5255"/>
    <w:rPr>
      <w:i/>
      <w:iCs/>
    </w:rPr>
  </w:style>
  <w:style w:type="character" w:customStyle="1" w:styleId="lettereddotpointChar">
    <w:name w:val="lettered dot point Char"/>
    <w:basedOn w:val="Normal4Char"/>
    <w:link w:val="lettereddotpoint"/>
    <w:rsid w:val="00FA5255"/>
    <w:rPr>
      <w:rFonts w:eastAsia="Times New Roman" w:cs="Times New Roman"/>
      <w:szCs w:val="24"/>
      <w:shd w:val="clear" w:color="auto" w:fill="FFFFFF" w:themeFill="background1"/>
      <w:lang w:val="en-A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6586">
      <w:bodyDiv w:val="1"/>
      <w:marLeft w:val="0"/>
      <w:marRight w:val="0"/>
      <w:marTop w:val="0"/>
      <w:marBottom w:val="0"/>
      <w:divBdr>
        <w:top w:val="none" w:sz="0" w:space="0" w:color="auto"/>
        <w:left w:val="none" w:sz="0" w:space="0" w:color="auto"/>
        <w:bottom w:val="none" w:sz="0" w:space="0" w:color="auto"/>
        <w:right w:val="none" w:sz="0" w:space="0" w:color="auto"/>
      </w:divBdr>
    </w:div>
    <w:div w:id="135220810">
      <w:bodyDiv w:val="1"/>
      <w:marLeft w:val="0"/>
      <w:marRight w:val="0"/>
      <w:marTop w:val="0"/>
      <w:marBottom w:val="0"/>
      <w:divBdr>
        <w:top w:val="none" w:sz="0" w:space="0" w:color="auto"/>
        <w:left w:val="none" w:sz="0" w:space="0" w:color="auto"/>
        <w:bottom w:val="none" w:sz="0" w:space="0" w:color="auto"/>
        <w:right w:val="none" w:sz="0" w:space="0" w:color="auto"/>
      </w:divBdr>
      <w:divsChild>
        <w:div w:id="1640500332">
          <w:marLeft w:val="547"/>
          <w:marRight w:val="0"/>
          <w:marTop w:val="0"/>
          <w:marBottom w:val="0"/>
          <w:divBdr>
            <w:top w:val="none" w:sz="0" w:space="0" w:color="auto"/>
            <w:left w:val="none" w:sz="0" w:space="0" w:color="auto"/>
            <w:bottom w:val="none" w:sz="0" w:space="0" w:color="auto"/>
            <w:right w:val="none" w:sz="0" w:space="0" w:color="auto"/>
          </w:divBdr>
        </w:div>
      </w:divsChild>
    </w:div>
    <w:div w:id="164899748">
      <w:bodyDiv w:val="1"/>
      <w:marLeft w:val="0"/>
      <w:marRight w:val="0"/>
      <w:marTop w:val="0"/>
      <w:marBottom w:val="0"/>
      <w:divBdr>
        <w:top w:val="none" w:sz="0" w:space="0" w:color="auto"/>
        <w:left w:val="none" w:sz="0" w:space="0" w:color="auto"/>
        <w:bottom w:val="none" w:sz="0" w:space="0" w:color="auto"/>
        <w:right w:val="none" w:sz="0" w:space="0" w:color="auto"/>
      </w:divBdr>
    </w:div>
    <w:div w:id="276837571">
      <w:bodyDiv w:val="1"/>
      <w:marLeft w:val="0"/>
      <w:marRight w:val="0"/>
      <w:marTop w:val="0"/>
      <w:marBottom w:val="0"/>
      <w:divBdr>
        <w:top w:val="none" w:sz="0" w:space="0" w:color="auto"/>
        <w:left w:val="none" w:sz="0" w:space="0" w:color="auto"/>
        <w:bottom w:val="none" w:sz="0" w:space="0" w:color="auto"/>
        <w:right w:val="none" w:sz="0" w:space="0" w:color="auto"/>
      </w:divBdr>
    </w:div>
    <w:div w:id="340855288">
      <w:bodyDiv w:val="1"/>
      <w:marLeft w:val="0"/>
      <w:marRight w:val="0"/>
      <w:marTop w:val="0"/>
      <w:marBottom w:val="0"/>
      <w:divBdr>
        <w:top w:val="none" w:sz="0" w:space="0" w:color="auto"/>
        <w:left w:val="none" w:sz="0" w:space="0" w:color="auto"/>
        <w:bottom w:val="none" w:sz="0" w:space="0" w:color="auto"/>
        <w:right w:val="none" w:sz="0" w:space="0" w:color="auto"/>
      </w:divBdr>
      <w:divsChild>
        <w:div w:id="720983443">
          <w:marLeft w:val="0"/>
          <w:marRight w:val="0"/>
          <w:marTop w:val="0"/>
          <w:marBottom w:val="0"/>
          <w:divBdr>
            <w:top w:val="none" w:sz="0" w:space="0" w:color="auto"/>
            <w:left w:val="none" w:sz="0" w:space="0" w:color="auto"/>
            <w:bottom w:val="none" w:sz="0" w:space="0" w:color="auto"/>
            <w:right w:val="none" w:sz="0" w:space="0" w:color="auto"/>
          </w:divBdr>
        </w:div>
      </w:divsChild>
    </w:div>
    <w:div w:id="364643529">
      <w:bodyDiv w:val="1"/>
      <w:marLeft w:val="0"/>
      <w:marRight w:val="0"/>
      <w:marTop w:val="0"/>
      <w:marBottom w:val="0"/>
      <w:divBdr>
        <w:top w:val="none" w:sz="0" w:space="0" w:color="auto"/>
        <w:left w:val="none" w:sz="0" w:space="0" w:color="auto"/>
        <w:bottom w:val="none" w:sz="0" w:space="0" w:color="auto"/>
        <w:right w:val="none" w:sz="0" w:space="0" w:color="auto"/>
      </w:divBdr>
    </w:div>
    <w:div w:id="633102173">
      <w:bodyDiv w:val="1"/>
      <w:marLeft w:val="0"/>
      <w:marRight w:val="0"/>
      <w:marTop w:val="0"/>
      <w:marBottom w:val="0"/>
      <w:divBdr>
        <w:top w:val="none" w:sz="0" w:space="0" w:color="auto"/>
        <w:left w:val="none" w:sz="0" w:space="0" w:color="auto"/>
        <w:bottom w:val="none" w:sz="0" w:space="0" w:color="auto"/>
        <w:right w:val="none" w:sz="0" w:space="0" w:color="auto"/>
      </w:divBdr>
    </w:div>
    <w:div w:id="649947636">
      <w:bodyDiv w:val="1"/>
      <w:marLeft w:val="0"/>
      <w:marRight w:val="0"/>
      <w:marTop w:val="0"/>
      <w:marBottom w:val="0"/>
      <w:divBdr>
        <w:top w:val="none" w:sz="0" w:space="0" w:color="auto"/>
        <w:left w:val="none" w:sz="0" w:space="0" w:color="auto"/>
        <w:bottom w:val="none" w:sz="0" w:space="0" w:color="auto"/>
        <w:right w:val="none" w:sz="0" w:space="0" w:color="auto"/>
      </w:divBdr>
      <w:divsChild>
        <w:div w:id="1099525001">
          <w:marLeft w:val="0"/>
          <w:marRight w:val="0"/>
          <w:marTop w:val="0"/>
          <w:marBottom w:val="0"/>
          <w:divBdr>
            <w:top w:val="none" w:sz="0" w:space="0" w:color="auto"/>
            <w:left w:val="none" w:sz="0" w:space="0" w:color="auto"/>
            <w:bottom w:val="none" w:sz="0" w:space="0" w:color="auto"/>
            <w:right w:val="none" w:sz="0" w:space="0" w:color="auto"/>
          </w:divBdr>
        </w:div>
        <w:div w:id="399789720">
          <w:marLeft w:val="0"/>
          <w:marRight w:val="0"/>
          <w:marTop w:val="0"/>
          <w:marBottom w:val="0"/>
          <w:divBdr>
            <w:top w:val="none" w:sz="0" w:space="0" w:color="auto"/>
            <w:left w:val="none" w:sz="0" w:space="0" w:color="auto"/>
            <w:bottom w:val="none" w:sz="0" w:space="0" w:color="auto"/>
            <w:right w:val="none" w:sz="0" w:space="0" w:color="auto"/>
          </w:divBdr>
        </w:div>
        <w:div w:id="1093277564">
          <w:marLeft w:val="0"/>
          <w:marRight w:val="0"/>
          <w:marTop w:val="0"/>
          <w:marBottom w:val="0"/>
          <w:divBdr>
            <w:top w:val="none" w:sz="0" w:space="0" w:color="auto"/>
            <w:left w:val="none" w:sz="0" w:space="0" w:color="auto"/>
            <w:bottom w:val="none" w:sz="0" w:space="0" w:color="auto"/>
            <w:right w:val="none" w:sz="0" w:space="0" w:color="auto"/>
          </w:divBdr>
          <w:divsChild>
            <w:div w:id="1331566323">
              <w:marLeft w:val="0"/>
              <w:marRight w:val="0"/>
              <w:marTop w:val="0"/>
              <w:marBottom w:val="0"/>
              <w:divBdr>
                <w:top w:val="none" w:sz="0" w:space="0" w:color="auto"/>
                <w:left w:val="none" w:sz="0" w:space="0" w:color="auto"/>
                <w:bottom w:val="none" w:sz="0" w:space="0" w:color="auto"/>
                <w:right w:val="none" w:sz="0" w:space="0" w:color="auto"/>
              </w:divBdr>
            </w:div>
            <w:div w:id="148644013">
              <w:marLeft w:val="0"/>
              <w:marRight w:val="0"/>
              <w:marTop w:val="0"/>
              <w:marBottom w:val="0"/>
              <w:divBdr>
                <w:top w:val="none" w:sz="0" w:space="0" w:color="auto"/>
                <w:left w:val="none" w:sz="0" w:space="0" w:color="auto"/>
                <w:bottom w:val="none" w:sz="0" w:space="0" w:color="auto"/>
                <w:right w:val="none" w:sz="0" w:space="0" w:color="auto"/>
              </w:divBdr>
            </w:div>
            <w:div w:id="1266885291">
              <w:marLeft w:val="0"/>
              <w:marRight w:val="0"/>
              <w:marTop w:val="0"/>
              <w:marBottom w:val="0"/>
              <w:divBdr>
                <w:top w:val="none" w:sz="0" w:space="0" w:color="auto"/>
                <w:left w:val="none" w:sz="0" w:space="0" w:color="auto"/>
                <w:bottom w:val="none" w:sz="0" w:space="0" w:color="auto"/>
                <w:right w:val="none" w:sz="0" w:space="0" w:color="auto"/>
              </w:divBdr>
            </w:div>
            <w:div w:id="2145156850">
              <w:marLeft w:val="0"/>
              <w:marRight w:val="0"/>
              <w:marTop w:val="0"/>
              <w:marBottom w:val="0"/>
              <w:divBdr>
                <w:top w:val="none" w:sz="0" w:space="0" w:color="auto"/>
                <w:left w:val="none" w:sz="0" w:space="0" w:color="auto"/>
                <w:bottom w:val="none" w:sz="0" w:space="0" w:color="auto"/>
                <w:right w:val="none" w:sz="0" w:space="0" w:color="auto"/>
              </w:divBdr>
            </w:div>
          </w:divsChild>
        </w:div>
        <w:div w:id="107745028">
          <w:marLeft w:val="0"/>
          <w:marRight w:val="0"/>
          <w:marTop w:val="0"/>
          <w:marBottom w:val="0"/>
          <w:divBdr>
            <w:top w:val="none" w:sz="0" w:space="0" w:color="auto"/>
            <w:left w:val="none" w:sz="0" w:space="0" w:color="auto"/>
            <w:bottom w:val="none" w:sz="0" w:space="0" w:color="auto"/>
            <w:right w:val="none" w:sz="0" w:space="0" w:color="auto"/>
          </w:divBdr>
          <w:divsChild>
            <w:div w:id="1360082324">
              <w:marLeft w:val="0"/>
              <w:marRight w:val="0"/>
              <w:marTop w:val="30"/>
              <w:marBottom w:val="30"/>
              <w:divBdr>
                <w:top w:val="none" w:sz="0" w:space="0" w:color="auto"/>
                <w:left w:val="none" w:sz="0" w:space="0" w:color="auto"/>
                <w:bottom w:val="none" w:sz="0" w:space="0" w:color="auto"/>
                <w:right w:val="none" w:sz="0" w:space="0" w:color="auto"/>
              </w:divBdr>
              <w:divsChild>
                <w:div w:id="1908565503">
                  <w:marLeft w:val="0"/>
                  <w:marRight w:val="0"/>
                  <w:marTop w:val="0"/>
                  <w:marBottom w:val="0"/>
                  <w:divBdr>
                    <w:top w:val="none" w:sz="0" w:space="0" w:color="auto"/>
                    <w:left w:val="none" w:sz="0" w:space="0" w:color="auto"/>
                    <w:bottom w:val="none" w:sz="0" w:space="0" w:color="auto"/>
                    <w:right w:val="none" w:sz="0" w:space="0" w:color="auto"/>
                  </w:divBdr>
                  <w:divsChild>
                    <w:div w:id="22218338">
                      <w:marLeft w:val="0"/>
                      <w:marRight w:val="0"/>
                      <w:marTop w:val="0"/>
                      <w:marBottom w:val="0"/>
                      <w:divBdr>
                        <w:top w:val="none" w:sz="0" w:space="0" w:color="auto"/>
                        <w:left w:val="none" w:sz="0" w:space="0" w:color="auto"/>
                        <w:bottom w:val="none" w:sz="0" w:space="0" w:color="auto"/>
                        <w:right w:val="none" w:sz="0" w:space="0" w:color="auto"/>
                      </w:divBdr>
                    </w:div>
                  </w:divsChild>
                </w:div>
                <w:div w:id="1731075139">
                  <w:marLeft w:val="0"/>
                  <w:marRight w:val="0"/>
                  <w:marTop w:val="0"/>
                  <w:marBottom w:val="0"/>
                  <w:divBdr>
                    <w:top w:val="none" w:sz="0" w:space="0" w:color="auto"/>
                    <w:left w:val="none" w:sz="0" w:space="0" w:color="auto"/>
                    <w:bottom w:val="none" w:sz="0" w:space="0" w:color="auto"/>
                    <w:right w:val="none" w:sz="0" w:space="0" w:color="auto"/>
                  </w:divBdr>
                  <w:divsChild>
                    <w:div w:id="18556920">
                      <w:marLeft w:val="0"/>
                      <w:marRight w:val="0"/>
                      <w:marTop w:val="0"/>
                      <w:marBottom w:val="0"/>
                      <w:divBdr>
                        <w:top w:val="none" w:sz="0" w:space="0" w:color="auto"/>
                        <w:left w:val="none" w:sz="0" w:space="0" w:color="auto"/>
                        <w:bottom w:val="none" w:sz="0" w:space="0" w:color="auto"/>
                        <w:right w:val="none" w:sz="0" w:space="0" w:color="auto"/>
                      </w:divBdr>
                    </w:div>
                  </w:divsChild>
                </w:div>
                <w:div w:id="2000620126">
                  <w:marLeft w:val="0"/>
                  <w:marRight w:val="0"/>
                  <w:marTop w:val="0"/>
                  <w:marBottom w:val="0"/>
                  <w:divBdr>
                    <w:top w:val="none" w:sz="0" w:space="0" w:color="auto"/>
                    <w:left w:val="none" w:sz="0" w:space="0" w:color="auto"/>
                    <w:bottom w:val="none" w:sz="0" w:space="0" w:color="auto"/>
                    <w:right w:val="none" w:sz="0" w:space="0" w:color="auto"/>
                  </w:divBdr>
                  <w:divsChild>
                    <w:div w:id="1423376557">
                      <w:marLeft w:val="0"/>
                      <w:marRight w:val="0"/>
                      <w:marTop w:val="0"/>
                      <w:marBottom w:val="0"/>
                      <w:divBdr>
                        <w:top w:val="none" w:sz="0" w:space="0" w:color="auto"/>
                        <w:left w:val="none" w:sz="0" w:space="0" w:color="auto"/>
                        <w:bottom w:val="none" w:sz="0" w:space="0" w:color="auto"/>
                        <w:right w:val="none" w:sz="0" w:space="0" w:color="auto"/>
                      </w:divBdr>
                    </w:div>
                  </w:divsChild>
                </w:div>
                <w:div w:id="1719627509">
                  <w:marLeft w:val="0"/>
                  <w:marRight w:val="0"/>
                  <w:marTop w:val="0"/>
                  <w:marBottom w:val="0"/>
                  <w:divBdr>
                    <w:top w:val="none" w:sz="0" w:space="0" w:color="auto"/>
                    <w:left w:val="none" w:sz="0" w:space="0" w:color="auto"/>
                    <w:bottom w:val="none" w:sz="0" w:space="0" w:color="auto"/>
                    <w:right w:val="none" w:sz="0" w:space="0" w:color="auto"/>
                  </w:divBdr>
                  <w:divsChild>
                    <w:div w:id="830947705">
                      <w:marLeft w:val="0"/>
                      <w:marRight w:val="0"/>
                      <w:marTop w:val="0"/>
                      <w:marBottom w:val="0"/>
                      <w:divBdr>
                        <w:top w:val="none" w:sz="0" w:space="0" w:color="auto"/>
                        <w:left w:val="none" w:sz="0" w:space="0" w:color="auto"/>
                        <w:bottom w:val="none" w:sz="0" w:space="0" w:color="auto"/>
                        <w:right w:val="none" w:sz="0" w:space="0" w:color="auto"/>
                      </w:divBdr>
                    </w:div>
                  </w:divsChild>
                </w:div>
                <w:div w:id="2002809932">
                  <w:marLeft w:val="0"/>
                  <w:marRight w:val="0"/>
                  <w:marTop w:val="0"/>
                  <w:marBottom w:val="0"/>
                  <w:divBdr>
                    <w:top w:val="none" w:sz="0" w:space="0" w:color="auto"/>
                    <w:left w:val="none" w:sz="0" w:space="0" w:color="auto"/>
                    <w:bottom w:val="none" w:sz="0" w:space="0" w:color="auto"/>
                    <w:right w:val="none" w:sz="0" w:space="0" w:color="auto"/>
                  </w:divBdr>
                  <w:divsChild>
                    <w:div w:id="1580015408">
                      <w:marLeft w:val="0"/>
                      <w:marRight w:val="0"/>
                      <w:marTop w:val="0"/>
                      <w:marBottom w:val="0"/>
                      <w:divBdr>
                        <w:top w:val="none" w:sz="0" w:space="0" w:color="auto"/>
                        <w:left w:val="none" w:sz="0" w:space="0" w:color="auto"/>
                        <w:bottom w:val="none" w:sz="0" w:space="0" w:color="auto"/>
                        <w:right w:val="none" w:sz="0" w:space="0" w:color="auto"/>
                      </w:divBdr>
                    </w:div>
                  </w:divsChild>
                </w:div>
                <w:div w:id="81219880">
                  <w:marLeft w:val="0"/>
                  <w:marRight w:val="0"/>
                  <w:marTop w:val="0"/>
                  <w:marBottom w:val="0"/>
                  <w:divBdr>
                    <w:top w:val="none" w:sz="0" w:space="0" w:color="auto"/>
                    <w:left w:val="none" w:sz="0" w:space="0" w:color="auto"/>
                    <w:bottom w:val="none" w:sz="0" w:space="0" w:color="auto"/>
                    <w:right w:val="none" w:sz="0" w:space="0" w:color="auto"/>
                  </w:divBdr>
                  <w:divsChild>
                    <w:div w:id="668870285">
                      <w:marLeft w:val="0"/>
                      <w:marRight w:val="0"/>
                      <w:marTop w:val="0"/>
                      <w:marBottom w:val="0"/>
                      <w:divBdr>
                        <w:top w:val="none" w:sz="0" w:space="0" w:color="auto"/>
                        <w:left w:val="none" w:sz="0" w:space="0" w:color="auto"/>
                        <w:bottom w:val="none" w:sz="0" w:space="0" w:color="auto"/>
                        <w:right w:val="none" w:sz="0" w:space="0" w:color="auto"/>
                      </w:divBdr>
                    </w:div>
                  </w:divsChild>
                </w:div>
                <w:div w:id="1696691167">
                  <w:marLeft w:val="0"/>
                  <w:marRight w:val="0"/>
                  <w:marTop w:val="0"/>
                  <w:marBottom w:val="0"/>
                  <w:divBdr>
                    <w:top w:val="none" w:sz="0" w:space="0" w:color="auto"/>
                    <w:left w:val="none" w:sz="0" w:space="0" w:color="auto"/>
                    <w:bottom w:val="none" w:sz="0" w:space="0" w:color="auto"/>
                    <w:right w:val="none" w:sz="0" w:space="0" w:color="auto"/>
                  </w:divBdr>
                  <w:divsChild>
                    <w:div w:id="366181484">
                      <w:marLeft w:val="0"/>
                      <w:marRight w:val="0"/>
                      <w:marTop w:val="0"/>
                      <w:marBottom w:val="0"/>
                      <w:divBdr>
                        <w:top w:val="none" w:sz="0" w:space="0" w:color="auto"/>
                        <w:left w:val="none" w:sz="0" w:space="0" w:color="auto"/>
                        <w:bottom w:val="none" w:sz="0" w:space="0" w:color="auto"/>
                        <w:right w:val="none" w:sz="0" w:space="0" w:color="auto"/>
                      </w:divBdr>
                    </w:div>
                  </w:divsChild>
                </w:div>
                <w:div w:id="500197913">
                  <w:marLeft w:val="0"/>
                  <w:marRight w:val="0"/>
                  <w:marTop w:val="0"/>
                  <w:marBottom w:val="0"/>
                  <w:divBdr>
                    <w:top w:val="none" w:sz="0" w:space="0" w:color="auto"/>
                    <w:left w:val="none" w:sz="0" w:space="0" w:color="auto"/>
                    <w:bottom w:val="none" w:sz="0" w:space="0" w:color="auto"/>
                    <w:right w:val="none" w:sz="0" w:space="0" w:color="auto"/>
                  </w:divBdr>
                  <w:divsChild>
                    <w:div w:id="1475412209">
                      <w:marLeft w:val="0"/>
                      <w:marRight w:val="0"/>
                      <w:marTop w:val="0"/>
                      <w:marBottom w:val="0"/>
                      <w:divBdr>
                        <w:top w:val="none" w:sz="0" w:space="0" w:color="auto"/>
                        <w:left w:val="none" w:sz="0" w:space="0" w:color="auto"/>
                        <w:bottom w:val="none" w:sz="0" w:space="0" w:color="auto"/>
                        <w:right w:val="none" w:sz="0" w:space="0" w:color="auto"/>
                      </w:divBdr>
                    </w:div>
                  </w:divsChild>
                </w:div>
                <w:div w:id="1379478446">
                  <w:marLeft w:val="0"/>
                  <w:marRight w:val="0"/>
                  <w:marTop w:val="0"/>
                  <w:marBottom w:val="0"/>
                  <w:divBdr>
                    <w:top w:val="none" w:sz="0" w:space="0" w:color="auto"/>
                    <w:left w:val="none" w:sz="0" w:space="0" w:color="auto"/>
                    <w:bottom w:val="none" w:sz="0" w:space="0" w:color="auto"/>
                    <w:right w:val="none" w:sz="0" w:space="0" w:color="auto"/>
                  </w:divBdr>
                  <w:divsChild>
                    <w:div w:id="1817406187">
                      <w:marLeft w:val="0"/>
                      <w:marRight w:val="0"/>
                      <w:marTop w:val="0"/>
                      <w:marBottom w:val="0"/>
                      <w:divBdr>
                        <w:top w:val="none" w:sz="0" w:space="0" w:color="auto"/>
                        <w:left w:val="none" w:sz="0" w:space="0" w:color="auto"/>
                        <w:bottom w:val="none" w:sz="0" w:space="0" w:color="auto"/>
                        <w:right w:val="none" w:sz="0" w:space="0" w:color="auto"/>
                      </w:divBdr>
                    </w:div>
                  </w:divsChild>
                </w:div>
                <w:div w:id="706637196">
                  <w:marLeft w:val="0"/>
                  <w:marRight w:val="0"/>
                  <w:marTop w:val="0"/>
                  <w:marBottom w:val="0"/>
                  <w:divBdr>
                    <w:top w:val="none" w:sz="0" w:space="0" w:color="auto"/>
                    <w:left w:val="none" w:sz="0" w:space="0" w:color="auto"/>
                    <w:bottom w:val="none" w:sz="0" w:space="0" w:color="auto"/>
                    <w:right w:val="none" w:sz="0" w:space="0" w:color="auto"/>
                  </w:divBdr>
                  <w:divsChild>
                    <w:div w:id="1394356452">
                      <w:marLeft w:val="0"/>
                      <w:marRight w:val="0"/>
                      <w:marTop w:val="0"/>
                      <w:marBottom w:val="0"/>
                      <w:divBdr>
                        <w:top w:val="none" w:sz="0" w:space="0" w:color="auto"/>
                        <w:left w:val="none" w:sz="0" w:space="0" w:color="auto"/>
                        <w:bottom w:val="none" w:sz="0" w:space="0" w:color="auto"/>
                        <w:right w:val="none" w:sz="0" w:space="0" w:color="auto"/>
                      </w:divBdr>
                    </w:div>
                  </w:divsChild>
                </w:div>
                <w:div w:id="1539588554">
                  <w:marLeft w:val="0"/>
                  <w:marRight w:val="0"/>
                  <w:marTop w:val="0"/>
                  <w:marBottom w:val="0"/>
                  <w:divBdr>
                    <w:top w:val="none" w:sz="0" w:space="0" w:color="auto"/>
                    <w:left w:val="none" w:sz="0" w:space="0" w:color="auto"/>
                    <w:bottom w:val="none" w:sz="0" w:space="0" w:color="auto"/>
                    <w:right w:val="none" w:sz="0" w:space="0" w:color="auto"/>
                  </w:divBdr>
                  <w:divsChild>
                    <w:div w:id="895092562">
                      <w:marLeft w:val="0"/>
                      <w:marRight w:val="0"/>
                      <w:marTop w:val="0"/>
                      <w:marBottom w:val="0"/>
                      <w:divBdr>
                        <w:top w:val="none" w:sz="0" w:space="0" w:color="auto"/>
                        <w:left w:val="none" w:sz="0" w:space="0" w:color="auto"/>
                        <w:bottom w:val="none" w:sz="0" w:space="0" w:color="auto"/>
                        <w:right w:val="none" w:sz="0" w:space="0" w:color="auto"/>
                      </w:divBdr>
                    </w:div>
                  </w:divsChild>
                </w:div>
                <w:div w:id="1523662476">
                  <w:marLeft w:val="0"/>
                  <w:marRight w:val="0"/>
                  <w:marTop w:val="0"/>
                  <w:marBottom w:val="0"/>
                  <w:divBdr>
                    <w:top w:val="none" w:sz="0" w:space="0" w:color="auto"/>
                    <w:left w:val="none" w:sz="0" w:space="0" w:color="auto"/>
                    <w:bottom w:val="none" w:sz="0" w:space="0" w:color="auto"/>
                    <w:right w:val="none" w:sz="0" w:space="0" w:color="auto"/>
                  </w:divBdr>
                  <w:divsChild>
                    <w:div w:id="1836803552">
                      <w:marLeft w:val="0"/>
                      <w:marRight w:val="0"/>
                      <w:marTop w:val="0"/>
                      <w:marBottom w:val="0"/>
                      <w:divBdr>
                        <w:top w:val="none" w:sz="0" w:space="0" w:color="auto"/>
                        <w:left w:val="none" w:sz="0" w:space="0" w:color="auto"/>
                        <w:bottom w:val="none" w:sz="0" w:space="0" w:color="auto"/>
                        <w:right w:val="none" w:sz="0" w:space="0" w:color="auto"/>
                      </w:divBdr>
                    </w:div>
                  </w:divsChild>
                </w:div>
                <w:div w:id="199827790">
                  <w:marLeft w:val="0"/>
                  <w:marRight w:val="0"/>
                  <w:marTop w:val="0"/>
                  <w:marBottom w:val="0"/>
                  <w:divBdr>
                    <w:top w:val="none" w:sz="0" w:space="0" w:color="auto"/>
                    <w:left w:val="none" w:sz="0" w:space="0" w:color="auto"/>
                    <w:bottom w:val="none" w:sz="0" w:space="0" w:color="auto"/>
                    <w:right w:val="none" w:sz="0" w:space="0" w:color="auto"/>
                  </w:divBdr>
                  <w:divsChild>
                    <w:div w:id="569536020">
                      <w:marLeft w:val="0"/>
                      <w:marRight w:val="0"/>
                      <w:marTop w:val="0"/>
                      <w:marBottom w:val="0"/>
                      <w:divBdr>
                        <w:top w:val="none" w:sz="0" w:space="0" w:color="auto"/>
                        <w:left w:val="none" w:sz="0" w:space="0" w:color="auto"/>
                        <w:bottom w:val="none" w:sz="0" w:space="0" w:color="auto"/>
                        <w:right w:val="none" w:sz="0" w:space="0" w:color="auto"/>
                      </w:divBdr>
                    </w:div>
                  </w:divsChild>
                </w:div>
                <w:div w:id="472453206">
                  <w:marLeft w:val="0"/>
                  <w:marRight w:val="0"/>
                  <w:marTop w:val="0"/>
                  <w:marBottom w:val="0"/>
                  <w:divBdr>
                    <w:top w:val="none" w:sz="0" w:space="0" w:color="auto"/>
                    <w:left w:val="none" w:sz="0" w:space="0" w:color="auto"/>
                    <w:bottom w:val="none" w:sz="0" w:space="0" w:color="auto"/>
                    <w:right w:val="none" w:sz="0" w:space="0" w:color="auto"/>
                  </w:divBdr>
                  <w:divsChild>
                    <w:div w:id="1052729678">
                      <w:marLeft w:val="0"/>
                      <w:marRight w:val="0"/>
                      <w:marTop w:val="0"/>
                      <w:marBottom w:val="0"/>
                      <w:divBdr>
                        <w:top w:val="none" w:sz="0" w:space="0" w:color="auto"/>
                        <w:left w:val="none" w:sz="0" w:space="0" w:color="auto"/>
                        <w:bottom w:val="none" w:sz="0" w:space="0" w:color="auto"/>
                        <w:right w:val="none" w:sz="0" w:space="0" w:color="auto"/>
                      </w:divBdr>
                    </w:div>
                  </w:divsChild>
                </w:div>
                <w:div w:id="2012952491">
                  <w:marLeft w:val="0"/>
                  <w:marRight w:val="0"/>
                  <w:marTop w:val="0"/>
                  <w:marBottom w:val="0"/>
                  <w:divBdr>
                    <w:top w:val="none" w:sz="0" w:space="0" w:color="auto"/>
                    <w:left w:val="none" w:sz="0" w:space="0" w:color="auto"/>
                    <w:bottom w:val="none" w:sz="0" w:space="0" w:color="auto"/>
                    <w:right w:val="none" w:sz="0" w:space="0" w:color="auto"/>
                  </w:divBdr>
                  <w:divsChild>
                    <w:div w:id="903178160">
                      <w:marLeft w:val="0"/>
                      <w:marRight w:val="0"/>
                      <w:marTop w:val="0"/>
                      <w:marBottom w:val="0"/>
                      <w:divBdr>
                        <w:top w:val="none" w:sz="0" w:space="0" w:color="auto"/>
                        <w:left w:val="none" w:sz="0" w:space="0" w:color="auto"/>
                        <w:bottom w:val="none" w:sz="0" w:space="0" w:color="auto"/>
                        <w:right w:val="none" w:sz="0" w:space="0" w:color="auto"/>
                      </w:divBdr>
                    </w:div>
                  </w:divsChild>
                </w:div>
                <w:div w:id="485754463">
                  <w:marLeft w:val="0"/>
                  <w:marRight w:val="0"/>
                  <w:marTop w:val="0"/>
                  <w:marBottom w:val="0"/>
                  <w:divBdr>
                    <w:top w:val="none" w:sz="0" w:space="0" w:color="auto"/>
                    <w:left w:val="none" w:sz="0" w:space="0" w:color="auto"/>
                    <w:bottom w:val="none" w:sz="0" w:space="0" w:color="auto"/>
                    <w:right w:val="none" w:sz="0" w:space="0" w:color="auto"/>
                  </w:divBdr>
                  <w:divsChild>
                    <w:div w:id="570699136">
                      <w:marLeft w:val="0"/>
                      <w:marRight w:val="0"/>
                      <w:marTop w:val="0"/>
                      <w:marBottom w:val="0"/>
                      <w:divBdr>
                        <w:top w:val="none" w:sz="0" w:space="0" w:color="auto"/>
                        <w:left w:val="none" w:sz="0" w:space="0" w:color="auto"/>
                        <w:bottom w:val="none" w:sz="0" w:space="0" w:color="auto"/>
                        <w:right w:val="none" w:sz="0" w:space="0" w:color="auto"/>
                      </w:divBdr>
                    </w:div>
                  </w:divsChild>
                </w:div>
                <w:div w:id="1960986918">
                  <w:marLeft w:val="0"/>
                  <w:marRight w:val="0"/>
                  <w:marTop w:val="0"/>
                  <w:marBottom w:val="0"/>
                  <w:divBdr>
                    <w:top w:val="none" w:sz="0" w:space="0" w:color="auto"/>
                    <w:left w:val="none" w:sz="0" w:space="0" w:color="auto"/>
                    <w:bottom w:val="none" w:sz="0" w:space="0" w:color="auto"/>
                    <w:right w:val="none" w:sz="0" w:space="0" w:color="auto"/>
                  </w:divBdr>
                  <w:divsChild>
                    <w:div w:id="1670598174">
                      <w:marLeft w:val="0"/>
                      <w:marRight w:val="0"/>
                      <w:marTop w:val="0"/>
                      <w:marBottom w:val="0"/>
                      <w:divBdr>
                        <w:top w:val="none" w:sz="0" w:space="0" w:color="auto"/>
                        <w:left w:val="none" w:sz="0" w:space="0" w:color="auto"/>
                        <w:bottom w:val="none" w:sz="0" w:space="0" w:color="auto"/>
                        <w:right w:val="none" w:sz="0" w:space="0" w:color="auto"/>
                      </w:divBdr>
                    </w:div>
                  </w:divsChild>
                </w:div>
                <w:div w:id="1530333812">
                  <w:marLeft w:val="0"/>
                  <w:marRight w:val="0"/>
                  <w:marTop w:val="0"/>
                  <w:marBottom w:val="0"/>
                  <w:divBdr>
                    <w:top w:val="none" w:sz="0" w:space="0" w:color="auto"/>
                    <w:left w:val="none" w:sz="0" w:space="0" w:color="auto"/>
                    <w:bottom w:val="none" w:sz="0" w:space="0" w:color="auto"/>
                    <w:right w:val="none" w:sz="0" w:space="0" w:color="auto"/>
                  </w:divBdr>
                  <w:divsChild>
                    <w:div w:id="1663701015">
                      <w:marLeft w:val="0"/>
                      <w:marRight w:val="0"/>
                      <w:marTop w:val="0"/>
                      <w:marBottom w:val="0"/>
                      <w:divBdr>
                        <w:top w:val="none" w:sz="0" w:space="0" w:color="auto"/>
                        <w:left w:val="none" w:sz="0" w:space="0" w:color="auto"/>
                        <w:bottom w:val="none" w:sz="0" w:space="0" w:color="auto"/>
                        <w:right w:val="none" w:sz="0" w:space="0" w:color="auto"/>
                      </w:divBdr>
                    </w:div>
                  </w:divsChild>
                </w:div>
                <w:div w:id="2127263371">
                  <w:marLeft w:val="0"/>
                  <w:marRight w:val="0"/>
                  <w:marTop w:val="0"/>
                  <w:marBottom w:val="0"/>
                  <w:divBdr>
                    <w:top w:val="none" w:sz="0" w:space="0" w:color="auto"/>
                    <w:left w:val="none" w:sz="0" w:space="0" w:color="auto"/>
                    <w:bottom w:val="none" w:sz="0" w:space="0" w:color="auto"/>
                    <w:right w:val="none" w:sz="0" w:space="0" w:color="auto"/>
                  </w:divBdr>
                  <w:divsChild>
                    <w:div w:id="264312183">
                      <w:marLeft w:val="0"/>
                      <w:marRight w:val="0"/>
                      <w:marTop w:val="0"/>
                      <w:marBottom w:val="0"/>
                      <w:divBdr>
                        <w:top w:val="none" w:sz="0" w:space="0" w:color="auto"/>
                        <w:left w:val="none" w:sz="0" w:space="0" w:color="auto"/>
                        <w:bottom w:val="none" w:sz="0" w:space="0" w:color="auto"/>
                        <w:right w:val="none" w:sz="0" w:space="0" w:color="auto"/>
                      </w:divBdr>
                    </w:div>
                  </w:divsChild>
                </w:div>
                <w:div w:id="2124759316">
                  <w:marLeft w:val="0"/>
                  <w:marRight w:val="0"/>
                  <w:marTop w:val="0"/>
                  <w:marBottom w:val="0"/>
                  <w:divBdr>
                    <w:top w:val="none" w:sz="0" w:space="0" w:color="auto"/>
                    <w:left w:val="none" w:sz="0" w:space="0" w:color="auto"/>
                    <w:bottom w:val="none" w:sz="0" w:space="0" w:color="auto"/>
                    <w:right w:val="none" w:sz="0" w:space="0" w:color="auto"/>
                  </w:divBdr>
                  <w:divsChild>
                    <w:div w:id="1700276800">
                      <w:marLeft w:val="0"/>
                      <w:marRight w:val="0"/>
                      <w:marTop w:val="0"/>
                      <w:marBottom w:val="0"/>
                      <w:divBdr>
                        <w:top w:val="none" w:sz="0" w:space="0" w:color="auto"/>
                        <w:left w:val="none" w:sz="0" w:space="0" w:color="auto"/>
                        <w:bottom w:val="none" w:sz="0" w:space="0" w:color="auto"/>
                        <w:right w:val="none" w:sz="0" w:space="0" w:color="auto"/>
                      </w:divBdr>
                    </w:div>
                  </w:divsChild>
                </w:div>
                <w:div w:id="1836457104">
                  <w:marLeft w:val="0"/>
                  <w:marRight w:val="0"/>
                  <w:marTop w:val="0"/>
                  <w:marBottom w:val="0"/>
                  <w:divBdr>
                    <w:top w:val="none" w:sz="0" w:space="0" w:color="auto"/>
                    <w:left w:val="none" w:sz="0" w:space="0" w:color="auto"/>
                    <w:bottom w:val="none" w:sz="0" w:space="0" w:color="auto"/>
                    <w:right w:val="none" w:sz="0" w:space="0" w:color="auto"/>
                  </w:divBdr>
                  <w:divsChild>
                    <w:div w:id="985160930">
                      <w:marLeft w:val="0"/>
                      <w:marRight w:val="0"/>
                      <w:marTop w:val="0"/>
                      <w:marBottom w:val="0"/>
                      <w:divBdr>
                        <w:top w:val="none" w:sz="0" w:space="0" w:color="auto"/>
                        <w:left w:val="none" w:sz="0" w:space="0" w:color="auto"/>
                        <w:bottom w:val="none" w:sz="0" w:space="0" w:color="auto"/>
                        <w:right w:val="none" w:sz="0" w:space="0" w:color="auto"/>
                      </w:divBdr>
                    </w:div>
                  </w:divsChild>
                </w:div>
                <w:div w:id="1004012030">
                  <w:marLeft w:val="0"/>
                  <w:marRight w:val="0"/>
                  <w:marTop w:val="0"/>
                  <w:marBottom w:val="0"/>
                  <w:divBdr>
                    <w:top w:val="none" w:sz="0" w:space="0" w:color="auto"/>
                    <w:left w:val="none" w:sz="0" w:space="0" w:color="auto"/>
                    <w:bottom w:val="none" w:sz="0" w:space="0" w:color="auto"/>
                    <w:right w:val="none" w:sz="0" w:space="0" w:color="auto"/>
                  </w:divBdr>
                  <w:divsChild>
                    <w:div w:id="1421678842">
                      <w:marLeft w:val="0"/>
                      <w:marRight w:val="0"/>
                      <w:marTop w:val="0"/>
                      <w:marBottom w:val="0"/>
                      <w:divBdr>
                        <w:top w:val="none" w:sz="0" w:space="0" w:color="auto"/>
                        <w:left w:val="none" w:sz="0" w:space="0" w:color="auto"/>
                        <w:bottom w:val="none" w:sz="0" w:space="0" w:color="auto"/>
                        <w:right w:val="none" w:sz="0" w:space="0" w:color="auto"/>
                      </w:divBdr>
                    </w:div>
                  </w:divsChild>
                </w:div>
                <w:div w:id="954218724">
                  <w:marLeft w:val="0"/>
                  <w:marRight w:val="0"/>
                  <w:marTop w:val="0"/>
                  <w:marBottom w:val="0"/>
                  <w:divBdr>
                    <w:top w:val="none" w:sz="0" w:space="0" w:color="auto"/>
                    <w:left w:val="none" w:sz="0" w:space="0" w:color="auto"/>
                    <w:bottom w:val="none" w:sz="0" w:space="0" w:color="auto"/>
                    <w:right w:val="none" w:sz="0" w:space="0" w:color="auto"/>
                  </w:divBdr>
                  <w:divsChild>
                    <w:div w:id="2136485459">
                      <w:marLeft w:val="0"/>
                      <w:marRight w:val="0"/>
                      <w:marTop w:val="0"/>
                      <w:marBottom w:val="0"/>
                      <w:divBdr>
                        <w:top w:val="none" w:sz="0" w:space="0" w:color="auto"/>
                        <w:left w:val="none" w:sz="0" w:space="0" w:color="auto"/>
                        <w:bottom w:val="none" w:sz="0" w:space="0" w:color="auto"/>
                        <w:right w:val="none" w:sz="0" w:space="0" w:color="auto"/>
                      </w:divBdr>
                    </w:div>
                  </w:divsChild>
                </w:div>
                <w:div w:id="1151555507">
                  <w:marLeft w:val="0"/>
                  <w:marRight w:val="0"/>
                  <w:marTop w:val="0"/>
                  <w:marBottom w:val="0"/>
                  <w:divBdr>
                    <w:top w:val="none" w:sz="0" w:space="0" w:color="auto"/>
                    <w:left w:val="none" w:sz="0" w:space="0" w:color="auto"/>
                    <w:bottom w:val="none" w:sz="0" w:space="0" w:color="auto"/>
                    <w:right w:val="none" w:sz="0" w:space="0" w:color="auto"/>
                  </w:divBdr>
                  <w:divsChild>
                    <w:div w:id="710037621">
                      <w:marLeft w:val="0"/>
                      <w:marRight w:val="0"/>
                      <w:marTop w:val="0"/>
                      <w:marBottom w:val="0"/>
                      <w:divBdr>
                        <w:top w:val="none" w:sz="0" w:space="0" w:color="auto"/>
                        <w:left w:val="none" w:sz="0" w:space="0" w:color="auto"/>
                        <w:bottom w:val="none" w:sz="0" w:space="0" w:color="auto"/>
                        <w:right w:val="none" w:sz="0" w:space="0" w:color="auto"/>
                      </w:divBdr>
                    </w:div>
                  </w:divsChild>
                </w:div>
                <w:div w:id="983005139">
                  <w:marLeft w:val="0"/>
                  <w:marRight w:val="0"/>
                  <w:marTop w:val="0"/>
                  <w:marBottom w:val="0"/>
                  <w:divBdr>
                    <w:top w:val="none" w:sz="0" w:space="0" w:color="auto"/>
                    <w:left w:val="none" w:sz="0" w:space="0" w:color="auto"/>
                    <w:bottom w:val="none" w:sz="0" w:space="0" w:color="auto"/>
                    <w:right w:val="none" w:sz="0" w:space="0" w:color="auto"/>
                  </w:divBdr>
                  <w:divsChild>
                    <w:div w:id="378210573">
                      <w:marLeft w:val="0"/>
                      <w:marRight w:val="0"/>
                      <w:marTop w:val="0"/>
                      <w:marBottom w:val="0"/>
                      <w:divBdr>
                        <w:top w:val="none" w:sz="0" w:space="0" w:color="auto"/>
                        <w:left w:val="none" w:sz="0" w:space="0" w:color="auto"/>
                        <w:bottom w:val="none" w:sz="0" w:space="0" w:color="auto"/>
                        <w:right w:val="none" w:sz="0" w:space="0" w:color="auto"/>
                      </w:divBdr>
                    </w:div>
                  </w:divsChild>
                </w:div>
                <w:div w:id="1456679268">
                  <w:marLeft w:val="0"/>
                  <w:marRight w:val="0"/>
                  <w:marTop w:val="0"/>
                  <w:marBottom w:val="0"/>
                  <w:divBdr>
                    <w:top w:val="none" w:sz="0" w:space="0" w:color="auto"/>
                    <w:left w:val="none" w:sz="0" w:space="0" w:color="auto"/>
                    <w:bottom w:val="none" w:sz="0" w:space="0" w:color="auto"/>
                    <w:right w:val="none" w:sz="0" w:space="0" w:color="auto"/>
                  </w:divBdr>
                  <w:divsChild>
                    <w:div w:id="205532145">
                      <w:marLeft w:val="0"/>
                      <w:marRight w:val="0"/>
                      <w:marTop w:val="0"/>
                      <w:marBottom w:val="0"/>
                      <w:divBdr>
                        <w:top w:val="none" w:sz="0" w:space="0" w:color="auto"/>
                        <w:left w:val="none" w:sz="0" w:space="0" w:color="auto"/>
                        <w:bottom w:val="none" w:sz="0" w:space="0" w:color="auto"/>
                        <w:right w:val="none" w:sz="0" w:space="0" w:color="auto"/>
                      </w:divBdr>
                    </w:div>
                  </w:divsChild>
                </w:div>
                <w:div w:id="976378846">
                  <w:marLeft w:val="0"/>
                  <w:marRight w:val="0"/>
                  <w:marTop w:val="0"/>
                  <w:marBottom w:val="0"/>
                  <w:divBdr>
                    <w:top w:val="none" w:sz="0" w:space="0" w:color="auto"/>
                    <w:left w:val="none" w:sz="0" w:space="0" w:color="auto"/>
                    <w:bottom w:val="none" w:sz="0" w:space="0" w:color="auto"/>
                    <w:right w:val="none" w:sz="0" w:space="0" w:color="auto"/>
                  </w:divBdr>
                  <w:divsChild>
                    <w:div w:id="2070879265">
                      <w:marLeft w:val="0"/>
                      <w:marRight w:val="0"/>
                      <w:marTop w:val="0"/>
                      <w:marBottom w:val="0"/>
                      <w:divBdr>
                        <w:top w:val="none" w:sz="0" w:space="0" w:color="auto"/>
                        <w:left w:val="none" w:sz="0" w:space="0" w:color="auto"/>
                        <w:bottom w:val="none" w:sz="0" w:space="0" w:color="auto"/>
                        <w:right w:val="none" w:sz="0" w:space="0" w:color="auto"/>
                      </w:divBdr>
                    </w:div>
                  </w:divsChild>
                </w:div>
                <w:div w:id="54593191">
                  <w:marLeft w:val="0"/>
                  <w:marRight w:val="0"/>
                  <w:marTop w:val="0"/>
                  <w:marBottom w:val="0"/>
                  <w:divBdr>
                    <w:top w:val="none" w:sz="0" w:space="0" w:color="auto"/>
                    <w:left w:val="none" w:sz="0" w:space="0" w:color="auto"/>
                    <w:bottom w:val="none" w:sz="0" w:space="0" w:color="auto"/>
                    <w:right w:val="none" w:sz="0" w:space="0" w:color="auto"/>
                  </w:divBdr>
                  <w:divsChild>
                    <w:div w:id="18760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010371">
      <w:bodyDiv w:val="1"/>
      <w:marLeft w:val="0"/>
      <w:marRight w:val="0"/>
      <w:marTop w:val="0"/>
      <w:marBottom w:val="0"/>
      <w:divBdr>
        <w:top w:val="none" w:sz="0" w:space="0" w:color="auto"/>
        <w:left w:val="none" w:sz="0" w:space="0" w:color="auto"/>
        <w:bottom w:val="none" w:sz="0" w:space="0" w:color="auto"/>
        <w:right w:val="none" w:sz="0" w:space="0" w:color="auto"/>
      </w:divBdr>
    </w:div>
    <w:div w:id="795375110">
      <w:bodyDiv w:val="1"/>
      <w:marLeft w:val="0"/>
      <w:marRight w:val="0"/>
      <w:marTop w:val="0"/>
      <w:marBottom w:val="0"/>
      <w:divBdr>
        <w:top w:val="none" w:sz="0" w:space="0" w:color="auto"/>
        <w:left w:val="none" w:sz="0" w:space="0" w:color="auto"/>
        <w:bottom w:val="none" w:sz="0" w:space="0" w:color="auto"/>
        <w:right w:val="none" w:sz="0" w:space="0" w:color="auto"/>
      </w:divBdr>
      <w:divsChild>
        <w:div w:id="120541300">
          <w:marLeft w:val="0"/>
          <w:marRight w:val="0"/>
          <w:marTop w:val="0"/>
          <w:marBottom w:val="0"/>
          <w:divBdr>
            <w:top w:val="none" w:sz="0" w:space="0" w:color="auto"/>
            <w:left w:val="none" w:sz="0" w:space="0" w:color="auto"/>
            <w:bottom w:val="none" w:sz="0" w:space="0" w:color="auto"/>
            <w:right w:val="none" w:sz="0" w:space="0" w:color="auto"/>
          </w:divBdr>
        </w:div>
        <w:div w:id="448821745">
          <w:marLeft w:val="0"/>
          <w:marRight w:val="0"/>
          <w:marTop w:val="0"/>
          <w:marBottom w:val="0"/>
          <w:divBdr>
            <w:top w:val="none" w:sz="0" w:space="0" w:color="auto"/>
            <w:left w:val="none" w:sz="0" w:space="0" w:color="auto"/>
            <w:bottom w:val="none" w:sz="0" w:space="0" w:color="auto"/>
            <w:right w:val="none" w:sz="0" w:space="0" w:color="auto"/>
          </w:divBdr>
        </w:div>
      </w:divsChild>
    </w:div>
    <w:div w:id="1137531494">
      <w:bodyDiv w:val="1"/>
      <w:marLeft w:val="0"/>
      <w:marRight w:val="0"/>
      <w:marTop w:val="0"/>
      <w:marBottom w:val="0"/>
      <w:divBdr>
        <w:top w:val="none" w:sz="0" w:space="0" w:color="auto"/>
        <w:left w:val="none" w:sz="0" w:space="0" w:color="auto"/>
        <w:bottom w:val="none" w:sz="0" w:space="0" w:color="auto"/>
        <w:right w:val="none" w:sz="0" w:space="0" w:color="auto"/>
      </w:divBdr>
    </w:div>
    <w:div w:id="1159809515">
      <w:bodyDiv w:val="1"/>
      <w:marLeft w:val="0"/>
      <w:marRight w:val="0"/>
      <w:marTop w:val="0"/>
      <w:marBottom w:val="0"/>
      <w:divBdr>
        <w:top w:val="none" w:sz="0" w:space="0" w:color="auto"/>
        <w:left w:val="none" w:sz="0" w:space="0" w:color="auto"/>
        <w:bottom w:val="none" w:sz="0" w:space="0" w:color="auto"/>
        <w:right w:val="none" w:sz="0" w:space="0" w:color="auto"/>
      </w:divBdr>
    </w:div>
    <w:div w:id="1198664404">
      <w:bodyDiv w:val="1"/>
      <w:marLeft w:val="0"/>
      <w:marRight w:val="0"/>
      <w:marTop w:val="0"/>
      <w:marBottom w:val="0"/>
      <w:divBdr>
        <w:top w:val="none" w:sz="0" w:space="0" w:color="auto"/>
        <w:left w:val="none" w:sz="0" w:space="0" w:color="auto"/>
        <w:bottom w:val="none" w:sz="0" w:space="0" w:color="auto"/>
        <w:right w:val="none" w:sz="0" w:space="0" w:color="auto"/>
      </w:divBdr>
    </w:div>
    <w:div w:id="1227640791">
      <w:bodyDiv w:val="1"/>
      <w:marLeft w:val="0"/>
      <w:marRight w:val="0"/>
      <w:marTop w:val="0"/>
      <w:marBottom w:val="0"/>
      <w:divBdr>
        <w:top w:val="none" w:sz="0" w:space="0" w:color="auto"/>
        <w:left w:val="none" w:sz="0" w:space="0" w:color="auto"/>
        <w:bottom w:val="none" w:sz="0" w:space="0" w:color="auto"/>
        <w:right w:val="none" w:sz="0" w:space="0" w:color="auto"/>
      </w:divBdr>
    </w:div>
    <w:div w:id="1262840699">
      <w:bodyDiv w:val="1"/>
      <w:marLeft w:val="0"/>
      <w:marRight w:val="0"/>
      <w:marTop w:val="0"/>
      <w:marBottom w:val="0"/>
      <w:divBdr>
        <w:top w:val="none" w:sz="0" w:space="0" w:color="auto"/>
        <w:left w:val="none" w:sz="0" w:space="0" w:color="auto"/>
        <w:bottom w:val="none" w:sz="0" w:space="0" w:color="auto"/>
        <w:right w:val="none" w:sz="0" w:space="0" w:color="auto"/>
      </w:divBdr>
    </w:div>
    <w:div w:id="1381318491">
      <w:bodyDiv w:val="1"/>
      <w:marLeft w:val="0"/>
      <w:marRight w:val="0"/>
      <w:marTop w:val="0"/>
      <w:marBottom w:val="0"/>
      <w:divBdr>
        <w:top w:val="none" w:sz="0" w:space="0" w:color="auto"/>
        <w:left w:val="none" w:sz="0" w:space="0" w:color="auto"/>
        <w:bottom w:val="none" w:sz="0" w:space="0" w:color="auto"/>
        <w:right w:val="none" w:sz="0" w:space="0" w:color="auto"/>
      </w:divBdr>
      <w:divsChild>
        <w:div w:id="1121076591">
          <w:marLeft w:val="0"/>
          <w:marRight w:val="0"/>
          <w:marTop w:val="0"/>
          <w:marBottom w:val="0"/>
          <w:divBdr>
            <w:top w:val="none" w:sz="0" w:space="0" w:color="auto"/>
            <w:left w:val="none" w:sz="0" w:space="0" w:color="auto"/>
            <w:bottom w:val="none" w:sz="0" w:space="0" w:color="auto"/>
            <w:right w:val="none" w:sz="0" w:space="0" w:color="auto"/>
          </w:divBdr>
        </w:div>
      </w:divsChild>
    </w:div>
    <w:div w:id="1714311174">
      <w:bodyDiv w:val="1"/>
      <w:marLeft w:val="0"/>
      <w:marRight w:val="0"/>
      <w:marTop w:val="0"/>
      <w:marBottom w:val="0"/>
      <w:divBdr>
        <w:top w:val="none" w:sz="0" w:space="0" w:color="auto"/>
        <w:left w:val="none" w:sz="0" w:space="0" w:color="auto"/>
        <w:bottom w:val="none" w:sz="0" w:space="0" w:color="auto"/>
        <w:right w:val="none" w:sz="0" w:space="0" w:color="auto"/>
      </w:divBdr>
      <w:divsChild>
        <w:div w:id="953751890">
          <w:marLeft w:val="0"/>
          <w:marRight w:val="0"/>
          <w:marTop w:val="0"/>
          <w:marBottom w:val="0"/>
          <w:divBdr>
            <w:top w:val="none" w:sz="0" w:space="0" w:color="auto"/>
            <w:left w:val="none" w:sz="0" w:space="0" w:color="auto"/>
            <w:bottom w:val="none" w:sz="0" w:space="0" w:color="auto"/>
            <w:right w:val="none" w:sz="0" w:space="0" w:color="auto"/>
          </w:divBdr>
        </w:div>
      </w:divsChild>
    </w:div>
    <w:div w:id="1738092395">
      <w:bodyDiv w:val="1"/>
      <w:marLeft w:val="0"/>
      <w:marRight w:val="0"/>
      <w:marTop w:val="0"/>
      <w:marBottom w:val="0"/>
      <w:divBdr>
        <w:top w:val="none" w:sz="0" w:space="0" w:color="auto"/>
        <w:left w:val="none" w:sz="0" w:space="0" w:color="auto"/>
        <w:bottom w:val="none" w:sz="0" w:space="0" w:color="auto"/>
        <w:right w:val="none" w:sz="0" w:space="0" w:color="auto"/>
      </w:divBdr>
    </w:div>
    <w:div w:id="1797141297">
      <w:bodyDiv w:val="1"/>
      <w:marLeft w:val="0"/>
      <w:marRight w:val="0"/>
      <w:marTop w:val="0"/>
      <w:marBottom w:val="0"/>
      <w:divBdr>
        <w:top w:val="none" w:sz="0" w:space="0" w:color="auto"/>
        <w:left w:val="none" w:sz="0" w:space="0" w:color="auto"/>
        <w:bottom w:val="none" w:sz="0" w:space="0" w:color="auto"/>
        <w:right w:val="none" w:sz="0" w:space="0" w:color="auto"/>
      </w:divBdr>
      <w:divsChild>
        <w:div w:id="478687925">
          <w:marLeft w:val="446"/>
          <w:marRight w:val="0"/>
          <w:marTop w:val="0"/>
          <w:marBottom w:val="0"/>
          <w:divBdr>
            <w:top w:val="none" w:sz="0" w:space="0" w:color="auto"/>
            <w:left w:val="none" w:sz="0" w:space="0" w:color="auto"/>
            <w:bottom w:val="none" w:sz="0" w:space="0" w:color="auto"/>
            <w:right w:val="none" w:sz="0" w:space="0" w:color="auto"/>
          </w:divBdr>
        </w:div>
        <w:div w:id="977229108">
          <w:marLeft w:val="1166"/>
          <w:marRight w:val="0"/>
          <w:marTop w:val="0"/>
          <w:marBottom w:val="0"/>
          <w:divBdr>
            <w:top w:val="none" w:sz="0" w:space="0" w:color="auto"/>
            <w:left w:val="none" w:sz="0" w:space="0" w:color="auto"/>
            <w:bottom w:val="none" w:sz="0" w:space="0" w:color="auto"/>
            <w:right w:val="none" w:sz="0" w:space="0" w:color="auto"/>
          </w:divBdr>
        </w:div>
        <w:div w:id="1389499706">
          <w:marLeft w:val="1166"/>
          <w:marRight w:val="0"/>
          <w:marTop w:val="0"/>
          <w:marBottom w:val="0"/>
          <w:divBdr>
            <w:top w:val="none" w:sz="0" w:space="0" w:color="auto"/>
            <w:left w:val="none" w:sz="0" w:space="0" w:color="auto"/>
            <w:bottom w:val="none" w:sz="0" w:space="0" w:color="auto"/>
            <w:right w:val="none" w:sz="0" w:space="0" w:color="auto"/>
          </w:divBdr>
        </w:div>
        <w:div w:id="28141962">
          <w:marLeft w:val="1166"/>
          <w:marRight w:val="0"/>
          <w:marTop w:val="0"/>
          <w:marBottom w:val="0"/>
          <w:divBdr>
            <w:top w:val="none" w:sz="0" w:space="0" w:color="auto"/>
            <w:left w:val="none" w:sz="0" w:space="0" w:color="auto"/>
            <w:bottom w:val="none" w:sz="0" w:space="0" w:color="auto"/>
            <w:right w:val="none" w:sz="0" w:space="0" w:color="auto"/>
          </w:divBdr>
        </w:div>
      </w:divsChild>
    </w:div>
    <w:div w:id="1802845927">
      <w:bodyDiv w:val="1"/>
      <w:marLeft w:val="0"/>
      <w:marRight w:val="0"/>
      <w:marTop w:val="0"/>
      <w:marBottom w:val="0"/>
      <w:divBdr>
        <w:top w:val="none" w:sz="0" w:space="0" w:color="auto"/>
        <w:left w:val="none" w:sz="0" w:space="0" w:color="auto"/>
        <w:bottom w:val="none" w:sz="0" w:space="0" w:color="auto"/>
        <w:right w:val="none" w:sz="0" w:space="0" w:color="auto"/>
      </w:divBdr>
    </w:div>
    <w:div w:id="1842045905">
      <w:bodyDiv w:val="1"/>
      <w:marLeft w:val="0"/>
      <w:marRight w:val="0"/>
      <w:marTop w:val="0"/>
      <w:marBottom w:val="0"/>
      <w:divBdr>
        <w:top w:val="none" w:sz="0" w:space="0" w:color="auto"/>
        <w:left w:val="none" w:sz="0" w:space="0" w:color="auto"/>
        <w:bottom w:val="none" w:sz="0" w:space="0" w:color="auto"/>
        <w:right w:val="none" w:sz="0" w:space="0" w:color="auto"/>
      </w:divBdr>
    </w:div>
    <w:div w:id="1917401706">
      <w:bodyDiv w:val="1"/>
      <w:marLeft w:val="0"/>
      <w:marRight w:val="0"/>
      <w:marTop w:val="0"/>
      <w:marBottom w:val="0"/>
      <w:divBdr>
        <w:top w:val="none" w:sz="0" w:space="0" w:color="auto"/>
        <w:left w:val="none" w:sz="0" w:space="0" w:color="auto"/>
        <w:bottom w:val="none" w:sz="0" w:space="0" w:color="auto"/>
        <w:right w:val="none" w:sz="0" w:space="0" w:color="auto"/>
      </w:divBdr>
      <w:divsChild>
        <w:div w:id="989944969">
          <w:marLeft w:val="1253"/>
          <w:marRight w:val="0"/>
          <w:marTop w:val="0"/>
          <w:marBottom w:val="0"/>
          <w:divBdr>
            <w:top w:val="none" w:sz="0" w:space="0" w:color="auto"/>
            <w:left w:val="none" w:sz="0" w:space="0" w:color="auto"/>
            <w:bottom w:val="none" w:sz="0" w:space="0" w:color="auto"/>
            <w:right w:val="none" w:sz="0" w:space="0" w:color="auto"/>
          </w:divBdr>
        </w:div>
        <w:div w:id="484049587">
          <w:marLeft w:val="1253"/>
          <w:marRight w:val="0"/>
          <w:marTop w:val="0"/>
          <w:marBottom w:val="0"/>
          <w:divBdr>
            <w:top w:val="none" w:sz="0" w:space="0" w:color="auto"/>
            <w:left w:val="none" w:sz="0" w:space="0" w:color="auto"/>
            <w:bottom w:val="none" w:sz="0" w:space="0" w:color="auto"/>
            <w:right w:val="none" w:sz="0" w:space="0" w:color="auto"/>
          </w:divBdr>
        </w:div>
        <w:div w:id="1646743051">
          <w:marLeft w:val="1253"/>
          <w:marRight w:val="0"/>
          <w:marTop w:val="0"/>
          <w:marBottom w:val="0"/>
          <w:divBdr>
            <w:top w:val="none" w:sz="0" w:space="0" w:color="auto"/>
            <w:left w:val="none" w:sz="0" w:space="0" w:color="auto"/>
            <w:bottom w:val="none" w:sz="0" w:space="0" w:color="auto"/>
            <w:right w:val="none" w:sz="0" w:space="0" w:color="auto"/>
          </w:divBdr>
        </w:div>
        <w:div w:id="87435702">
          <w:marLeft w:val="1253"/>
          <w:marRight w:val="0"/>
          <w:marTop w:val="0"/>
          <w:marBottom w:val="0"/>
          <w:divBdr>
            <w:top w:val="none" w:sz="0" w:space="0" w:color="auto"/>
            <w:left w:val="none" w:sz="0" w:space="0" w:color="auto"/>
            <w:bottom w:val="none" w:sz="0" w:space="0" w:color="auto"/>
            <w:right w:val="none" w:sz="0" w:space="0" w:color="auto"/>
          </w:divBdr>
        </w:div>
        <w:div w:id="1513687344">
          <w:marLeft w:val="1253"/>
          <w:marRight w:val="0"/>
          <w:marTop w:val="0"/>
          <w:marBottom w:val="0"/>
          <w:divBdr>
            <w:top w:val="none" w:sz="0" w:space="0" w:color="auto"/>
            <w:left w:val="none" w:sz="0" w:space="0" w:color="auto"/>
            <w:bottom w:val="none" w:sz="0" w:space="0" w:color="auto"/>
            <w:right w:val="none" w:sz="0" w:space="0" w:color="auto"/>
          </w:divBdr>
        </w:div>
        <w:div w:id="1187716441">
          <w:marLeft w:val="1253"/>
          <w:marRight w:val="0"/>
          <w:marTop w:val="0"/>
          <w:marBottom w:val="0"/>
          <w:divBdr>
            <w:top w:val="none" w:sz="0" w:space="0" w:color="auto"/>
            <w:left w:val="none" w:sz="0" w:space="0" w:color="auto"/>
            <w:bottom w:val="none" w:sz="0" w:space="0" w:color="auto"/>
            <w:right w:val="none" w:sz="0" w:space="0" w:color="auto"/>
          </w:divBdr>
        </w:div>
      </w:divsChild>
    </w:div>
    <w:div w:id="1980720000">
      <w:bodyDiv w:val="1"/>
      <w:marLeft w:val="0"/>
      <w:marRight w:val="0"/>
      <w:marTop w:val="0"/>
      <w:marBottom w:val="0"/>
      <w:divBdr>
        <w:top w:val="none" w:sz="0" w:space="0" w:color="auto"/>
        <w:left w:val="none" w:sz="0" w:space="0" w:color="auto"/>
        <w:bottom w:val="none" w:sz="0" w:space="0" w:color="auto"/>
        <w:right w:val="none" w:sz="0" w:space="0" w:color="auto"/>
      </w:divBdr>
    </w:div>
    <w:div w:id="2059357341">
      <w:bodyDiv w:val="1"/>
      <w:marLeft w:val="0"/>
      <w:marRight w:val="0"/>
      <w:marTop w:val="0"/>
      <w:marBottom w:val="0"/>
      <w:divBdr>
        <w:top w:val="none" w:sz="0" w:space="0" w:color="auto"/>
        <w:left w:val="none" w:sz="0" w:space="0" w:color="auto"/>
        <w:bottom w:val="none" w:sz="0" w:space="0" w:color="auto"/>
        <w:right w:val="none" w:sz="0" w:space="0" w:color="auto"/>
      </w:divBdr>
    </w:div>
    <w:div w:id="2096435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gage.dss.gov.au/wp-content/uploads/2018/07/PROOF-7-8876-Supported-Employment-Policy-Report-FINAL.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ngage.dss.gov.au/wp-content/uploads/2018/03/AFDO-Future-of-Supported-Employment-Paper-2018-03-FINAL.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wd.org.au/wp-content/uploads/2022/04/ADE-research-brief-April-2022.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3528120\Desktop\CSI%20Template_20191018.dotx" TargetMode="External"/></Relationships>
</file>

<file path=word/theme/theme1.xml><?xml version="1.0" encoding="utf-8"?>
<a:theme xmlns:a="http://schemas.openxmlformats.org/drawingml/2006/main" name="Office Theme">
  <a:themeElements>
    <a:clrScheme name="CSI v2">
      <a:dk1>
        <a:srgbClr val="414042"/>
      </a:dk1>
      <a:lt1>
        <a:srgbClr val="FFFFFF"/>
      </a:lt1>
      <a:dk2>
        <a:srgbClr val="FCF277"/>
      </a:dk2>
      <a:lt2>
        <a:srgbClr val="EF4050"/>
      </a:lt2>
      <a:accent1>
        <a:srgbClr val="FF6A40"/>
      </a:accent1>
      <a:accent2>
        <a:srgbClr val="F13CA7"/>
      </a:accent2>
      <a:accent3>
        <a:srgbClr val="79427C"/>
      </a:accent3>
      <a:accent4>
        <a:srgbClr val="25408F"/>
      </a:accent4>
      <a:accent5>
        <a:srgbClr val="80D5BC"/>
      </a:accent5>
      <a:accent6>
        <a:srgbClr val="62AC57"/>
      </a:accent6>
      <a:hlink>
        <a:srgbClr val="25408F"/>
      </a:hlink>
      <a:folHlink>
        <a:srgbClr val="7943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328441457815B4784C7AF49121AF3B0" ma:contentTypeVersion="16" ma:contentTypeDescription="Create a new document." ma:contentTypeScope="" ma:versionID="02761437564e089f9c5fa73171279390">
  <xsd:schema xmlns:xsd="http://www.w3.org/2001/XMLSchema" xmlns:xs="http://www.w3.org/2001/XMLSchema" xmlns:p="http://schemas.microsoft.com/office/2006/metadata/properties" xmlns:ns2="6696bc79-a29a-4e88-8d1d-e07845a5273f" xmlns:ns3="42bb5c4d-0532-4743-8157-8065115a43dd" targetNamespace="http://schemas.microsoft.com/office/2006/metadata/properties" ma:root="true" ma:fieldsID="7e57462d58a3593b3b8aa4be41015e37" ns2:_="" ns3:_="">
    <xsd:import namespace="6696bc79-a29a-4e88-8d1d-e07845a5273f"/>
    <xsd:import namespace="42bb5c4d-0532-4743-8157-8065115a43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96bc79-a29a-4e88-8d1d-e07845a52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4b2f4e7-b333-4133-9696-cdcd9b8dc49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bb5c4d-0532-4743-8157-8065115a43d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6b30017-1b1a-4ae7-a3db-d6b88d75b373}" ma:internalName="TaxCatchAll" ma:showField="CatchAllData" ma:web="42bb5c4d-0532-4743-8157-8065115a43d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696bc79-a29a-4e88-8d1d-e07845a5273f">
      <Terms xmlns="http://schemas.microsoft.com/office/infopath/2007/PartnerControls"/>
    </lcf76f155ced4ddcb4097134ff3c332f>
    <TaxCatchAll xmlns="42bb5c4d-0532-4743-8157-8065115a43d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9FBB16-3FA9-4927-AC6D-30FE551FD0DC}">
  <ds:schemaRefs>
    <ds:schemaRef ds:uri="http://schemas.openxmlformats.org/officeDocument/2006/bibliography"/>
  </ds:schemaRefs>
</ds:datastoreItem>
</file>

<file path=customXml/itemProps2.xml><?xml version="1.0" encoding="utf-8"?>
<ds:datastoreItem xmlns:ds="http://schemas.openxmlformats.org/officeDocument/2006/customXml" ds:itemID="{2F72A0C2-B415-4FA7-A11B-5237C10C2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96bc79-a29a-4e88-8d1d-e07845a5273f"/>
    <ds:schemaRef ds:uri="42bb5c4d-0532-4743-8157-8065115a43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8A7374-4BCF-46FB-9FFD-3E58D904C0DF}">
  <ds:schemaRefs>
    <ds:schemaRef ds:uri="http://schemas.microsoft.com/office/2006/metadata/properties"/>
    <ds:schemaRef ds:uri="http://schemas.microsoft.com/office/infopath/2007/PartnerControls"/>
    <ds:schemaRef ds:uri="6696bc79-a29a-4e88-8d1d-e07845a5273f"/>
    <ds:schemaRef ds:uri="42bb5c4d-0532-4743-8157-8065115a43dd"/>
  </ds:schemaRefs>
</ds:datastoreItem>
</file>

<file path=customXml/itemProps4.xml><?xml version="1.0" encoding="utf-8"?>
<ds:datastoreItem xmlns:ds="http://schemas.openxmlformats.org/officeDocument/2006/customXml" ds:itemID="{F7E4BA00-0C0D-4BCE-8436-87CA5CAAFE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CSI Template_20191018.dotx</Template>
  <TotalTime>2</TotalTime>
  <Pages>6</Pages>
  <Words>2061</Words>
  <Characters>11754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13788</CharactersWithSpaces>
  <SharedDoc>false</SharedDoc>
  <HLinks>
    <vt:vector size="102" baseType="variant">
      <vt:variant>
        <vt:i4>3014701</vt:i4>
      </vt:variant>
      <vt:variant>
        <vt:i4>87</vt:i4>
      </vt:variant>
      <vt:variant>
        <vt:i4>0</vt:i4>
      </vt:variant>
      <vt:variant>
        <vt:i4>5</vt:i4>
      </vt:variant>
      <vt:variant>
        <vt:lpwstr>http://australiancharities.acnc.gov.au/wp-content/uploads/2018/05/ACNC-change-over-time-FINAL-20180509.pdf</vt:lpwstr>
      </vt:variant>
      <vt:variant>
        <vt:lpwstr/>
      </vt:variant>
      <vt:variant>
        <vt:i4>8257644</vt:i4>
      </vt:variant>
      <vt:variant>
        <vt:i4>84</vt:i4>
      </vt:variant>
      <vt:variant>
        <vt:i4>0</vt:i4>
      </vt:variant>
      <vt:variant>
        <vt:i4>5</vt:i4>
      </vt:variant>
      <vt:variant>
        <vt:lpwstr>https://www.sprc.unsw.edu.au/media/SPRCFile/2012_10_HASI_final_6_Sept_2012.pdf</vt:lpwstr>
      </vt:variant>
      <vt:variant>
        <vt:lpwstr/>
      </vt:variant>
      <vt:variant>
        <vt:i4>3473446</vt:i4>
      </vt:variant>
      <vt:variant>
        <vt:i4>81</vt:i4>
      </vt:variant>
      <vt:variant>
        <vt:i4>0</vt:i4>
      </vt:variant>
      <vt:variant>
        <vt:i4>5</vt:i4>
      </vt:variant>
      <vt:variant>
        <vt:lpwstr>http://www.csi.edu.au/media/uploads/CSI_The_Compass.pdf</vt:lpwstr>
      </vt:variant>
      <vt:variant>
        <vt:lpwstr/>
      </vt:variant>
      <vt:variant>
        <vt:i4>2883587</vt:i4>
      </vt:variant>
      <vt:variant>
        <vt:i4>74</vt:i4>
      </vt:variant>
      <vt:variant>
        <vt:i4>0</vt:i4>
      </vt:variant>
      <vt:variant>
        <vt:i4>5</vt:i4>
      </vt:variant>
      <vt:variant>
        <vt:lpwstr/>
      </vt:variant>
      <vt:variant>
        <vt:lpwstr>_Toc6408576</vt:lpwstr>
      </vt:variant>
      <vt:variant>
        <vt:i4>2883587</vt:i4>
      </vt:variant>
      <vt:variant>
        <vt:i4>68</vt:i4>
      </vt:variant>
      <vt:variant>
        <vt:i4>0</vt:i4>
      </vt:variant>
      <vt:variant>
        <vt:i4>5</vt:i4>
      </vt:variant>
      <vt:variant>
        <vt:lpwstr/>
      </vt:variant>
      <vt:variant>
        <vt:lpwstr>_Toc6408574</vt:lpwstr>
      </vt:variant>
      <vt:variant>
        <vt:i4>2949123</vt:i4>
      </vt:variant>
      <vt:variant>
        <vt:i4>62</vt:i4>
      </vt:variant>
      <vt:variant>
        <vt:i4>0</vt:i4>
      </vt:variant>
      <vt:variant>
        <vt:i4>5</vt:i4>
      </vt:variant>
      <vt:variant>
        <vt:lpwstr/>
      </vt:variant>
      <vt:variant>
        <vt:lpwstr>_Toc6408567</vt:lpwstr>
      </vt:variant>
      <vt:variant>
        <vt:i4>2949123</vt:i4>
      </vt:variant>
      <vt:variant>
        <vt:i4>56</vt:i4>
      </vt:variant>
      <vt:variant>
        <vt:i4>0</vt:i4>
      </vt:variant>
      <vt:variant>
        <vt:i4>5</vt:i4>
      </vt:variant>
      <vt:variant>
        <vt:lpwstr/>
      </vt:variant>
      <vt:variant>
        <vt:lpwstr>_Toc6408566</vt:lpwstr>
      </vt:variant>
      <vt:variant>
        <vt:i4>2949123</vt:i4>
      </vt:variant>
      <vt:variant>
        <vt:i4>50</vt:i4>
      </vt:variant>
      <vt:variant>
        <vt:i4>0</vt:i4>
      </vt:variant>
      <vt:variant>
        <vt:i4>5</vt:i4>
      </vt:variant>
      <vt:variant>
        <vt:lpwstr/>
      </vt:variant>
      <vt:variant>
        <vt:lpwstr>_Toc6408565</vt:lpwstr>
      </vt:variant>
      <vt:variant>
        <vt:i4>2949123</vt:i4>
      </vt:variant>
      <vt:variant>
        <vt:i4>44</vt:i4>
      </vt:variant>
      <vt:variant>
        <vt:i4>0</vt:i4>
      </vt:variant>
      <vt:variant>
        <vt:i4>5</vt:i4>
      </vt:variant>
      <vt:variant>
        <vt:lpwstr/>
      </vt:variant>
      <vt:variant>
        <vt:lpwstr>_Toc6408564</vt:lpwstr>
      </vt:variant>
      <vt:variant>
        <vt:i4>2949123</vt:i4>
      </vt:variant>
      <vt:variant>
        <vt:i4>38</vt:i4>
      </vt:variant>
      <vt:variant>
        <vt:i4>0</vt:i4>
      </vt:variant>
      <vt:variant>
        <vt:i4>5</vt:i4>
      </vt:variant>
      <vt:variant>
        <vt:lpwstr/>
      </vt:variant>
      <vt:variant>
        <vt:lpwstr>_Toc6408563</vt:lpwstr>
      </vt:variant>
      <vt:variant>
        <vt:i4>2949123</vt:i4>
      </vt:variant>
      <vt:variant>
        <vt:i4>32</vt:i4>
      </vt:variant>
      <vt:variant>
        <vt:i4>0</vt:i4>
      </vt:variant>
      <vt:variant>
        <vt:i4>5</vt:i4>
      </vt:variant>
      <vt:variant>
        <vt:lpwstr/>
      </vt:variant>
      <vt:variant>
        <vt:lpwstr>_Toc6408562</vt:lpwstr>
      </vt:variant>
      <vt:variant>
        <vt:i4>2949123</vt:i4>
      </vt:variant>
      <vt:variant>
        <vt:i4>26</vt:i4>
      </vt:variant>
      <vt:variant>
        <vt:i4>0</vt:i4>
      </vt:variant>
      <vt:variant>
        <vt:i4>5</vt:i4>
      </vt:variant>
      <vt:variant>
        <vt:lpwstr/>
      </vt:variant>
      <vt:variant>
        <vt:lpwstr>_Toc6408561</vt:lpwstr>
      </vt:variant>
      <vt:variant>
        <vt:i4>2949123</vt:i4>
      </vt:variant>
      <vt:variant>
        <vt:i4>20</vt:i4>
      </vt:variant>
      <vt:variant>
        <vt:i4>0</vt:i4>
      </vt:variant>
      <vt:variant>
        <vt:i4>5</vt:i4>
      </vt:variant>
      <vt:variant>
        <vt:lpwstr/>
      </vt:variant>
      <vt:variant>
        <vt:lpwstr>_Toc6408560</vt:lpwstr>
      </vt:variant>
      <vt:variant>
        <vt:i4>3014659</vt:i4>
      </vt:variant>
      <vt:variant>
        <vt:i4>14</vt:i4>
      </vt:variant>
      <vt:variant>
        <vt:i4>0</vt:i4>
      </vt:variant>
      <vt:variant>
        <vt:i4>5</vt:i4>
      </vt:variant>
      <vt:variant>
        <vt:lpwstr/>
      </vt:variant>
      <vt:variant>
        <vt:lpwstr>_Toc6408559</vt:lpwstr>
      </vt:variant>
      <vt:variant>
        <vt:i4>3014659</vt:i4>
      </vt:variant>
      <vt:variant>
        <vt:i4>8</vt:i4>
      </vt:variant>
      <vt:variant>
        <vt:i4>0</vt:i4>
      </vt:variant>
      <vt:variant>
        <vt:i4>5</vt:i4>
      </vt:variant>
      <vt:variant>
        <vt:lpwstr/>
      </vt:variant>
      <vt:variant>
        <vt:lpwstr>_Toc6408558</vt:lpwstr>
      </vt:variant>
      <vt:variant>
        <vt:i4>5832801</vt:i4>
      </vt:variant>
      <vt:variant>
        <vt:i4>3</vt:i4>
      </vt:variant>
      <vt:variant>
        <vt:i4>0</vt:i4>
      </vt:variant>
      <vt:variant>
        <vt:i4>5</vt:i4>
      </vt:variant>
      <vt:variant>
        <vt:lpwstr>mailto:e.ahearn@unsw.edu.au</vt:lpwstr>
      </vt:variant>
      <vt:variant>
        <vt:lpwstr/>
      </vt:variant>
      <vt:variant>
        <vt:i4>2424833</vt:i4>
      </vt:variant>
      <vt:variant>
        <vt:i4>0</vt:i4>
      </vt:variant>
      <vt:variant>
        <vt:i4>0</vt:i4>
      </vt:variant>
      <vt:variant>
        <vt:i4>5</vt:i4>
      </vt:variant>
      <vt:variant>
        <vt:lpwstr>mailto:k.muir@unsw.edu.au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Buena</dc:creator>
  <cp:lastModifiedBy>Erin Wilson</cp:lastModifiedBy>
  <cp:revision>3</cp:revision>
  <cp:lastPrinted>2022-11-20T02:40:00Z</cp:lastPrinted>
  <dcterms:created xsi:type="dcterms:W3CDTF">2023-03-01T22:40:00Z</dcterms:created>
  <dcterms:modified xsi:type="dcterms:W3CDTF">2023-03-20T02:19:00Z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2019-01-18T00:00:00Z</vt:filetime>
  </property>
  <property fmtid="{D5CDD505-2E9C-101B-9397-08002B2CF9AE}" pid="3" name="Creator">
    <vt:lpwstr>Adobe InDesign CC 14.0 (Macintosh)</vt:lpwstr>
  </property>
  <property fmtid="{D5CDD505-2E9C-101B-9397-08002B2CF9AE}" pid="4" name="LastSaved">
    <vt:filetime>2019-01-17T00:00:00Z</vt:filetime>
  </property>
  <property fmtid="{D5CDD505-2E9C-101B-9397-08002B2CF9AE}" pid="5" name="ContentTypeId">
    <vt:lpwstr>0x0101000328441457815B4784C7AF49121AF3B0</vt:lpwstr>
  </property>
  <property fmtid="{D5CDD505-2E9C-101B-9397-08002B2CF9AE}" pid="6" name="AuthorIds_UIVersion_5632">
    <vt:lpwstr>601</vt:lpwstr>
  </property>
  <property fmtid="{D5CDD505-2E9C-101B-9397-08002B2CF9AE}" pid="7" name="_dlc_DocIdItemGuid">
    <vt:lpwstr>9c5f1bb1-4ac3-4e43-9c39-5edd10f79b7e</vt:lpwstr>
  </property>
</Properties>
</file>