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E74E5" w14:textId="77777777" w:rsidR="003A5C4A" w:rsidRPr="00FB5E9B" w:rsidRDefault="003A5C4A" w:rsidP="00FB5E9B">
      <w:pPr>
        <w:pStyle w:val="Heading1"/>
        <w:pBdr>
          <w:bottom w:val="single" w:sz="4" w:space="1" w:color="auto"/>
        </w:pBdr>
        <w:spacing w:after="60"/>
        <w:rPr>
          <w:sz w:val="40"/>
          <w:szCs w:val="40"/>
        </w:rPr>
      </w:pPr>
      <w:r w:rsidRPr="00FB5E9B">
        <w:rPr>
          <w:sz w:val="40"/>
          <w:szCs w:val="40"/>
        </w:rPr>
        <w:t>Explaining the evidence for reform series</w:t>
      </w:r>
    </w:p>
    <w:p w14:paraId="63675134" w14:textId="722CBB5D" w:rsidR="003A5C4A" w:rsidRPr="009C676E" w:rsidRDefault="003A5C4A" w:rsidP="00734041">
      <w:pPr>
        <w:pStyle w:val="Heading2"/>
      </w:pPr>
      <w:r w:rsidRPr="009C676E">
        <w:t xml:space="preserve">Paper 1: Understanding the employment ecosystem for people with </w:t>
      </w:r>
      <w:r w:rsidR="008F5333" w:rsidRPr="009C676E">
        <w:t xml:space="preserve">intellectual </w:t>
      </w:r>
      <w:r w:rsidRPr="009C676E">
        <w:t>disability</w:t>
      </w:r>
    </w:p>
    <w:p w14:paraId="1F7DBA1A" w14:textId="77777777" w:rsidR="00FB5E9B" w:rsidRPr="00FB5E9B" w:rsidRDefault="00FB5E9B" w:rsidP="00FB5E9B"/>
    <w:p w14:paraId="53F57D69" w14:textId="3DFA5710" w:rsidR="00FB5E9B" w:rsidRPr="00BC2B7A" w:rsidRDefault="00FB5E9B" w:rsidP="00FB5E9B">
      <w:pPr>
        <w:pStyle w:val="Subtitle"/>
        <w:rPr>
          <w:rFonts w:ascii="Arial Nova Cond Light" w:hAnsi="Arial Nova Cond Light"/>
        </w:rPr>
      </w:pPr>
      <w:r w:rsidRPr="00FB5E9B">
        <w:rPr>
          <w:rFonts w:ascii="Arial Nova Cond Light" w:hAnsi="Arial Nova Cond Light"/>
        </w:rPr>
        <w:t>Wilson, E.</w:t>
      </w:r>
      <w:r w:rsidR="005E6EA1">
        <w:rPr>
          <w:rFonts w:ascii="Arial Nova Cond Light" w:hAnsi="Arial Nova Cond Light"/>
        </w:rPr>
        <w:t>,</w:t>
      </w:r>
      <w:r w:rsidRPr="00FB5E9B">
        <w:rPr>
          <w:rFonts w:ascii="Arial Nova Cond Light" w:hAnsi="Arial Nova Cond Light"/>
        </w:rPr>
        <w:t xml:space="preserve"> Qian-Khoo, J.</w:t>
      </w:r>
      <w:r w:rsidR="005E6EA1">
        <w:rPr>
          <w:rFonts w:ascii="Arial Nova Cond Light" w:hAnsi="Arial Nova Cond Light"/>
        </w:rPr>
        <w:t>,</w:t>
      </w:r>
      <w:r w:rsidRPr="00FB5E9B">
        <w:rPr>
          <w:rFonts w:ascii="Arial Nova Cond Light" w:hAnsi="Arial Nova Cond Light"/>
        </w:rPr>
        <w:t xml:space="preserve"> Crosbie, J.</w:t>
      </w:r>
      <w:r w:rsidR="005E6EA1">
        <w:rPr>
          <w:rFonts w:ascii="Arial Nova Cond Light" w:hAnsi="Arial Nova Cond Light"/>
        </w:rPr>
        <w:t>, &amp;</w:t>
      </w:r>
      <w:r w:rsidRPr="00FB5E9B">
        <w:rPr>
          <w:rFonts w:ascii="Arial Nova Cond Light" w:hAnsi="Arial Nova Cond Light"/>
        </w:rPr>
        <w:t xml:space="preserve"> Campbell, P. (2022).</w:t>
      </w:r>
      <w:r w:rsidR="00300434">
        <w:rPr>
          <w:rFonts w:ascii="Arial Nova Cond Light" w:hAnsi="Arial Nova Cond Light"/>
        </w:rPr>
        <w:t xml:space="preserve"> </w:t>
      </w:r>
      <w:r w:rsidRPr="00FB5E9B">
        <w:rPr>
          <w:rFonts w:ascii="Arial Nova Cond Light" w:hAnsi="Arial Nova Cond Light"/>
        </w:rPr>
        <w:t xml:space="preserve">Paper 1: Understanding the Employment Ecosystem for People with </w:t>
      </w:r>
      <w:r w:rsidR="008F5333">
        <w:rPr>
          <w:rFonts w:ascii="Arial Nova Cond Light" w:hAnsi="Arial Nova Cond Light"/>
        </w:rPr>
        <w:t xml:space="preserve">Intellectual </w:t>
      </w:r>
      <w:r w:rsidRPr="00FB5E9B">
        <w:rPr>
          <w:rFonts w:ascii="Arial Nova Cond Light" w:hAnsi="Arial Nova Cond Light"/>
        </w:rPr>
        <w:t xml:space="preserve">Disability, </w:t>
      </w:r>
      <w:r w:rsidRPr="00285F02">
        <w:rPr>
          <w:rFonts w:ascii="Arial Nova Cond Light" w:hAnsi="Arial Nova Cond Light"/>
          <w:i/>
          <w:iCs/>
        </w:rPr>
        <w:t>Explaining the Evidence for Reform Series</w:t>
      </w:r>
      <w:r w:rsidRPr="00FB5E9B">
        <w:rPr>
          <w:rFonts w:ascii="Arial Nova Cond Light" w:hAnsi="Arial Nova Cond Light"/>
        </w:rPr>
        <w:t>. Hawthorn: Centre for Social Impact.</w:t>
      </w:r>
      <w:r w:rsidR="00BC2B7A">
        <w:rPr>
          <w:rFonts w:ascii="Arial Nova Cond Light" w:hAnsi="Arial Nova Cond Light"/>
        </w:rPr>
        <w:t xml:space="preserve"> </w:t>
      </w:r>
      <w:r w:rsidR="00BC2B7A" w:rsidRPr="00BC2B7A">
        <w:t>DOI: 10.25916/n6bx-dd60</w:t>
      </w:r>
    </w:p>
    <w:p w14:paraId="0DA313D5" w14:textId="77777777" w:rsidR="003A5C4A" w:rsidRDefault="003A5C4A" w:rsidP="003A5C4A"/>
    <w:p w14:paraId="443C80FC" w14:textId="3B025250" w:rsidR="003A5C4A" w:rsidRDefault="003A5C4A" w:rsidP="003A5C4A">
      <w:pPr>
        <w:pStyle w:val="Heading2"/>
      </w:pPr>
      <w:r>
        <w:t>Headlines</w:t>
      </w:r>
    </w:p>
    <w:p w14:paraId="2F9629A0" w14:textId="624109A5" w:rsidR="004E2A94" w:rsidRDefault="004E2A94" w:rsidP="008364E7">
      <w:pPr>
        <w:pStyle w:val="dotpoints"/>
      </w:pPr>
      <w:r>
        <w:t xml:space="preserve">A bifurcated system of ‘open’ and ‘supported employment’ has been established since 1986, via the </w:t>
      </w:r>
      <w:r>
        <w:rPr>
          <w:i/>
          <w:iCs/>
        </w:rPr>
        <w:t xml:space="preserve">Disability Services Act 1986, </w:t>
      </w:r>
      <w:r>
        <w:t xml:space="preserve">and has directed those with higher support needs to ADEs. </w:t>
      </w:r>
    </w:p>
    <w:p w14:paraId="2EC7BAC4" w14:textId="711A679A" w:rsidR="004E2A94" w:rsidRDefault="004E2A94" w:rsidP="008364E7">
      <w:pPr>
        <w:pStyle w:val="dotpoints"/>
      </w:pPr>
      <w:r>
        <w:t xml:space="preserve">Recent changes, via NDIS, mean high level supports </w:t>
      </w:r>
      <w:r w:rsidR="009C03D7">
        <w:t xml:space="preserve">(i.e. beyond reasonable adjustment) </w:t>
      </w:r>
      <w:r>
        <w:t xml:space="preserve">are now available in all workplaces, disrupting the segregated system of open and supported employment services. </w:t>
      </w:r>
    </w:p>
    <w:p w14:paraId="3F54AA4D" w14:textId="78138F76" w:rsidR="004E2A94" w:rsidRDefault="004E2A94" w:rsidP="008364E7">
      <w:pPr>
        <w:pStyle w:val="dotpoints"/>
      </w:pPr>
      <w:r>
        <w:t xml:space="preserve">The current Commonwealth employment support system is based on criteria that restricts entry to employment supports based on </w:t>
      </w:r>
      <w:r w:rsidR="00300434">
        <w:t>‘</w:t>
      </w:r>
      <w:r>
        <w:t>work capacity’, i.e. number of hours able to be worked per week. This system means those most in need of employment support are routinely ineligible for it</w:t>
      </w:r>
      <w:r w:rsidR="00B23C55">
        <w:t xml:space="preserve"> via a range of Commonwealth labour market programs</w:t>
      </w:r>
      <w:r>
        <w:t>.</w:t>
      </w:r>
    </w:p>
    <w:p w14:paraId="2E160F2F" w14:textId="5DB2DF4F" w:rsidR="004E2A94" w:rsidRPr="002B0CD9" w:rsidRDefault="004E2A94" w:rsidP="008364E7">
      <w:pPr>
        <w:pStyle w:val="dotpoints"/>
      </w:pPr>
      <w:r>
        <w:t>Work capacity is linked to notions of productivity and used to justify payment of sub minimum wages.</w:t>
      </w:r>
      <w:r w:rsidR="00300434">
        <w:t xml:space="preserve"> </w:t>
      </w:r>
      <w:r>
        <w:t xml:space="preserve">It is not clear if adequate </w:t>
      </w:r>
      <w:r>
        <w:rPr>
          <w:lang w:val="en-US"/>
        </w:rPr>
        <w:t>training, supports, adaptations and productivity have been provided, as required by law, to enable maximum productivity.</w:t>
      </w:r>
    </w:p>
    <w:p w14:paraId="1F51554B" w14:textId="179DEAFE" w:rsidR="004E2A94" w:rsidRPr="002B0CD9" w:rsidRDefault="004E2A94" w:rsidP="008364E7">
      <w:pPr>
        <w:pStyle w:val="dotpoints"/>
      </w:pPr>
      <w:r>
        <w:rPr>
          <w:lang w:val="en-US"/>
        </w:rPr>
        <w:t>The NDIS has altered the way supported employment is funded and where it can be funded, enabling all workplaces (not just ADEs) to offer supported employment</w:t>
      </w:r>
      <w:r w:rsidR="004719F4">
        <w:rPr>
          <w:lang w:val="en-US"/>
        </w:rPr>
        <w:t>.</w:t>
      </w:r>
    </w:p>
    <w:p w14:paraId="0E41E236" w14:textId="6C0EFF01" w:rsidR="004E2A94" w:rsidRDefault="004E2A94" w:rsidP="008364E7">
      <w:pPr>
        <w:pStyle w:val="dotpoints"/>
      </w:pPr>
      <w:r>
        <w:rPr>
          <w:lang w:val="en-US"/>
        </w:rPr>
        <w:t xml:space="preserve">As an </w:t>
      </w:r>
      <w:proofErr w:type="spellStart"/>
      <w:r>
        <w:rPr>
          <w:lang w:val="en-US"/>
        </w:rPr>
        <w:t>individuali</w:t>
      </w:r>
      <w:r w:rsidR="00300434">
        <w:rPr>
          <w:lang w:val="en-US"/>
        </w:rPr>
        <w:t>s</w:t>
      </w:r>
      <w:r>
        <w:rPr>
          <w:lang w:val="en-US"/>
        </w:rPr>
        <w:t>ed</w:t>
      </w:r>
      <w:proofErr w:type="spellEnd"/>
      <w:r>
        <w:rPr>
          <w:lang w:val="en-US"/>
        </w:rPr>
        <w:t xml:space="preserve"> funding mechanism, NDIS funding is not able to </w:t>
      </w:r>
      <w:r w:rsidR="004719F4">
        <w:rPr>
          <w:lang w:val="en-US"/>
        </w:rPr>
        <w:t xml:space="preserve">be </w:t>
      </w:r>
      <w:r>
        <w:t>used to compensate for the inaccessible design features of mainstream activities such as vocational training, secondary school work experience programs or active labour market programs</w:t>
      </w:r>
      <w:r w:rsidR="00145071">
        <w:t>, meaning these remain poorly designed or exclusionary for people with intellectual disability</w:t>
      </w:r>
      <w:r>
        <w:t>.</w:t>
      </w:r>
    </w:p>
    <w:p w14:paraId="108FDB6E" w14:textId="77777777" w:rsidR="004E2A94" w:rsidRDefault="004E2A94" w:rsidP="008364E7">
      <w:pPr>
        <w:pStyle w:val="dotpoints"/>
      </w:pPr>
      <w:r>
        <w:t>The market of providers has not responded to a clear market gap by initiating evidence-based employment supports for people with intellectual disability.</w:t>
      </w:r>
    </w:p>
    <w:p w14:paraId="79E1CC12" w14:textId="51BBF948" w:rsidR="004E2A94" w:rsidRDefault="004E2A94" w:rsidP="008364E7">
      <w:pPr>
        <w:pStyle w:val="dotpoints"/>
      </w:pPr>
      <w:r>
        <w:t>There are overlapping systems and services of employment-related supports including schools, TAFEs, Commonwealth labour market programs (such as DES), the NDIS, and other employment services. These largely do not offer relevant employment supports for people with intellectual disability.</w:t>
      </w:r>
    </w:p>
    <w:p w14:paraId="7B9EEB63" w14:textId="77777777" w:rsidR="00E90028" w:rsidRPr="00FB5E9B" w:rsidRDefault="00E90028" w:rsidP="00E90028"/>
    <w:p w14:paraId="31A20482" w14:textId="77777777" w:rsidR="003A5C4A" w:rsidRDefault="003A5C4A" w:rsidP="003A5C4A">
      <w:pPr>
        <w:pStyle w:val="Heading2"/>
      </w:pPr>
      <w:r>
        <w:t>Introduction</w:t>
      </w:r>
    </w:p>
    <w:p w14:paraId="2F93B7D5" w14:textId="5B099E97" w:rsidR="003A5C4A" w:rsidRDefault="003A5C4A" w:rsidP="003335EA">
      <w:pPr>
        <w:pStyle w:val="Normal4"/>
      </w:pPr>
      <w:r>
        <w:t xml:space="preserve">Policy has a significant impact on the experiences and outcomes of people with intellectual disability in relation to employment. </w:t>
      </w:r>
      <w:r w:rsidR="00E71D62">
        <w:t>The</w:t>
      </w:r>
      <w:r>
        <w:t xml:space="preserve"> Department of Social Services, Supported Employment Consultations with stakeholders in 2017/2018 identified that </w:t>
      </w:r>
    </w:p>
    <w:p w14:paraId="51004098" w14:textId="65E95179" w:rsidR="003A5C4A" w:rsidRPr="003A5C4A" w:rsidRDefault="003A5C4A" w:rsidP="00903D8E">
      <w:pPr>
        <w:pStyle w:val="Quote"/>
      </w:pPr>
      <w:r w:rsidRPr="003A5C4A">
        <w:t>Well-designed policy and processes were considered the most important element that supports or contributes to good employment outcomes in supported employment (DSS, 2018, p.</w:t>
      </w:r>
      <w:r w:rsidR="00300434">
        <w:t xml:space="preserve"> </w:t>
      </w:r>
      <w:r w:rsidRPr="003A5C4A">
        <w:t xml:space="preserve">33). </w:t>
      </w:r>
    </w:p>
    <w:p w14:paraId="11BAD55F" w14:textId="100C1BA9" w:rsidR="003A5C4A" w:rsidRDefault="003A5C4A" w:rsidP="003335EA">
      <w:pPr>
        <w:pStyle w:val="Normal4"/>
      </w:pPr>
      <w:r w:rsidRPr="003A5C4A">
        <w:rPr>
          <w:rStyle w:val="Normal4Char"/>
        </w:rPr>
        <w:lastRenderedPageBreak/>
        <w:t>The following outlines some of the key components of the employment policy landscape</w:t>
      </w:r>
      <w:r w:rsidR="009656A3">
        <w:rPr>
          <w:rStyle w:val="Normal4Char"/>
        </w:rPr>
        <w:t xml:space="preserve"> relating to the employment of intellectual disability</w:t>
      </w:r>
      <w:r w:rsidRPr="003A5C4A">
        <w:rPr>
          <w:rStyle w:val="Normal4Char"/>
        </w:rPr>
        <w:t xml:space="preserve"> in Australia, and their impacts</w:t>
      </w:r>
      <w:r>
        <w:t>.</w:t>
      </w:r>
    </w:p>
    <w:p w14:paraId="5A202C43" w14:textId="77777777" w:rsidR="00E90028" w:rsidRPr="00FB5E9B" w:rsidRDefault="00E90028" w:rsidP="00E90028"/>
    <w:p w14:paraId="4798624C" w14:textId="77777777" w:rsidR="003A5C4A" w:rsidRDefault="003A5C4A" w:rsidP="003A5C4A">
      <w:pPr>
        <w:pStyle w:val="Heading2"/>
      </w:pPr>
      <w:r>
        <w:t>Overarching disability policy framework</w:t>
      </w:r>
    </w:p>
    <w:p w14:paraId="3BFFCDB5" w14:textId="5613C7FC" w:rsidR="003A5C4A" w:rsidRDefault="003A5C4A" w:rsidP="003335EA">
      <w:pPr>
        <w:pStyle w:val="Normal4"/>
      </w:pPr>
      <w:r>
        <w:t>Commonwealth and State policies since 2008 have broadly echoed the United Nations Convention on the Rights of Persons with Disability</w:t>
      </w:r>
      <w:r w:rsidR="009B0D0D">
        <w:t xml:space="preserve"> (CRPD)</w:t>
      </w:r>
      <w:r>
        <w:t xml:space="preserve">, and its assertion of the rights of people with disability to lives of inclusion on an equal basis with others, including in the area of employment (Article 27). </w:t>
      </w:r>
      <w:r w:rsidR="006904A8">
        <w:t xml:space="preserve">The right to employment is available to all people with disability regardless of the nature or extent of disability. </w:t>
      </w:r>
      <w:r>
        <w:t xml:space="preserve">The </w:t>
      </w:r>
      <w:r w:rsidRPr="009B0D0D">
        <w:rPr>
          <w:i/>
          <w:iCs/>
        </w:rPr>
        <w:t>National Disability Insurance Scheme Ac</w:t>
      </w:r>
      <w:r w:rsidR="009B0D0D">
        <w:rPr>
          <w:i/>
          <w:iCs/>
        </w:rPr>
        <w:t>t, 2013</w:t>
      </w:r>
      <w:r>
        <w:t>, likewise includes Objects and Principles that promote ‘full inclusion’ and participation in mainstream employment (Commonwealth of Australia, 2013).</w:t>
      </w:r>
    </w:p>
    <w:p w14:paraId="5F837943" w14:textId="42E76DD1" w:rsidR="003A5C4A" w:rsidRDefault="003A5C4A" w:rsidP="003335EA">
      <w:pPr>
        <w:pStyle w:val="Normal4"/>
      </w:pPr>
      <w:r>
        <w:t xml:space="preserve">However, these aspirations have not been enabled by more targeted policies </w:t>
      </w:r>
      <w:r w:rsidR="009B0D0D">
        <w:t xml:space="preserve">and programs </w:t>
      </w:r>
      <w:r>
        <w:t xml:space="preserve">relating to the employment of people with disability which have been dubbed </w:t>
      </w:r>
      <w:r w:rsidRPr="001359A0">
        <w:t>‘incoherent</w:t>
      </w:r>
      <w:r>
        <w:t>’ and ‘misaligned with the rights of people with disability’ and the overarching policy objectives of full inclusion (AFDO, 2018, p.</w:t>
      </w:r>
      <w:r w:rsidR="00300434">
        <w:t xml:space="preserve"> </w:t>
      </w:r>
      <w:r>
        <w:t>3).</w:t>
      </w:r>
    </w:p>
    <w:p w14:paraId="5F78EB53" w14:textId="77777777" w:rsidR="00E90028" w:rsidRPr="00FB5E9B" w:rsidRDefault="00E90028" w:rsidP="00E90028"/>
    <w:p w14:paraId="689456FA" w14:textId="77777777" w:rsidR="00EB02D1" w:rsidRDefault="00EB02D1" w:rsidP="00EB02D1">
      <w:pPr>
        <w:pStyle w:val="Heading2"/>
      </w:pPr>
      <w:r>
        <w:t xml:space="preserve">The construction of a divided system of employment expectations and employment services for people with disability </w:t>
      </w:r>
    </w:p>
    <w:p w14:paraId="1DD9A930" w14:textId="2E25DFDE" w:rsidR="00EB02D1" w:rsidRDefault="00EB02D1" w:rsidP="003335EA">
      <w:pPr>
        <w:pStyle w:val="Normal4"/>
      </w:pPr>
      <w:r>
        <w:t xml:space="preserve">In 1986, the </w:t>
      </w:r>
      <w:r w:rsidRPr="00CF1737">
        <w:rPr>
          <w:i/>
          <w:iCs/>
        </w:rPr>
        <w:t>Disability Services Act</w:t>
      </w:r>
      <w:r>
        <w:t xml:space="preserve"> (Commonwealth of Australia, 1987) established two broad types of employment services</w:t>
      </w:r>
      <w:r w:rsidR="003D4E18">
        <w:t xml:space="preserve"> for people with disability</w:t>
      </w:r>
      <w:r>
        <w:t>, open and supported employment services, essentially enshrining a bifurcated model where only some people with disability were supported into open employment. As described by Cheng et al. (2018):</w:t>
      </w:r>
    </w:p>
    <w:p w14:paraId="423C4D49" w14:textId="0CA2EFE4" w:rsidR="00EB02D1" w:rsidRDefault="00EB02D1" w:rsidP="00903D8E">
      <w:pPr>
        <w:pStyle w:val="Quote"/>
      </w:pPr>
      <w:r>
        <w:t xml:space="preserve">Open employment services </w:t>
      </w:r>
      <w:proofErr w:type="gramStart"/>
      <w:r>
        <w:t>provide assistance for</w:t>
      </w:r>
      <w:proofErr w:type="gramEnd"/>
      <w:r>
        <w:t xml:space="preserve"> job seekers with disabilities to obtain and maintain their employment in the regular workforce through specialist support from outside of the employee</w:t>
      </w:r>
      <w:r>
        <w:rPr>
          <w:rFonts w:ascii="Arial" w:hAnsi="Arial" w:cs="Arial"/>
        </w:rPr>
        <w:t>’</w:t>
      </w:r>
      <w:r>
        <w:t>s workplace (p. 318 citing Anderson</w:t>
      </w:r>
      <w:r w:rsidR="00F5613A">
        <w:t xml:space="preserve"> et al.</w:t>
      </w:r>
      <w:r>
        <w:t>,</w:t>
      </w:r>
      <w:r w:rsidR="000E2983">
        <w:t xml:space="preserve"> </w:t>
      </w:r>
      <w:r>
        <w:t>2000).</w:t>
      </w:r>
    </w:p>
    <w:p w14:paraId="1E6DC1DD" w14:textId="282097DC" w:rsidR="00EB02D1" w:rsidRDefault="00EB02D1" w:rsidP="003335EA">
      <w:pPr>
        <w:pStyle w:val="Normal4"/>
      </w:pPr>
      <w:r>
        <w:t xml:space="preserve">Open employment supports in Australia originally broadly aligned with approaches called ‘supported employment’ in international contexts, with the aim of a ‘real job for regular wages in an integrated setting alongside employees without disability’ (Cheng et al., 2018, p. 318) through the provision of a range of supports prior to and </w:t>
      </w:r>
      <w:proofErr w:type="spellStart"/>
      <w:r>
        <w:t>post employment</w:t>
      </w:r>
      <w:proofErr w:type="spellEnd"/>
      <w:r>
        <w:t>. Open employment services for people with disability are now primarily delivered by Disability Employment Services, funded by the Commonwealth</w:t>
      </w:r>
      <w:r w:rsidR="00300434">
        <w:t xml:space="preserve"> </w:t>
      </w:r>
      <w:proofErr w:type="gramStart"/>
      <w:r>
        <w:t>government</w:t>
      </w:r>
      <w:proofErr w:type="gramEnd"/>
      <w:r>
        <w:t xml:space="preserve"> and administered by the Department of Social Services. In recent decades, the narrowing of the types of supports funded within open employment services for people with disability has meant that they now compare poorly with international literature on ‘supported employment’ approaches for people with disability.</w:t>
      </w:r>
    </w:p>
    <w:p w14:paraId="73B2F4AD" w14:textId="77777777" w:rsidR="00EB02D1" w:rsidRDefault="00EB02D1" w:rsidP="003335EA">
      <w:pPr>
        <w:pStyle w:val="Normal4"/>
      </w:pPr>
      <w:r w:rsidRPr="00B122E9">
        <w:t xml:space="preserve">The </w:t>
      </w:r>
      <w:r w:rsidRPr="00B122E9">
        <w:rPr>
          <w:i/>
          <w:iCs/>
        </w:rPr>
        <w:t>Disability Services Act</w:t>
      </w:r>
      <w:r w:rsidRPr="00B122E9">
        <w:t xml:space="preserve"> also established the second category of employment services, called ‘supported employment services’ </w:t>
      </w:r>
      <w:r>
        <w:t>for those people who are ‘unlikely’ to gain competitive employment at or above the award wage:</w:t>
      </w:r>
    </w:p>
    <w:p w14:paraId="3361964C" w14:textId="77777777" w:rsidR="00EB02D1" w:rsidRDefault="00EB02D1" w:rsidP="00903D8E">
      <w:pPr>
        <w:pStyle w:val="Quote"/>
      </w:pPr>
      <w:r w:rsidRPr="00B122E9">
        <w:rPr>
          <w:i/>
        </w:rPr>
        <w:t>supported employment services</w:t>
      </w:r>
      <w:r>
        <w:t xml:space="preserve"> means services to support the paid employment of persons with disabilities, being persons:</w:t>
      </w:r>
    </w:p>
    <w:p w14:paraId="41CFA86B" w14:textId="7FA4C081" w:rsidR="00EB02D1" w:rsidRDefault="00EB02D1" w:rsidP="00903D8E">
      <w:pPr>
        <w:pStyle w:val="Quote"/>
      </w:pPr>
      <w:r>
        <w:lastRenderedPageBreak/>
        <w:t>(a)</w:t>
      </w:r>
      <w:r w:rsidR="00300434">
        <w:t xml:space="preserve"> </w:t>
      </w:r>
      <w:r>
        <w:t>for whom competitive employment at or above the relevant award wage is unlikely; and</w:t>
      </w:r>
    </w:p>
    <w:p w14:paraId="567CDD4C" w14:textId="5A1CFAA7" w:rsidR="00EB02D1" w:rsidRDefault="00EB02D1" w:rsidP="00903D8E">
      <w:pPr>
        <w:pStyle w:val="Quote"/>
      </w:pPr>
      <w:r>
        <w:t>(b)</w:t>
      </w:r>
      <w:r w:rsidR="00300434">
        <w:t xml:space="preserve"> </w:t>
      </w:r>
      <w:r>
        <w:t xml:space="preserve">who, because of their disabilities, need substantial ongoing support to obtain or retain paid employment (Commonwealth of Australia, 1987, Part 11, </w:t>
      </w:r>
      <w:proofErr w:type="spellStart"/>
      <w:r>
        <w:t>Div</w:t>
      </w:r>
      <w:proofErr w:type="spellEnd"/>
      <w:r>
        <w:t xml:space="preserve"> 1, 7.).</w:t>
      </w:r>
    </w:p>
    <w:p w14:paraId="3B32AAE3" w14:textId="77777777" w:rsidR="00EB6FF2" w:rsidRDefault="00EB02D1" w:rsidP="003335EA">
      <w:pPr>
        <w:pStyle w:val="Normal4"/>
      </w:pPr>
      <w:r>
        <w:t xml:space="preserve">Unfortunately, this posits the view that people with high support needs will be unable to work in open employment and positions the provision of high levels of employment supports as only applied to those unlikely to gain competitive (open) employment and only available in specialist supported employment services (later called Australian Disability Enterprises [ADEs]). Unintentionally, this definition has reinforced segregation rather than the inclusion and integration of people with disability envisaged within the Objects of the Act. Until recently, supported employment services have been provided in settings such as ‘sheltered workshops, enclaves or work crews’ (Cheng et al., 2018, p. 318), called Australian Disability Enterprises (ADEs) (since 2009), and funded by the </w:t>
      </w:r>
      <w:r w:rsidR="00025CA2">
        <w:t>Commonwealth</w:t>
      </w:r>
      <w:r>
        <w:t xml:space="preserve"> government. Funding arrangements for ADEs have been changing since the advent of the National Disability Insurance Scheme (NDIS) where funding has been shifting from </w:t>
      </w:r>
      <w:r w:rsidR="00025CA2">
        <w:t>‘case based’ funding</w:t>
      </w:r>
      <w:r>
        <w:t xml:space="preserve"> to ADEs to individualised funding to purchase employment supports within the funding packages of NDIS participants. Recent changes have enabled participants to utilise ‘supports in employment’ funding in services other than ADEs, though the market of service providers for this is yet to emerge. Further information about ADEs is available in Paper 4. </w:t>
      </w:r>
    </w:p>
    <w:p w14:paraId="4780D5CA" w14:textId="213C280F" w:rsidR="00EB6FF2" w:rsidRPr="00EB6FF2" w:rsidRDefault="00EB6FF2" w:rsidP="003335EA">
      <w:pPr>
        <w:pStyle w:val="Normal4"/>
        <w:rPr>
          <w:rStyle w:val="QuoteChar"/>
          <w:rFonts w:eastAsiaTheme="minorHAnsi"/>
        </w:rPr>
      </w:pPr>
      <w:r>
        <w:t>In 2012, the changes to be brought about by the NDIS were forecast by the Commonwealth government and an independent Advisory Council. In this context, it was proposed that ‘supported employment’ should be redefined simply as ‘ongoing support’ and that the ‘</w:t>
      </w:r>
      <w:r w:rsidRPr="00EB6FF2">
        <w:rPr>
          <w:rStyle w:val="QuoteChar"/>
          <w:rFonts w:eastAsiaTheme="minorHAnsi"/>
        </w:rPr>
        <w:t xml:space="preserve">barriers between the terms </w:t>
      </w:r>
      <w:r>
        <w:rPr>
          <w:rStyle w:val="QuoteChar"/>
          <w:rFonts w:eastAsiaTheme="minorHAnsi"/>
        </w:rPr>
        <w:t>“</w:t>
      </w:r>
      <w:r w:rsidRPr="00EB6FF2">
        <w:rPr>
          <w:rStyle w:val="QuoteChar"/>
          <w:rFonts w:eastAsiaTheme="minorHAnsi"/>
        </w:rPr>
        <w:t>open</w:t>
      </w:r>
      <w:r>
        <w:rPr>
          <w:rStyle w:val="QuoteChar"/>
          <w:rFonts w:eastAsiaTheme="minorHAnsi"/>
        </w:rPr>
        <w:t>”</w:t>
      </w:r>
      <w:r w:rsidRPr="00EB6FF2">
        <w:rPr>
          <w:rStyle w:val="QuoteChar"/>
          <w:rFonts w:eastAsiaTheme="minorHAnsi"/>
        </w:rPr>
        <w:t xml:space="preserve"> and </w:t>
      </w:r>
      <w:r>
        <w:rPr>
          <w:rStyle w:val="QuoteChar"/>
          <w:rFonts w:eastAsiaTheme="minorHAnsi"/>
        </w:rPr>
        <w:t>“</w:t>
      </w:r>
      <w:r w:rsidRPr="00EB6FF2">
        <w:rPr>
          <w:rStyle w:val="QuoteChar"/>
          <w:rFonts w:eastAsiaTheme="minorHAnsi"/>
        </w:rPr>
        <w:t>supported</w:t>
      </w:r>
      <w:r>
        <w:rPr>
          <w:rStyle w:val="QuoteChar"/>
          <w:rFonts w:eastAsiaTheme="minorHAnsi"/>
        </w:rPr>
        <w:t>”</w:t>
      </w:r>
      <w:r w:rsidRPr="00EB6FF2">
        <w:rPr>
          <w:rStyle w:val="QuoteChar"/>
          <w:rFonts w:eastAsiaTheme="minorHAnsi"/>
        </w:rPr>
        <w:t xml:space="preserve"> employment for people with</w:t>
      </w:r>
      <w:r>
        <w:rPr>
          <w:rStyle w:val="QuoteChar"/>
          <w:rFonts w:eastAsiaTheme="minorHAnsi"/>
        </w:rPr>
        <w:t xml:space="preserve"> </w:t>
      </w:r>
      <w:r w:rsidRPr="00EB6FF2">
        <w:rPr>
          <w:rStyle w:val="QuoteChar"/>
          <w:rFonts w:eastAsiaTheme="minorHAnsi"/>
        </w:rPr>
        <w:t>disability who need ongoing support to find and maintain work</w:t>
      </w:r>
      <w:r>
        <w:rPr>
          <w:rStyle w:val="QuoteChar"/>
          <w:rFonts w:eastAsiaTheme="minorHAnsi"/>
        </w:rPr>
        <w:t>’ be removed (</w:t>
      </w:r>
      <w:proofErr w:type="spellStart"/>
      <w:r>
        <w:rPr>
          <w:rStyle w:val="QuoteChar"/>
          <w:rFonts w:eastAsiaTheme="minorHAnsi"/>
        </w:rPr>
        <w:t>Fa</w:t>
      </w:r>
      <w:r w:rsidR="008E2DC2">
        <w:rPr>
          <w:rStyle w:val="QuoteChar"/>
          <w:rFonts w:eastAsiaTheme="minorHAnsi"/>
        </w:rPr>
        <w:t>H</w:t>
      </w:r>
      <w:r>
        <w:rPr>
          <w:rStyle w:val="QuoteChar"/>
          <w:rFonts w:eastAsiaTheme="minorHAnsi"/>
        </w:rPr>
        <w:t>CSIA</w:t>
      </w:r>
      <w:proofErr w:type="spellEnd"/>
      <w:r>
        <w:rPr>
          <w:rStyle w:val="QuoteChar"/>
          <w:rFonts w:eastAsiaTheme="minorHAnsi"/>
        </w:rPr>
        <w:t>, n.d., p.</w:t>
      </w:r>
      <w:r w:rsidR="00DB2EB5">
        <w:rPr>
          <w:rStyle w:val="QuoteChar"/>
          <w:rFonts w:eastAsiaTheme="minorHAnsi"/>
        </w:rPr>
        <w:t xml:space="preserve"> </w:t>
      </w:r>
      <w:r>
        <w:rPr>
          <w:rStyle w:val="QuoteChar"/>
          <w:rFonts w:eastAsiaTheme="minorHAnsi"/>
        </w:rPr>
        <w:t>6)</w:t>
      </w:r>
      <w:r w:rsidRPr="00EB6FF2">
        <w:rPr>
          <w:rStyle w:val="QuoteChar"/>
          <w:rFonts w:eastAsiaTheme="minorHAnsi"/>
        </w:rPr>
        <w:t>.</w:t>
      </w:r>
    </w:p>
    <w:p w14:paraId="07BF2959" w14:textId="5A3063F7" w:rsidR="00EB02D1" w:rsidRDefault="00EB02D1" w:rsidP="003335EA">
      <w:pPr>
        <w:pStyle w:val="Normal4"/>
      </w:pPr>
      <w:r>
        <w:rPr>
          <w:sz w:val="23"/>
          <w:szCs w:val="23"/>
        </w:rPr>
        <w:t>Regardless of these changes to funding, c</w:t>
      </w:r>
      <w:r>
        <w:t xml:space="preserve">urrent policy ‘presumes </w:t>
      </w:r>
      <w:r w:rsidRPr="001F6ABE">
        <w:t>that people</w:t>
      </w:r>
      <w:r>
        <w:t xml:space="preserve"> </w:t>
      </w:r>
      <w:r w:rsidRPr="001F6ABE">
        <w:t>with intellectual and multiple disabilities are largely unable to work in open employment</w:t>
      </w:r>
      <w:r>
        <w:t xml:space="preserve"> </w:t>
      </w:r>
      <w:r w:rsidRPr="001F6ABE">
        <w:t>settings</w:t>
      </w:r>
      <w:r>
        <w:t>’ (AFDO, 2018, p. 13).</w:t>
      </w:r>
      <w:r w:rsidR="00025CA2">
        <w:t xml:space="preserve"> Underpinning the design of employment services funded by the Commonwealth have been assumptions about ‘independent workers’ in open employment defined as needing only limited or short term supports (DSS, 2017). </w:t>
      </w:r>
    </w:p>
    <w:p w14:paraId="2CDD19B9" w14:textId="77777777" w:rsidR="004F491D" w:rsidRPr="00FB5E9B" w:rsidRDefault="004F491D" w:rsidP="004F491D"/>
    <w:p w14:paraId="51CFD761" w14:textId="77777777" w:rsidR="003A5C4A" w:rsidRDefault="003A5C4A" w:rsidP="003A5C4A">
      <w:pPr>
        <w:pStyle w:val="Heading2"/>
      </w:pPr>
      <w:r>
        <w:t>Commonwealth employment services system</w:t>
      </w:r>
    </w:p>
    <w:p w14:paraId="2D868E7D" w14:textId="283C4AA4" w:rsidR="003A5C4A" w:rsidRDefault="00DB2EB5" w:rsidP="003335EA">
      <w:pPr>
        <w:pStyle w:val="Normal4"/>
      </w:pPr>
      <w:r>
        <w:t xml:space="preserve">Successive </w:t>
      </w:r>
      <w:r w:rsidR="003A5C4A">
        <w:t>Australian Commonwealth governments have adopted Active Labour Market Programs (ALMP</w:t>
      </w:r>
      <w:r w:rsidR="009B0D0D">
        <w:t>s</w:t>
      </w:r>
      <w:r w:rsidR="003A5C4A">
        <w:t xml:space="preserve">) as the main mechanism of support </w:t>
      </w:r>
      <w:r w:rsidR="00AB0FAA">
        <w:t>to enter open employment for</w:t>
      </w:r>
      <w:r w:rsidR="003A5C4A">
        <w:t xml:space="preserve"> unemployed people receiving income supports. ALMPs target the jobseeker and largely focus on job search effectiveness, work readiness via work experience and on-the-job training</w:t>
      </w:r>
      <w:r w:rsidR="009B0D0D">
        <w:t xml:space="preserve">, </w:t>
      </w:r>
      <w:r w:rsidR="003A5C4A">
        <w:t xml:space="preserve">wage subsidies paid to employers </w:t>
      </w:r>
      <w:r w:rsidR="009B0D0D">
        <w:t xml:space="preserve">or </w:t>
      </w:r>
      <w:r w:rsidR="003A5C4A">
        <w:t xml:space="preserve">public sector job creation, and formal education and training (Borland, 2014). </w:t>
      </w:r>
      <w:r w:rsidR="009B0D0D">
        <w:t>In Australia, e</w:t>
      </w:r>
      <w:r w:rsidR="003A5C4A">
        <w:t xml:space="preserve">mployment services are administered by a range of different Commonwealth government departments (for example, Department of Social Services [DSS], Department of Education, Skills and Employment [DESE], and the National Indigenous Australians Agency [NIAA]) and delivered by a </w:t>
      </w:r>
      <w:r w:rsidR="009B0D0D">
        <w:t xml:space="preserve">market </w:t>
      </w:r>
      <w:r w:rsidR="003A5C4A">
        <w:t>of for-profit and not-for-profit providers (OECD, 2017).</w:t>
      </w:r>
      <w:r w:rsidR="0057115D">
        <w:t xml:space="preserve"> While people with disability </w:t>
      </w:r>
      <w:r w:rsidR="00DC51DD">
        <w:t>are very likely to be part of the wider cohorts targeted by these services</w:t>
      </w:r>
      <w:r w:rsidR="00EC1DC3">
        <w:t xml:space="preserve"> (</w:t>
      </w:r>
      <w:proofErr w:type="spellStart"/>
      <w:r w:rsidR="00EC1DC3" w:rsidRPr="0072420C">
        <w:t>Immervoll</w:t>
      </w:r>
      <w:proofErr w:type="spellEnd"/>
      <w:r w:rsidR="00EC1DC3">
        <w:t xml:space="preserve"> et al., 2019)</w:t>
      </w:r>
      <w:r w:rsidR="00DC51DD">
        <w:t>, t</w:t>
      </w:r>
      <w:r w:rsidR="00B664BA">
        <w:t>he primary ‘specialist’</w:t>
      </w:r>
      <w:r w:rsidR="00243F79">
        <w:t xml:space="preserve"> employment</w:t>
      </w:r>
      <w:r w:rsidR="00B664BA">
        <w:t xml:space="preserve"> service for people with disability is the Disability Employment Service (DES), discussed later.</w:t>
      </w:r>
    </w:p>
    <w:p w14:paraId="7911EE65" w14:textId="371D59BB" w:rsidR="003A5C4A" w:rsidRDefault="003A5C4A" w:rsidP="003335EA">
      <w:pPr>
        <w:pStyle w:val="Normal4"/>
      </w:pPr>
      <w:r>
        <w:lastRenderedPageBreak/>
        <w:t xml:space="preserve">In addition to the suite of </w:t>
      </w:r>
      <w:proofErr w:type="spellStart"/>
      <w:r>
        <w:t>marketi</w:t>
      </w:r>
      <w:r w:rsidR="00300434">
        <w:t>s</w:t>
      </w:r>
      <w:r>
        <w:t>ed</w:t>
      </w:r>
      <w:proofErr w:type="spellEnd"/>
      <w:r>
        <w:t xml:space="preserve"> employment services, since 2015/16 the Commonwealth government offers a centralised information hub </w:t>
      </w:r>
      <w:r w:rsidR="007E6B0B">
        <w:t xml:space="preserve">for disability employment </w:t>
      </w:r>
      <w:r>
        <w:t>known as ‘</w:t>
      </w:r>
      <w:proofErr w:type="spellStart"/>
      <w:r>
        <w:t>JobAccess</w:t>
      </w:r>
      <w:proofErr w:type="spellEnd"/>
      <w:r>
        <w:t>’</w:t>
      </w:r>
      <w:r w:rsidR="007E6B0B">
        <w:t xml:space="preserve">. </w:t>
      </w:r>
      <w:r w:rsidR="00AE0655">
        <w:br/>
      </w:r>
      <w:r w:rsidR="00AE0655">
        <w:br/>
      </w:r>
      <w:r>
        <w:t>The service comprises:</w:t>
      </w:r>
    </w:p>
    <w:p w14:paraId="3FF386D6" w14:textId="77777777" w:rsidR="003A5C4A" w:rsidRPr="00867896" w:rsidRDefault="003A5C4A" w:rsidP="008364E7">
      <w:pPr>
        <w:pStyle w:val="dotpoints"/>
      </w:pPr>
      <w:r w:rsidRPr="00867896">
        <w:t xml:space="preserve">The </w:t>
      </w:r>
      <w:proofErr w:type="spellStart"/>
      <w:r w:rsidRPr="00867896">
        <w:t>JobAccess</w:t>
      </w:r>
      <w:proofErr w:type="spellEnd"/>
      <w:r w:rsidRPr="00867896">
        <w:t xml:space="preserve"> Website (</w:t>
      </w:r>
      <w:hyperlink r:id="rId11" w:history="1">
        <w:r w:rsidRPr="00867896">
          <w:t>www.jobaccess.gov.au</w:t>
        </w:r>
      </w:hyperlink>
      <w:r w:rsidRPr="00867896">
        <w:t>);</w:t>
      </w:r>
    </w:p>
    <w:p w14:paraId="7C889A2D" w14:textId="77777777" w:rsidR="003A5C4A" w:rsidRPr="00867896" w:rsidRDefault="003A5C4A" w:rsidP="008364E7">
      <w:pPr>
        <w:pStyle w:val="dotpoints"/>
      </w:pPr>
      <w:r w:rsidRPr="00867896">
        <w:t xml:space="preserve">the Telephone Advice </w:t>
      </w:r>
      <w:proofErr w:type="gramStart"/>
      <w:r w:rsidRPr="00867896">
        <w:t>line;</w:t>
      </w:r>
      <w:proofErr w:type="gramEnd"/>
    </w:p>
    <w:p w14:paraId="1F8FB9C5" w14:textId="77777777" w:rsidR="003A5C4A" w:rsidRPr="00867896" w:rsidRDefault="003A5C4A" w:rsidP="008364E7">
      <w:pPr>
        <w:pStyle w:val="dotpoints"/>
      </w:pPr>
      <w:r w:rsidRPr="00867896">
        <w:t>the Employment Assistance Fund (EAF</w:t>
      </w:r>
      <w:proofErr w:type="gramStart"/>
      <w:r w:rsidRPr="00867896">
        <w:t>);</w:t>
      </w:r>
      <w:proofErr w:type="gramEnd"/>
    </w:p>
    <w:p w14:paraId="67D67323" w14:textId="77777777" w:rsidR="003A5C4A" w:rsidRPr="00867896" w:rsidRDefault="003A5C4A" w:rsidP="008364E7">
      <w:pPr>
        <w:pStyle w:val="dotpoints"/>
      </w:pPr>
      <w:r w:rsidRPr="00867896">
        <w:t>the Complaints Resolution and Referral Service (CRRS</w:t>
      </w:r>
      <w:proofErr w:type="gramStart"/>
      <w:r w:rsidRPr="00867896">
        <w:t>);</w:t>
      </w:r>
      <w:proofErr w:type="gramEnd"/>
    </w:p>
    <w:p w14:paraId="290BE4E0" w14:textId="77777777" w:rsidR="003A5C4A" w:rsidRPr="00867896" w:rsidRDefault="003A5C4A" w:rsidP="008364E7">
      <w:pPr>
        <w:pStyle w:val="dotpoints"/>
      </w:pPr>
      <w:r w:rsidRPr="00867896">
        <w:t xml:space="preserve">the National Disability Abuse and Neglect Hotline; and </w:t>
      </w:r>
    </w:p>
    <w:p w14:paraId="7AAC479A" w14:textId="1DCD42CB" w:rsidR="003A5C4A" w:rsidRPr="003A5C4A" w:rsidRDefault="003A5C4A" w:rsidP="008364E7">
      <w:pPr>
        <w:pStyle w:val="dotpoints"/>
      </w:pPr>
      <w:r w:rsidRPr="00867896">
        <w:t xml:space="preserve">the </w:t>
      </w:r>
      <w:bookmarkStart w:id="0" w:name="_Hlk119757340"/>
      <w:r w:rsidRPr="00867896">
        <w:t>National Disability Recruitment Coordinator (NDRC).</w:t>
      </w:r>
      <w:bookmarkEnd w:id="0"/>
    </w:p>
    <w:p w14:paraId="3E43C7C5" w14:textId="5EF6F1C0" w:rsidR="003A5C4A" w:rsidRPr="009C4EDF" w:rsidRDefault="003A5C4A" w:rsidP="003335EA">
      <w:pPr>
        <w:pStyle w:val="Normal4"/>
      </w:pPr>
      <w:r>
        <w:t xml:space="preserve">While the </w:t>
      </w:r>
      <w:proofErr w:type="spellStart"/>
      <w:r>
        <w:t>JobAccess</w:t>
      </w:r>
      <w:proofErr w:type="spellEnd"/>
      <w:r>
        <w:t xml:space="preserve"> service </w:t>
      </w:r>
      <w:r w:rsidR="00B664BA">
        <w:t>i</w:t>
      </w:r>
      <w:r>
        <w:t xml:space="preserve">s valued by </w:t>
      </w:r>
      <w:r w:rsidR="007E6B0B">
        <w:t>employers, employment service providers and jobseekers</w:t>
      </w:r>
      <w:r>
        <w:t xml:space="preserve">, noted gaps </w:t>
      </w:r>
      <w:r w:rsidR="00B664BA">
        <w:t>have been identified in</w:t>
      </w:r>
      <w:r>
        <w:t xml:space="preserve"> the delivery of accessible and relevant information to people with disability, supporting people with disability to find work, and supporting employers to create vacancies and actually hire people with disability (Colmar Brunton, 2019). There is no evidence that </w:t>
      </w:r>
      <w:proofErr w:type="spellStart"/>
      <w:r>
        <w:t>JobAccess</w:t>
      </w:r>
      <w:proofErr w:type="spellEnd"/>
      <w:r>
        <w:t xml:space="preserve"> has been designed to encompass the needs of people with intellectual disability or those who employ them.</w:t>
      </w:r>
    </w:p>
    <w:p w14:paraId="1DBF729A" w14:textId="77777777" w:rsidR="003A5C4A" w:rsidRDefault="003A5C4A" w:rsidP="003A5C4A">
      <w:pPr>
        <w:pStyle w:val="Heading3"/>
      </w:pPr>
      <w:r>
        <w:t>Providers of employment services</w:t>
      </w:r>
    </w:p>
    <w:p w14:paraId="549C413B" w14:textId="0DE06453" w:rsidR="003A5C4A" w:rsidRDefault="0046198C" w:rsidP="003335EA">
      <w:pPr>
        <w:pStyle w:val="Normal4"/>
      </w:pPr>
      <w:r>
        <w:t>The</w:t>
      </w:r>
      <w:r w:rsidR="003A5C4A">
        <w:t xml:space="preserve"> Commonwealth </w:t>
      </w:r>
      <w:r>
        <w:t>ALMP</w:t>
      </w:r>
      <w:r w:rsidR="003A5C4A">
        <w:t xml:space="preserve"> system is comprised of </w:t>
      </w:r>
      <w:r>
        <w:t xml:space="preserve">a national market of providers including: </w:t>
      </w:r>
      <w:r w:rsidR="003A5C4A">
        <w:t xml:space="preserve">39 for </w:t>
      </w:r>
      <w:proofErr w:type="spellStart"/>
      <w:r w:rsidR="003A5C4A">
        <w:t>jobactive</w:t>
      </w:r>
      <w:proofErr w:type="spellEnd"/>
      <w:r w:rsidR="003A5C4A">
        <w:t>, 46 for the Community Development Program (CDP)</w:t>
      </w:r>
      <w:r w:rsidR="00902C2E">
        <w:t>,</w:t>
      </w:r>
      <w:r w:rsidR="003A5C4A">
        <w:t xml:space="preserve"> and 110 for DES (two thirds of these are </w:t>
      </w:r>
      <w:r>
        <w:t>not for profit</w:t>
      </w:r>
      <w:r w:rsidR="003A5C4A">
        <w:t xml:space="preserve">) (BCG, 2020a), with the </w:t>
      </w:r>
      <w:r w:rsidR="003A5C4A" w:rsidRPr="00C424D8">
        <w:t xml:space="preserve">largest </w:t>
      </w:r>
      <w:r w:rsidR="003A5C4A">
        <w:t>five</w:t>
      </w:r>
      <w:r w:rsidR="003A5C4A" w:rsidRPr="00C424D8">
        <w:t xml:space="preserve"> DES providers hav</w:t>
      </w:r>
      <w:r w:rsidR="003A5C4A">
        <w:t>ing</w:t>
      </w:r>
      <w:r w:rsidR="003A5C4A" w:rsidRPr="00C424D8">
        <w:t xml:space="preserve"> 42% of market share </w:t>
      </w:r>
      <w:r w:rsidR="003A5C4A">
        <w:t>(BCG</w:t>
      </w:r>
      <w:r w:rsidR="003A5C4A" w:rsidRPr="00C424D8">
        <w:t>, 2020</w:t>
      </w:r>
      <w:r w:rsidR="003A5C4A">
        <w:t xml:space="preserve">b). </w:t>
      </w:r>
    </w:p>
    <w:p w14:paraId="097F529F" w14:textId="77777777" w:rsidR="003A5C4A" w:rsidRDefault="003A5C4A" w:rsidP="003335EA">
      <w:pPr>
        <w:pStyle w:val="Normal4"/>
      </w:pPr>
      <w:r>
        <w:t xml:space="preserve">DES is the main ‘specialist’ employment service for people with disability seeking open employment, who have a work capacity of between 8 and 30 hours per week. </w:t>
      </w:r>
    </w:p>
    <w:p w14:paraId="74915D99" w14:textId="25F92D32" w:rsidR="003A5C4A" w:rsidRDefault="003A5C4A" w:rsidP="00903D8E">
      <w:pPr>
        <w:pStyle w:val="Quote"/>
        <w:rPr>
          <w:rFonts w:cstheme="minorHAnsi"/>
          <w:szCs w:val="20"/>
        </w:rPr>
      </w:pPr>
      <w:r>
        <w:t>Support offered by DES providers may include career advice, assistance to prepare resumes and job applications, job readiness skills training (e.g. interview skills, searching and applying for work), identifying appropriate education and training courses, as well as supporting employers and jobseekers to access wage subsidies or implement workplace modifications (Olney et al., 2022, p.</w:t>
      </w:r>
      <w:r w:rsidR="00C4215A">
        <w:t xml:space="preserve"> </w:t>
      </w:r>
      <w:r>
        <w:t>167</w:t>
      </w:r>
      <w:r w:rsidR="0046198C">
        <w:t>, quoting DSS, 2018</w:t>
      </w:r>
      <w:r>
        <w:t>).</w:t>
      </w:r>
    </w:p>
    <w:p w14:paraId="07C0AD7F" w14:textId="77777777" w:rsidR="003A5C4A" w:rsidRDefault="003A5C4A" w:rsidP="003335EA">
      <w:pPr>
        <w:pStyle w:val="Normal4"/>
      </w:pPr>
      <w:r>
        <w:t xml:space="preserve">DES has two service elements: </w:t>
      </w:r>
    </w:p>
    <w:p w14:paraId="05CC9ECE" w14:textId="77777777" w:rsidR="003A5C4A" w:rsidRDefault="003A5C4A" w:rsidP="008364E7">
      <w:pPr>
        <w:pStyle w:val="dotpoints"/>
        <w:numPr>
          <w:ilvl w:val="0"/>
          <w:numId w:val="46"/>
        </w:numPr>
      </w:pPr>
      <w:r>
        <w:t>Disability Management Services (DMS) is for job seekers with disability, injury or health condition who need assistance to find a job and occasional support to keep a job; and</w:t>
      </w:r>
    </w:p>
    <w:p w14:paraId="15F50B1F" w14:textId="0AF66449" w:rsidR="003A5C4A" w:rsidRPr="00923E43" w:rsidRDefault="003A5C4A" w:rsidP="008364E7">
      <w:pPr>
        <w:pStyle w:val="dotpoints"/>
        <w:numPr>
          <w:ilvl w:val="0"/>
          <w:numId w:val="46"/>
        </w:numPr>
      </w:pPr>
      <w:r>
        <w:t xml:space="preserve">Employment Support Services (ESS) </w:t>
      </w:r>
      <w:r w:rsidR="0046198C">
        <w:t xml:space="preserve">that </w:t>
      </w:r>
      <w:r>
        <w:t>provides assistance to people with permanent disability and who need regular, ongoing support to keep a job (Productivity Commission, 2020</w:t>
      </w:r>
      <w:r w:rsidR="00AD1C3B">
        <w:t>, p.</w:t>
      </w:r>
      <w:r w:rsidR="00AE3C7B">
        <w:t xml:space="preserve"> </w:t>
      </w:r>
      <w:r w:rsidR="00AD1C3B">
        <w:t>15:41</w:t>
      </w:r>
      <w:r>
        <w:t>).</w:t>
      </w:r>
      <w:r w:rsidRPr="00923E43">
        <w:rPr>
          <w:rFonts w:cstheme="minorHAnsi"/>
          <w:szCs w:val="20"/>
        </w:rPr>
        <w:t xml:space="preserve"> </w:t>
      </w:r>
    </w:p>
    <w:p w14:paraId="74B86645" w14:textId="7DF75485" w:rsidR="003A5C4A" w:rsidRDefault="003A5C4A" w:rsidP="003335EA">
      <w:pPr>
        <w:pStyle w:val="Normal4"/>
      </w:pPr>
      <w:r w:rsidRPr="00923E43">
        <w:t>In 2020-21, 176,274 people with disability used the ‘Disability Management Services’ aspect of DES, and 223,607 used the Employment Support Services of DES</w:t>
      </w:r>
      <w:r>
        <w:t xml:space="preserve">, at a total cost of more than $786M </w:t>
      </w:r>
      <w:r w:rsidR="0046198C">
        <w:t>for</w:t>
      </w:r>
      <w:r>
        <w:t xml:space="preserve"> DES </w:t>
      </w:r>
      <w:r w:rsidRPr="00923E43">
        <w:t>(Productivity Commission, 2022).</w:t>
      </w:r>
    </w:p>
    <w:p w14:paraId="6138663E" w14:textId="42F37135" w:rsidR="003A5C4A" w:rsidRDefault="0046198C" w:rsidP="003335EA">
      <w:pPr>
        <w:pStyle w:val="Normal4"/>
      </w:pPr>
      <w:r>
        <w:t>In the supported employment arena, t</w:t>
      </w:r>
      <w:r w:rsidR="003A5C4A">
        <w:t xml:space="preserve">he exact number of ADEs in Australia is difficult to determine since </w:t>
      </w:r>
      <w:r w:rsidR="00AA2782">
        <w:t>the</w:t>
      </w:r>
      <w:r w:rsidR="00BD1BE6" w:rsidRPr="00D20FA5">
        <w:t xml:space="preserve"> </w:t>
      </w:r>
      <w:bookmarkStart w:id="1" w:name="_Hlk120472504"/>
      <w:r w:rsidR="00BD1BE6" w:rsidRPr="00D20FA5">
        <w:t xml:space="preserve">Disability Services National Minimum Data Set </w:t>
      </w:r>
      <w:r w:rsidR="003A5C4A">
        <w:t xml:space="preserve">ceased </w:t>
      </w:r>
      <w:r>
        <w:t>in 2019 (Productivity Commission, 2021)</w:t>
      </w:r>
      <w:bookmarkEnd w:id="1"/>
      <w:r w:rsidR="003A5C4A">
        <w:t xml:space="preserve">, and the use of the term ‘Australian Disability Enterprise’ is no longer required </w:t>
      </w:r>
      <w:r>
        <w:t>since</w:t>
      </w:r>
      <w:r w:rsidR="003A5C4A">
        <w:t xml:space="preserve"> the cessation of funding from DSS. It is estimated that there are around </w:t>
      </w:r>
      <w:r w:rsidR="00B05777">
        <w:t>152</w:t>
      </w:r>
      <w:r w:rsidR="00300434">
        <w:t xml:space="preserve"> </w:t>
      </w:r>
      <w:r w:rsidR="003A5C4A">
        <w:t xml:space="preserve">main organisational entities </w:t>
      </w:r>
      <w:r w:rsidR="003A5C4A">
        <w:lastRenderedPageBreak/>
        <w:t xml:space="preserve">operating approximately </w:t>
      </w:r>
      <w:r w:rsidR="00B05777">
        <w:t>47</w:t>
      </w:r>
      <w:r w:rsidR="00B0139E">
        <w:t>7</w:t>
      </w:r>
      <w:r w:rsidR="003A5C4A">
        <w:t xml:space="preserve"> commercial outlets in Australia, formerly funded as ADEs (see Paper 4 for more details). In 2017, people with intellectual disability comprised 70-75% of the ADE workforce (DSS, 2018), and in 2020, the NDIA reported that NDIS participants with an intellectual disability over 25 years of age were predominantly employed in ADEs (70%) if employed</w:t>
      </w:r>
      <w:r w:rsidR="00C93B24">
        <w:t xml:space="preserve"> (NDIA, 2020)</w:t>
      </w:r>
      <w:r w:rsidR="003A5C4A">
        <w:t xml:space="preserve">. </w:t>
      </w:r>
    </w:p>
    <w:p w14:paraId="4BB7380E" w14:textId="612D0BF8" w:rsidR="003A5C4A" w:rsidRDefault="003A5C4A" w:rsidP="003335EA">
      <w:pPr>
        <w:pStyle w:val="Normal4"/>
      </w:pPr>
      <w:r>
        <w:t>Overall, evidence has consistently indicated that the market system has not worked for people with disability. Disability Employment Services have seen a decrease in already poor outcomes between 2018 (when the last reforms were implemented) and 2020 (Devine et al., 2021; BCG, 2020b).</w:t>
      </w:r>
      <w:r w:rsidR="00300434">
        <w:t xml:space="preserve"> </w:t>
      </w:r>
      <w:r>
        <w:t xml:space="preserve">The most recent review has attributed this poor performance to ‘limited disability expertise and labour market specialisation of DES providers’ as well as system complexity and the compliance and monitoring roles of DES within the income support system (Devine et al., 2021, p. 3). Recommendations from the DES review (BCG, 2020b) forecast further narrowing of access to DES by people with disability, </w:t>
      </w:r>
      <w:r w:rsidR="0046198C">
        <w:t xml:space="preserve">thereby </w:t>
      </w:r>
      <w:r>
        <w:t xml:space="preserve">reducing options for employment support. This further alienates people with disability from relevant and appropriate employment supports, as those cast out of the DES system would be cast into the mainstream active labour market programs which remain poorly designed and ill-suited to the needs of people with disability, with evidence showing </w:t>
      </w:r>
      <w:r w:rsidRPr="0027194D">
        <w:t>that ‘job-seekers with disabilities feel less well-supported within the mainstream employment program’ (Devine et al., 2021, p. 11)</w:t>
      </w:r>
      <w:r>
        <w:t xml:space="preserve"> and mainstream programs not being designed to be accessible to people with disability (Wilson et al., 2021)</w:t>
      </w:r>
      <w:r w:rsidRPr="0027194D">
        <w:t>.</w:t>
      </w:r>
    </w:p>
    <w:p w14:paraId="615B505E" w14:textId="77777777" w:rsidR="00997F31" w:rsidRPr="00FB5E9B" w:rsidRDefault="00997F31" w:rsidP="00997F31"/>
    <w:p w14:paraId="4968AED4" w14:textId="77777777" w:rsidR="003A5C4A" w:rsidRDefault="003A5C4A" w:rsidP="003A5C4A">
      <w:pPr>
        <w:pStyle w:val="Heading2"/>
      </w:pPr>
      <w:r>
        <w:t>Wages, pensions and ‘work capacity’ assessment</w:t>
      </w:r>
    </w:p>
    <w:p w14:paraId="5007C7AB" w14:textId="7B627330" w:rsidR="003A5C4A" w:rsidRDefault="003A5C4A" w:rsidP="003335EA">
      <w:pPr>
        <w:pStyle w:val="Normal4"/>
      </w:pPr>
      <w:r w:rsidRPr="00E07786">
        <w:t xml:space="preserve">Wage and pension arrangements, particularly for people with intellectual disability, have functioned to reinforce the bifurcated thinking about employment opportunities and supports. </w:t>
      </w:r>
      <w:r w:rsidR="00EB234E">
        <w:t>Within the Commonwealth labour market system there</w:t>
      </w:r>
      <w:r w:rsidRPr="00E07786">
        <w:t xml:space="preserve"> are usually two levels of eligibility, eligibility for income support and eligibility to employment supports, linked to income support type</w:t>
      </w:r>
      <w:r>
        <w:t xml:space="preserve">. The </w:t>
      </w:r>
      <w:r w:rsidRPr="00174C19">
        <w:t xml:space="preserve">Commonwealth </w:t>
      </w:r>
      <w:r>
        <w:t>uses</w:t>
      </w:r>
      <w:r w:rsidRPr="00174C19">
        <w:t xml:space="preserve"> three types of eligibility testing and streaming for applicants entering employment services and supports: </w:t>
      </w:r>
    </w:p>
    <w:p w14:paraId="5583BDFE" w14:textId="77777777" w:rsidR="003A5C4A" w:rsidRDefault="003A5C4A" w:rsidP="008364E7">
      <w:pPr>
        <w:pStyle w:val="dotpoints"/>
      </w:pPr>
      <w:r w:rsidRPr="00174C19">
        <w:t xml:space="preserve">Job Seeking Classification Instrument (JSCI), </w:t>
      </w:r>
    </w:p>
    <w:p w14:paraId="3A1C8F11" w14:textId="77777777" w:rsidR="003A5C4A" w:rsidRDefault="003A5C4A" w:rsidP="008364E7">
      <w:pPr>
        <w:pStyle w:val="dotpoints"/>
      </w:pPr>
      <w:r w:rsidRPr="00174C19">
        <w:t>Employment Services Assessment (</w:t>
      </w:r>
      <w:proofErr w:type="spellStart"/>
      <w:r w:rsidRPr="00174C19">
        <w:t>ESAt</w:t>
      </w:r>
      <w:proofErr w:type="spellEnd"/>
      <w:r w:rsidRPr="00174C19">
        <w:t xml:space="preserve">), </w:t>
      </w:r>
    </w:p>
    <w:p w14:paraId="74A95830" w14:textId="77777777" w:rsidR="003A5C4A" w:rsidRPr="00174C19" w:rsidRDefault="003A5C4A" w:rsidP="008364E7">
      <w:pPr>
        <w:pStyle w:val="dotpoints"/>
      </w:pPr>
      <w:r w:rsidRPr="00174C19">
        <w:t>Job Capacity Assessment (JCA)</w:t>
      </w:r>
      <w:r>
        <w:t xml:space="preserve">, </w:t>
      </w:r>
      <w:r w:rsidRPr="00174C19">
        <w:t>i.e. number of hours able to be worked each week.</w:t>
      </w:r>
    </w:p>
    <w:p w14:paraId="1FA9218D" w14:textId="73776C88" w:rsidR="003A5C4A" w:rsidRPr="00174C19" w:rsidRDefault="003A5C4A" w:rsidP="003335EA">
      <w:pPr>
        <w:pStyle w:val="Normal4"/>
      </w:pPr>
      <w:r>
        <w:t xml:space="preserve">Based on these </w:t>
      </w:r>
      <w:r w:rsidRPr="00174C19">
        <w:t>assessment</w:t>
      </w:r>
      <w:r>
        <w:t>s</w:t>
      </w:r>
      <w:r w:rsidRPr="00174C19">
        <w:t xml:space="preserve">, access to </w:t>
      </w:r>
      <w:r w:rsidR="0046198C">
        <w:t xml:space="preserve">Commonwealth-funded </w:t>
      </w:r>
      <w:r w:rsidRPr="00174C19">
        <w:t>employment supports is determined by a complex set of cascading eligibility criteria including:</w:t>
      </w:r>
    </w:p>
    <w:p w14:paraId="3678D84B" w14:textId="77777777" w:rsidR="003A5C4A" w:rsidRPr="00174C19" w:rsidRDefault="003A5C4A" w:rsidP="008364E7">
      <w:pPr>
        <w:pStyle w:val="dotpoints"/>
      </w:pPr>
      <w:r w:rsidRPr="00174C19">
        <w:t>type of income support benefit (related to capacity to work, i.e. number of hours per week)</w:t>
      </w:r>
    </w:p>
    <w:p w14:paraId="550E8651" w14:textId="306266C1" w:rsidR="003A5C4A" w:rsidRPr="00174C19" w:rsidRDefault="003A5C4A" w:rsidP="008364E7">
      <w:pPr>
        <w:pStyle w:val="dotpoints"/>
      </w:pPr>
      <w:r w:rsidRPr="00174C19">
        <w:t xml:space="preserve">mutual obligation </w:t>
      </w:r>
      <w:r w:rsidR="008E46DB">
        <w:t>requirements</w:t>
      </w:r>
      <w:r>
        <w:t xml:space="preserve"> (</w:t>
      </w:r>
      <w:r w:rsidR="00F8314E">
        <w:t>applied variably depending on type of</w:t>
      </w:r>
      <w:r>
        <w:t xml:space="preserve"> eligib</w:t>
      </w:r>
      <w:r w:rsidR="00F8314E">
        <w:t>ility</w:t>
      </w:r>
      <w:r>
        <w:t xml:space="preserve"> for Disability Support Pension)</w:t>
      </w:r>
    </w:p>
    <w:p w14:paraId="2943BFCC" w14:textId="16329E58" w:rsidR="003A5C4A" w:rsidRPr="00174C19" w:rsidRDefault="003A5C4A" w:rsidP="008364E7">
      <w:pPr>
        <w:pStyle w:val="dotpoints"/>
      </w:pPr>
      <w:r w:rsidRPr="00174C19">
        <w:t xml:space="preserve">cohort factors specific to each </w:t>
      </w:r>
      <w:r>
        <w:t>type of active labour market program/employment service</w:t>
      </w:r>
    </w:p>
    <w:p w14:paraId="2721BDF1" w14:textId="77777777" w:rsidR="003A5C4A" w:rsidRPr="00174C19" w:rsidRDefault="003A5C4A" w:rsidP="008364E7">
      <w:pPr>
        <w:pStyle w:val="dotpoints"/>
      </w:pPr>
      <w:r>
        <w:t xml:space="preserve">which employment service is then identified as the </w:t>
      </w:r>
      <w:r w:rsidRPr="00174C19">
        <w:t xml:space="preserve">primary ‘gateway’ </w:t>
      </w:r>
      <w:r>
        <w:t>for the recipient</w:t>
      </w:r>
      <w:r w:rsidRPr="00174C19">
        <w:t xml:space="preserve">, (such as </w:t>
      </w:r>
      <w:proofErr w:type="spellStart"/>
      <w:r w:rsidRPr="00174C19">
        <w:t>jobactive</w:t>
      </w:r>
      <w:proofErr w:type="spellEnd"/>
      <w:r w:rsidRPr="00174C19">
        <w:t xml:space="preserve">), which </w:t>
      </w:r>
      <w:r>
        <w:t xml:space="preserve">then </w:t>
      </w:r>
      <w:r w:rsidRPr="00174C19">
        <w:t xml:space="preserve">enables or </w:t>
      </w:r>
      <w:r>
        <w:t xml:space="preserve">closes off </w:t>
      </w:r>
      <w:r w:rsidRPr="00174C19">
        <w:t xml:space="preserve">access to further employment </w:t>
      </w:r>
      <w:r>
        <w:t>services (Wilson et al., 2021)</w:t>
      </w:r>
      <w:r w:rsidRPr="00174C19">
        <w:t xml:space="preserve">. </w:t>
      </w:r>
    </w:p>
    <w:p w14:paraId="54808F4E" w14:textId="3C02CFBB" w:rsidR="003A5C4A" w:rsidRDefault="003A5C4A" w:rsidP="003335EA">
      <w:pPr>
        <w:pStyle w:val="Normal4"/>
      </w:pPr>
      <w:r>
        <w:t xml:space="preserve">The range and number of employment service types available via the Commonwealth diminishes with lower levels of assessed work </w:t>
      </w:r>
      <w:r w:rsidR="006517AE">
        <w:t>capacity and</w:t>
      </w:r>
      <w:r>
        <w:t xml:space="preserve"> is automatically narrowed by becoming a Disability Support Pension recipient (who, to be eligible, are unable to work more than 15 hours per week). Those assessed as able to work less than 8 hours per week are only eligible for ADE employment services or to fund other services from their NDIS package if they have employment related funding </w:t>
      </w:r>
      <w:r>
        <w:lastRenderedPageBreak/>
        <w:t>allocated. People working less than 8 hours per week, and employers who employ them, are also not eligible for the Commonwealth’s Employment Assistance Fund</w:t>
      </w:r>
      <w:r w:rsidR="00C565AA">
        <w:t xml:space="preserve"> (via </w:t>
      </w:r>
      <w:proofErr w:type="spellStart"/>
      <w:r w:rsidR="00C565AA">
        <w:t>JobAccess</w:t>
      </w:r>
      <w:proofErr w:type="spellEnd"/>
      <w:r w:rsidR="00C565AA">
        <w:t>)</w:t>
      </w:r>
      <w:r>
        <w:t xml:space="preserve">. Criteria that </w:t>
      </w:r>
      <w:proofErr w:type="gramStart"/>
      <w:r>
        <w:t>restricts</w:t>
      </w:r>
      <w:proofErr w:type="gramEnd"/>
      <w:r>
        <w:t xml:space="preserve"> entry to employment supports based on number of hours worked per week is likely to mean that those most in need of employment support are routinely ineligible for it.</w:t>
      </w:r>
    </w:p>
    <w:p w14:paraId="63068B7C" w14:textId="41ADAC50" w:rsidR="003A5C4A" w:rsidRPr="0027179B" w:rsidRDefault="003A5C4A" w:rsidP="003335EA">
      <w:pPr>
        <w:pStyle w:val="Normal4"/>
      </w:pPr>
      <w:r>
        <w:t xml:space="preserve">As </w:t>
      </w:r>
      <w:proofErr w:type="gramStart"/>
      <w:r>
        <w:t>at</w:t>
      </w:r>
      <w:proofErr w:type="gramEnd"/>
      <w:r>
        <w:t xml:space="preserve"> June 2021, there were approximately 753,000 recipients of Disability Support Pension (Productivity Commission, 2022). People with intellectual disability are manifestly entitled to Disability Support Pension (DSP) as income support. While the 1991 Disability Reform Package enabled those receiving the DSP to supplement the pension with part time work (Cheng et al.</w:t>
      </w:r>
      <w:r w:rsidR="00493ED0">
        <w:t>,</w:t>
      </w:r>
      <w:r>
        <w:t xml:space="preserve"> 2018), work is currently capped at 30 hours per week and income support payments diminish on a pro rata basis commensurate with wage income. Critiques are frequently made of the way the DSP functions to disincentivise employment, particularly open </w:t>
      </w:r>
      <w:r w:rsidR="00E64F78">
        <w:t xml:space="preserve">or full wage </w:t>
      </w:r>
      <w:r>
        <w:t>employment. This is made more complex by different rules that apply to work in ADE settings. Hours of work limits for DSP recipients are not applied to work in ADEs (and data shows that a substantial proportion of people on DSP working in ADEs work more than 30 hours per week</w:t>
      </w:r>
      <w:r w:rsidR="0099283A">
        <w:t xml:space="preserve"> though are paid a pro rata wage</w:t>
      </w:r>
      <w:r>
        <w:t>) and t</w:t>
      </w:r>
      <w:r w:rsidRPr="0027179B">
        <w:t>hose on DSP are exempt from periodic eligibility reviews if working in an ADE or receiving a supported wage (NDIA, 2020).</w:t>
      </w:r>
    </w:p>
    <w:p w14:paraId="0D220052" w14:textId="16302F3E" w:rsidR="003A5C4A" w:rsidRDefault="003A5C4A" w:rsidP="003335EA">
      <w:pPr>
        <w:pStyle w:val="Normal4"/>
        <w:rPr>
          <w:sz w:val="23"/>
          <w:szCs w:val="23"/>
        </w:rPr>
      </w:pPr>
      <w:r>
        <w:t xml:space="preserve">Notions of work ‘capacity’ align with notions of ‘competency’ and ‘productivity’ leading to a system of legalised ‘subminimum wages’ (the term used in the United States) comprised of pro rata wages applied to people assessed as having reduced productivity. The Supported Wage System (SWS), established in 1994, is one of several pro </w:t>
      </w:r>
      <w:proofErr w:type="gramStart"/>
      <w:r>
        <w:t>rata</w:t>
      </w:r>
      <w:proofErr w:type="gramEnd"/>
      <w:r>
        <w:t xml:space="preserve"> or productivity based wage systems in operation, all based on diverse assessments of productivity and/or competency. The SWS ‘a</w:t>
      </w:r>
      <w:r>
        <w:rPr>
          <w:sz w:val="23"/>
          <w:szCs w:val="23"/>
        </w:rPr>
        <w:t>llowed employers to pay a pro-rata wage to workers unable to work at full productivity,</w:t>
      </w:r>
      <w:r>
        <w:t xml:space="preserve"> </w:t>
      </w:r>
      <w:r>
        <w:rPr>
          <w:sz w:val="23"/>
          <w:szCs w:val="23"/>
        </w:rPr>
        <w:t>based on an independently assessed productivity rate’ (Cheng et al., 2017, p. 318). Supported wages can be paid in both open and supported employment.</w:t>
      </w:r>
      <w:r w:rsidR="00300434">
        <w:rPr>
          <w:sz w:val="23"/>
          <w:szCs w:val="23"/>
        </w:rPr>
        <w:t xml:space="preserve"> </w:t>
      </w:r>
      <w:r w:rsidR="00C45A30">
        <w:rPr>
          <w:sz w:val="23"/>
          <w:szCs w:val="23"/>
        </w:rPr>
        <w:t>The</w:t>
      </w:r>
      <w:r>
        <w:rPr>
          <w:sz w:val="23"/>
          <w:szCs w:val="23"/>
        </w:rPr>
        <w:t xml:space="preserve"> Supported Wage System</w:t>
      </w:r>
      <w:r w:rsidR="005777EC">
        <w:rPr>
          <w:sz w:val="23"/>
          <w:szCs w:val="23"/>
        </w:rPr>
        <w:t xml:space="preserve"> (SWS)</w:t>
      </w:r>
      <w:r>
        <w:rPr>
          <w:sz w:val="23"/>
          <w:szCs w:val="23"/>
        </w:rPr>
        <w:t xml:space="preserve"> is </w:t>
      </w:r>
      <w:r w:rsidR="00C45A30">
        <w:rPr>
          <w:sz w:val="23"/>
          <w:szCs w:val="23"/>
        </w:rPr>
        <w:t xml:space="preserve">the mechanism </w:t>
      </w:r>
      <w:r>
        <w:rPr>
          <w:sz w:val="23"/>
          <w:szCs w:val="23"/>
        </w:rPr>
        <w:t xml:space="preserve">used in open employment, </w:t>
      </w:r>
      <w:r w:rsidR="00C45A30">
        <w:rPr>
          <w:sz w:val="23"/>
          <w:szCs w:val="23"/>
        </w:rPr>
        <w:t>and</w:t>
      </w:r>
      <w:r>
        <w:rPr>
          <w:sz w:val="23"/>
          <w:szCs w:val="23"/>
        </w:rPr>
        <w:t xml:space="preserve"> </w:t>
      </w:r>
    </w:p>
    <w:p w14:paraId="6C730F52" w14:textId="1FE7E040" w:rsidR="003A5C4A" w:rsidRPr="00317F95" w:rsidRDefault="003A5C4A" w:rsidP="00903D8E">
      <w:pPr>
        <w:pStyle w:val="Quote"/>
      </w:pPr>
      <w:r w:rsidRPr="00317F95">
        <w:rPr>
          <w:rStyle w:val="normaltextrun"/>
          <w:rFonts w:cs="Calibri"/>
        </w:rPr>
        <w:t>applies to employees with disability and who have a reduced</w:t>
      </w:r>
      <w:r w:rsidRPr="00317F95">
        <w:rPr>
          <w:rStyle w:val="scxw219621689"/>
          <w:rFonts w:cs="Calibri"/>
        </w:rPr>
        <w:t> </w:t>
      </w:r>
      <w:r w:rsidRPr="00317F95">
        <w:rPr>
          <w:rStyle w:val="normaltextrun"/>
          <w:rFonts w:cs="Calibri"/>
        </w:rPr>
        <w:t>work capacity. If an employee is covered by an award or registered</w:t>
      </w:r>
      <w:r w:rsidRPr="00317F95">
        <w:rPr>
          <w:rStyle w:val="scxw219621689"/>
          <w:rFonts w:cs="Calibri"/>
        </w:rPr>
        <w:t> </w:t>
      </w:r>
      <w:r w:rsidRPr="00317F95">
        <w:rPr>
          <w:rStyle w:val="normaltextrun"/>
          <w:rFonts w:cs="Calibri"/>
        </w:rPr>
        <w:t>agreement, a supported wage can only be paid if the award or</w:t>
      </w:r>
      <w:r w:rsidRPr="00317F95">
        <w:rPr>
          <w:rStyle w:val="scxw219621689"/>
          <w:rFonts w:cs="Calibri"/>
        </w:rPr>
        <w:t> </w:t>
      </w:r>
      <w:r w:rsidRPr="00317F95">
        <w:rPr>
          <w:rStyle w:val="normaltextrun"/>
          <w:rFonts w:cs="Calibri"/>
        </w:rPr>
        <w:t>agreement has SWS provisions. Where an award or agreement has</w:t>
      </w:r>
      <w:r w:rsidRPr="00317F95">
        <w:rPr>
          <w:rStyle w:val="scxw219621689"/>
          <w:rFonts w:cs="Calibri"/>
        </w:rPr>
        <w:t> </w:t>
      </w:r>
      <w:r w:rsidRPr="00317F95">
        <w:rPr>
          <w:rStyle w:val="normaltextrun"/>
          <w:rFonts w:cs="Calibri"/>
        </w:rPr>
        <w:t>SWS provisions, an eligible employee is entitled to a percentage of</w:t>
      </w:r>
      <w:r w:rsidRPr="00317F95">
        <w:rPr>
          <w:rStyle w:val="scxw219621689"/>
          <w:rFonts w:cs="Calibri"/>
        </w:rPr>
        <w:t> </w:t>
      </w:r>
      <w:r w:rsidRPr="00317F95">
        <w:rPr>
          <w:rStyle w:val="normaltextrun"/>
          <w:rFonts w:cs="Calibri"/>
        </w:rPr>
        <w:t>the minimum pay rate for their classification, depending on their</w:t>
      </w:r>
      <w:r w:rsidRPr="00317F95">
        <w:rPr>
          <w:rStyle w:val="scxw219621689"/>
          <w:rFonts w:cs="Calibri"/>
        </w:rPr>
        <w:t> </w:t>
      </w:r>
      <w:r w:rsidRPr="00317F95">
        <w:rPr>
          <w:rStyle w:val="normaltextrun"/>
          <w:rFonts w:cs="Calibri"/>
        </w:rPr>
        <w:t>assessed work capacity</w:t>
      </w:r>
      <w:r>
        <w:rPr>
          <w:rStyle w:val="normaltextrun"/>
          <w:rFonts w:cs="Calibri"/>
        </w:rPr>
        <w:t xml:space="preserve"> (</w:t>
      </w:r>
      <w:r>
        <w:rPr>
          <w:sz w:val="23"/>
          <w:szCs w:val="23"/>
        </w:rPr>
        <w:t>NDIA, 2020, p.</w:t>
      </w:r>
      <w:r w:rsidR="004D0C51">
        <w:rPr>
          <w:sz w:val="23"/>
          <w:szCs w:val="23"/>
        </w:rPr>
        <w:t xml:space="preserve"> </w:t>
      </w:r>
      <w:r>
        <w:rPr>
          <w:sz w:val="23"/>
          <w:szCs w:val="23"/>
        </w:rPr>
        <w:t>4)</w:t>
      </w:r>
      <w:r w:rsidRPr="00317F95">
        <w:rPr>
          <w:rStyle w:val="normaltextrun"/>
          <w:rFonts w:cs="Calibri"/>
        </w:rPr>
        <w:t>.</w:t>
      </w:r>
    </w:p>
    <w:p w14:paraId="151FAC36" w14:textId="3E44D2FC" w:rsidR="003A5C4A" w:rsidRDefault="003A5C4A" w:rsidP="003335EA">
      <w:pPr>
        <w:pStyle w:val="Normal4"/>
      </w:pPr>
      <w:r>
        <w:t>Where employees are not covered by an award or national agreement, the national minimum wage or a pro rate wage for assessed work capacity is paid. The wage floor in such circumstances is $95 per week (Fair Work Commission, n.d</w:t>
      </w:r>
      <w:r w:rsidR="008677D7">
        <w:t>.</w:t>
      </w:r>
      <w:r>
        <w:t xml:space="preserve">). </w:t>
      </w:r>
    </w:p>
    <w:p w14:paraId="7B1E4AFC" w14:textId="77777777" w:rsidR="003A5C4A" w:rsidRDefault="003A5C4A" w:rsidP="003335EA">
      <w:pPr>
        <w:pStyle w:val="Normal4"/>
        <w:rPr>
          <w:rFonts w:cstheme="minorHAnsi"/>
        </w:rPr>
      </w:pPr>
      <w:r>
        <w:t xml:space="preserve">Pro rata wages have also been a feature of supported employment (ADEs). The Supported Employment Services Award (SESA) 2002 is </w:t>
      </w:r>
      <w:r w:rsidRPr="00341571">
        <w:rPr>
          <w:rFonts w:cstheme="minorHAnsi"/>
        </w:rPr>
        <w:t>the current award for supported</w:t>
      </w:r>
      <w:r>
        <w:rPr>
          <w:rFonts w:cstheme="minorHAnsi"/>
        </w:rPr>
        <w:t xml:space="preserve"> </w:t>
      </w:r>
      <w:r w:rsidRPr="00341571">
        <w:rPr>
          <w:rFonts w:cstheme="minorHAnsi"/>
        </w:rPr>
        <w:t>employment</w:t>
      </w:r>
      <w:r>
        <w:rPr>
          <w:rFonts w:cstheme="minorHAnsi"/>
        </w:rPr>
        <w:t>,</w:t>
      </w:r>
      <w:r w:rsidRPr="00341571">
        <w:rPr>
          <w:rFonts w:cstheme="minorHAnsi"/>
        </w:rPr>
        <w:t xml:space="preserve"> </w:t>
      </w:r>
    </w:p>
    <w:p w14:paraId="542FAEAA" w14:textId="77777777" w:rsidR="003A5C4A" w:rsidRPr="00CB2CAA" w:rsidRDefault="003A5C4A" w:rsidP="00903D8E">
      <w:pPr>
        <w:pStyle w:val="Quote"/>
        <w:rPr>
          <w:sz w:val="23"/>
          <w:szCs w:val="23"/>
        </w:rPr>
      </w:pPr>
      <w:r w:rsidRPr="00341571">
        <w:t>it covers most Australian</w:t>
      </w:r>
      <w:r>
        <w:t xml:space="preserve"> </w:t>
      </w:r>
      <w:r w:rsidRPr="00341571">
        <w:t>Disability Enterprises (ADEs).</w:t>
      </w:r>
      <w:r>
        <w:t xml:space="preserve"> </w:t>
      </w:r>
      <w:r w:rsidRPr="00341571">
        <w:t>The Award allows</w:t>
      </w:r>
      <w:r>
        <w:t xml:space="preserve"> </w:t>
      </w:r>
      <w:r w:rsidRPr="00341571">
        <w:t>ADEs to pay pro-rata wages to eligible workers</w:t>
      </w:r>
      <w:r>
        <w:t xml:space="preserve"> </w:t>
      </w:r>
      <w:r w:rsidRPr="00341571">
        <w:t>with disability, calculated using an approved</w:t>
      </w:r>
      <w:r>
        <w:t xml:space="preserve"> </w:t>
      </w:r>
      <w:r w:rsidRPr="00341571">
        <w:t>wage assessment tool</w:t>
      </w:r>
      <w:r>
        <w:t xml:space="preserve"> (DSS, 2018, p. 40).</w:t>
      </w:r>
    </w:p>
    <w:p w14:paraId="444C992F" w14:textId="5136BE0C" w:rsidR="003A5C4A" w:rsidRDefault="005777EC" w:rsidP="003335EA">
      <w:pPr>
        <w:pStyle w:val="Normal4"/>
      </w:pPr>
      <w:r>
        <w:t>T</w:t>
      </w:r>
      <w:r w:rsidR="003A5C4A">
        <w:t>he SWS can also be used under the SESA under certain conditions (DES, 2021</w:t>
      </w:r>
      <w:r w:rsidR="00103A89">
        <w:t>a</w:t>
      </w:r>
      <w:r w:rsidR="003A5C4A">
        <w:t>). DSS reported in 2018 that there were then 29 different wage assessment tools in the Award. The SESA provides a wage floor of 12.5% of the relevant minimum wage for the appropriate classification (Fair Work Commission, n.d</w:t>
      </w:r>
      <w:r w:rsidR="00B138B5">
        <w:t>.</w:t>
      </w:r>
      <w:r w:rsidR="003A5C4A">
        <w:t xml:space="preserve">). The Draft Determination of the Fair Work Commission (2022) in reviewing the </w:t>
      </w:r>
      <w:r w:rsidR="003A5C4A">
        <w:lastRenderedPageBreak/>
        <w:t>SESA 2020, identifies the lowest hourly rate for the lowest pay grade to be $4.75, or for those subject to the Supported Wage System, $2.75 per hour (Fair Work Commission, 2022).</w:t>
      </w:r>
    </w:p>
    <w:p w14:paraId="499D695B" w14:textId="61F7CF39" w:rsidR="003A5C4A" w:rsidRDefault="003A5C4A" w:rsidP="003335EA">
      <w:pPr>
        <w:pStyle w:val="Normal4"/>
      </w:pPr>
      <w:r>
        <w:t>This significantly low level of wage has been an ongoing source of critique of ADEs, where pro rata wages are common. As noted by the Association for Employees with a Disability (AED) in its recent submission to the Fair Work Commission</w:t>
      </w:r>
      <w:r w:rsidR="00F9527A">
        <w:t>:</w:t>
      </w:r>
    </w:p>
    <w:p w14:paraId="36DF9443" w14:textId="673CCA30" w:rsidR="003A5C4A" w:rsidRPr="002661E9" w:rsidRDefault="003A5C4A" w:rsidP="00903D8E">
      <w:pPr>
        <w:pStyle w:val="Quote"/>
      </w:pPr>
      <w:r w:rsidRPr="00FD3D5F">
        <w:t>Disabled ADE employees are the lowest paid in the modern award system, lower even</w:t>
      </w:r>
      <w:r>
        <w:t xml:space="preserve"> </w:t>
      </w:r>
      <w:r w:rsidRPr="00FD3D5F">
        <w:t>than those covered by the second special national minimum wage</w:t>
      </w:r>
      <w:r>
        <w:t xml:space="preserve"> … [which] </w:t>
      </w:r>
      <w:r w:rsidRPr="002661E9">
        <w:t>reinforces a</w:t>
      </w:r>
      <w:r>
        <w:t xml:space="preserve"> </w:t>
      </w:r>
      <w:r w:rsidRPr="002661E9">
        <w:t>social status which is incompatible with the human rights of the employees</w:t>
      </w:r>
      <w:r>
        <w:t xml:space="preserve">… </w:t>
      </w:r>
      <w:r w:rsidRPr="002661E9">
        <w:t>The outcome is an inferior form of workforce participation</w:t>
      </w:r>
      <w:r>
        <w:t xml:space="preserve"> (AED, 2022, p</w:t>
      </w:r>
      <w:r w:rsidR="00D544FC">
        <w:t>p</w:t>
      </w:r>
      <w:r>
        <w:t>. 9</w:t>
      </w:r>
      <w:r w:rsidR="00F9258B">
        <w:t>-</w:t>
      </w:r>
      <w:r>
        <w:t>10).</w:t>
      </w:r>
    </w:p>
    <w:p w14:paraId="3A479DC4" w14:textId="00F42599" w:rsidR="003A5C4A" w:rsidRDefault="003A5C4A" w:rsidP="003335EA">
      <w:pPr>
        <w:pStyle w:val="Normal4"/>
      </w:pPr>
      <w:r>
        <w:t xml:space="preserve">Pro rate wages have largely been seen as being co-dependent on employees also being in receipt of DSP (though receipt of DSP is not a formal requirement of the SWS). In recent times, there has been discussion about different models to provide a ‘living’ or ‘fair’ wage linked to ideas such as universal basic income, and a restructuring of the DSP for workers with low ‘productivity’ to become a form of wage subsidy </w:t>
      </w:r>
      <w:r w:rsidR="00F9527A">
        <w:t>to support the</w:t>
      </w:r>
      <w:r>
        <w:t xml:space="preserve"> payment of award or minimum wage levels (AFDO, 2018; DSS, 2018). </w:t>
      </w:r>
    </w:p>
    <w:p w14:paraId="687C305B" w14:textId="7F3E8DA9" w:rsidR="003A5C4A" w:rsidRPr="00D71A81" w:rsidRDefault="003A5C4A" w:rsidP="003335EA">
      <w:pPr>
        <w:pStyle w:val="Normal4"/>
      </w:pPr>
      <w:r>
        <w:t>Any kind of allocation of wage, income support or employment service based on assessment of work capacity is underpinned by concepts of ‘capacity’</w:t>
      </w:r>
      <w:r w:rsidR="008069CE">
        <w:t>, ‘competency’</w:t>
      </w:r>
      <w:r>
        <w:t xml:space="preserve"> and ‘productivity’. These have received significant scholarly and legal debate</w:t>
      </w:r>
      <w:r w:rsidR="00D71A81">
        <w:t xml:space="preserve">. </w:t>
      </w:r>
      <w:r>
        <w:t>International literature related to efficacy of models to support the employment of people with disability has critiqued these approaches as aligned to a biomedical model of disability (based on decontextualised assessments of physical and cognitive function linked to diagnosis). Internationally, and in Australia, there has been a level of critique of de-contextualised, predictive work capacity assessments (</w:t>
      </w:r>
      <w:r w:rsidR="00F9527A">
        <w:t xml:space="preserve">for example, </w:t>
      </w:r>
      <w:r>
        <w:t>AFDO, 2018; Dyson</w:t>
      </w:r>
      <w:r w:rsidR="00F25299">
        <w:t xml:space="preserve"> et al.,</w:t>
      </w:r>
      <w:r>
        <w:t xml:space="preserve"> 2016). International commentators overwhelmingly endorse </w:t>
      </w:r>
      <w:r w:rsidRPr="00076820">
        <w:rPr>
          <w:szCs w:val="20"/>
        </w:rPr>
        <w:t xml:space="preserve">a biopsychosocial approach. </w:t>
      </w:r>
    </w:p>
    <w:p w14:paraId="7F58102F" w14:textId="275EC9F8" w:rsidR="003A5C4A" w:rsidRDefault="003A5C4A" w:rsidP="00903D8E">
      <w:pPr>
        <w:pStyle w:val="Quote"/>
        <w:rPr>
          <w:rStyle w:val="markedcontent"/>
          <w:rFonts w:cs="Arial"/>
        </w:rPr>
      </w:pPr>
      <w:r w:rsidRPr="00076820">
        <w:rPr>
          <w:szCs w:val="20"/>
        </w:rPr>
        <w:t>This distinguishes between the impairment (</w:t>
      </w:r>
      <w:proofErr w:type="gramStart"/>
      <w:r w:rsidRPr="00076820">
        <w:rPr>
          <w:szCs w:val="20"/>
        </w:rPr>
        <w:t>i.e.</w:t>
      </w:r>
      <w:proofErr w:type="gramEnd"/>
      <w:r w:rsidRPr="00076820">
        <w:rPr>
          <w:szCs w:val="20"/>
        </w:rPr>
        <w:t xml:space="preserve"> the ‘</w:t>
      </w:r>
      <w:r w:rsidRPr="00076820">
        <w:rPr>
          <w:rStyle w:val="markedcontent"/>
          <w:rFonts w:cs="Arial"/>
        </w:rPr>
        <w:t>problem in body function or structure’), and the ‘restrictions’ to participation in employment that are the result of the combination of the impairment with other individual factors and broader environmental and social factors (WHO, 2002, p. 10)</w:t>
      </w:r>
      <w:r>
        <w:rPr>
          <w:rStyle w:val="markedcontent"/>
          <w:rFonts w:cs="Arial"/>
        </w:rPr>
        <w:t xml:space="preserve"> (Wilson et al., 2021, p.</w:t>
      </w:r>
      <w:r w:rsidR="00407E93">
        <w:rPr>
          <w:rStyle w:val="markedcontent"/>
          <w:rFonts w:cs="Arial"/>
        </w:rPr>
        <w:t xml:space="preserve"> </w:t>
      </w:r>
      <w:r>
        <w:rPr>
          <w:rStyle w:val="markedcontent"/>
          <w:rFonts w:cs="Arial"/>
        </w:rPr>
        <w:t>21)</w:t>
      </w:r>
      <w:r w:rsidR="00407E93">
        <w:rPr>
          <w:rStyle w:val="markedcontent"/>
          <w:rFonts w:cs="Arial"/>
        </w:rPr>
        <w:t>.</w:t>
      </w:r>
    </w:p>
    <w:p w14:paraId="7071E850" w14:textId="662201D8" w:rsidR="003A5C4A" w:rsidRDefault="003A5C4A" w:rsidP="003335EA">
      <w:pPr>
        <w:pStyle w:val="Normal4"/>
      </w:pPr>
      <w:r>
        <w:t>The biopsychosocial approach focuses assessment on ‘</w:t>
      </w:r>
      <w:r w:rsidRPr="00076820">
        <w:t>identifying the wide diversity of factors restricting work participation</w:t>
      </w:r>
      <w:r>
        <w:t>’ (Wilson et al.</w:t>
      </w:r>
      <w:r w:rsidR="00493ED0">
        <w:t>,</w:t>
      </w:r>
      <w:r>
        <w:t xml:space="preserve"> 2021, p.</w:t>
      </w:r>
      <w:r w:rsidR="00903D8E">
        <w:t xml:space="preserve"> </w:t>
      </w:r>
      <w:r>
        <w:t>21), rather than locating ‘capacity’ in the impairments of the individual</w:t>
      </w:r>
      <w:r w:rsidRPr="00076820">
        <w:t xml:space="preserve">. </w:t>
      </w:r>
      <w:r>
        <w:t>Using a human rights lens then requires the remediation of</w:t>
      </w:r>
      <w:r w:rsidR="00F9527A">
        <w:t xml:space="preserve"> these</w:t>
      </w:r>
      <w:r w:rsidR="00300434">
        <w:t xml:space="preserve"> </w:t>
      </w:r>
      <w:r>
        <w:t>barriers through</w:t>
      </w:r>
      <w:r w:rsidRPr="00076820">
        <w:t xml:space="preserve"> provision of accommodations</w:t>
      </w:r>
      <w:r w:rsidR="00CA76BF">
        <w:t>/adjustments</w:t>
      </w:r>
      <w:r w:rsidRPr="00076820">
        <w:t xml:space="preserve"> and supports. </w:t>
      </w:r>
    </w:p>
    <w:p w14:paraId="5CEA2E09" w14:textId="77777777" w:rsidR="003A5C4A" w:rsidRDefault="003A5C4A" w:rsidP="00903D8E">
      <w:pPr>
        <w:pStyle w:val="Quote"/>
        <w:rPr>
          <w:lang w:val="en-US"/>
        </w:rPr>
      </w:pPr>
      <w:r w:rsidRPr="00076820">
        <w:rPr>
          <w:lang w:val="en-US"/>
        </w:rPr>
        <w:t xml:space="preserve">Of importance in the CRPD, is that all people with disability, regardless of type and severity, have the same entitlements to employment and should be offered sufficient supports and adaptations to achieve it </w:t>
      </w:r>
      <w:r w:rsidRPr="00076820">
        <w:rPr>
          <w:rFonts w:cs="AdvOT46dcae81"/>
          <w:color w:val="000000"/>
        </w:rPr>
        <w:t>(</w:t>
      </w:r>
      <w:r>
        <w:rPr>
          <w:rFonts w:cs="AdvOT46dcae81"/>
          <w:color w:val="000000"/>
        </w:rPr>
        <w:t xml:space="preserve">Wilson et al., 2021, p. 21, citing </w:t>
      </w:r>
      <w:proofErr w:type="spellStart"/>
      <w:r w:rsidRPr="00076820">
        <w:rPr>
          <w:rFonts w:cs="AdvOT46dcae81"/>
          <w:color w:val="000000"/>
        </w:rPr>
        <w:t>Harpur</w:t>
      </w:r>
      <w:proofErr w:type="spellEnd"/>
      <w:r w:rsidRPr="00076820">
        <w:rPr>
          <w:rFonts w:cs="AdvOT46dcae81"/>
          <w:color w:val="000000"/>
        </w:rPr>
        <w:t xml:space="preserve"> et al., 2017</w:t>
      </w:r>
      <w:r>
        <w:rPr>
          <w:rFonts w:cs="AdvOT46dcae81"/>
          <w:color w:val="000000"/>
        </w:rPr>
        <w:t>)</w:t>
      </w:r>
      <w:r w:rsidRPr="00076820">
        <w:rPr>
          <w:lang w:val="en-US"/>
        </w:rPr>
        <w:t xml:space="preserve">. </w:t>
      </w:r>
    </w:p>
    <w:p w14:paraId="1EF4FB8B" w14:textId="77777777" w:rsidR="003A5C4A" w:rsidRDefault="003A5C4A" w:rsidP="003335EA">
      <w:pPr>
        <w:pStyle w:val="Normal4"/>
        <w:rPr>
          <w:lang w:val="en-US"/>
        </w:rPr>
      </w:pPr>
      <w:r>
        <w:rPr>
          <w:lang w:val="en-US"/>
        </w:rPr>
        <w:t>The biopsychosocial approach fundamentally reshapes the way ‘work capacity’ is understood</w:t>
      </w:r>
      <w:r w:rsidRPr="00076820">
        <w:rPr>
          <w:lang w:val="en-US"/>
        </w:rPr>
        <w:t xml:space="preserve"> </w:t>
      </w:r>
      <w:r>
        <w:rPr>
          <w:lang w:val="en-US"/>
        </w:rPr>
        <w:t>and requires a wide range of employment supports to be offered to all people with disability to best address the barriers to work experienced by the individual.</w:t>
      </w:r>
    </w:p>
    <w:p w14:paraId="3762C908" w14:textId="154A9C69" w:rsidR="003A5C4A" w:rsidRDefault="003A5C4A" w:rsidP="003335EA">
      <w:pPr>
        <w:pStyle w:val="Normal4"/>
        <w:rPr>
          <w:lang w:val="en-US"/>
        </w:rPr>
      </w:pPr>
      <w:r>
        <w:rPr>
          <w:lang w:val="en-US"/>
        </w:rPr>
        <w:t xml:space="preserve">This focus on the provision of necessary adaptations and supports is consistent with Australia’s </w:t>
      </w:r>
      <w:r w:rsidRPr="009C1423">
        <w:rPr>
          <w:i/>
          <w:iCs/>
          <w:lang w:val="en-US"/>
        </w:rPr>
        <w:t>Disability Discrimination Act 1992</w:t>
      </w:r>
      <w:r>
        <w:rPr>
          <w:lang w:val="en-US"/>
        </w:rPr>
        <w:t xml:space="preserve">, which requires reasonable adjustments to be provided. The </w:t>
      </w:r>
      <w:r>
        <w:rPr>
          <w:i/>
          <w:iCs/>
          <w:lang w:val="en-US"/>
        </w:rPr>
        <w:t>Guide</w:t>
      </w:r>
      <w:r>
        <w:rPr>
          <w:lang w:val="en-US"/>
        </w:rPr>
        <w:t xml:space="preserve"> for SWS identifies that provision of reasonable adjustment</w:t>
      </w:r>
      <w:r w:rsidR="00F8321E">
        <w:rPr>
          <w:lang w:val="en-US"/>
        </w:rPr>
        <w:t xml:space="preserve">s </w:t>
      </w:r>
      <w:r w:rsidR="005567A0">
        <w:rPr>
          <w:lang w:val="en-US"/>
        </w:rPr>
        <w:t>is</w:t>
      </w:r>
      <w:r>
        <w:rPr>
          <w:lang w:val="en-US"/>
        </w:rPr>
        <w:t xml:space="preserve"> required by law and that:</w:t>
      </w:r>
    </w:p>
    <w:p w14:paraId="63C700F6" w14:textId="7253C919" w:rsidR="003A5C4A" w:rsidRDefault="003A5C4A" w:rsidP="00903D8E">
      <w:pPr>
        <w:pStyle w:val="Quote"/>
      </w:pPr>
      <w:r>
        <w:lastRenderedPageBreak/>
        <w:t>S</w:t>
      </w:r>
      <w:r w:rsidRPr="00BF01B4">
        <w:t xml:space="preserve">ometimes reasonable adjustments require more than modifications to the physical working environment. The </w:t>
      </w:r>
      <w:proofErr w:type="gramStart"/>
      <w:r w:rsidRPr="00BF01B4">
        <w:t>manner in which</w:t>
      </w:r>
      <w:proofErr w:type="gramEnd"/>
      <w:r w:rsidRPr="00BF01B4">
        <w:t xml:space="preserve"> reasonable adjustments are made will vary according to the needs of the employee with disability, the nature of the job, the physical setting, and the knowledge of people in the workplace. The provision of an appropriate modification to the workplace could mean the difference between a 60 per cent level of assessed productivity and an 80 per cent level</w:t>
      </w:r>
      <w:r>
        <w:t xml:space="preserve"> (DES, 2021b, p. 16).</w:t>
      </w:r>
    </w:p>
    <w:p w14:paraId="647CBB07" w14:textId="7A796BA7" w:rsidR="003A5C4A" w:rsidRDefault="003A5C4A" w:rsidP="003335EA">
      <w:pPr>
        <w:pStyle w:val="Normal4"/>
      </w:pPr>
      <w:r>
        <w:rPr>
          <w:lang w:val="en-US"/>
        </w:rPr>
        <w:t>Similarly, an assessment of productivity should only occur after the worker with disability has received ‘</w:t>
      </w:r>
      <w:proofErr w:type="spellStart"/>
      <w:r>
        <w:rPr>
          <w:lang w:val="en-US"/>
        </w:rPr>
        <w:t>specialised</w:t>
      </w:r>
      <w:proofErr w:type="spellEnd"/>
      <w:r>
        <w:rPr>
          <w:lang w:val="en-US"/>
        </w:rPr>
        <w:t xml:space="preserve"> on-the-job training’ over a suitable </w:t>
      </w:r>
      <w:proofErr w:type="gramStart"/>
      <w:r>
        <w:rPr>
          <w:lang w:val="en-US"/>
        </w:rPr>
        <w:t>period of time</w:t>
      </w:r>
      <w:proofErr w:type="gramEnd"/>
      <w:r>
        <w:rPr>
          <w:lang w:val="en-US"/>
        </w:rPr>
        <w:t xml:space="preserve"> relevant to the learning needs of the individual (</w:t>
      </w:r>
      <w:r>
        <w:t>DES, 2021b)</w:t>
      </w:r>
      <w:r>
        <w:rPr>
          <w:lang w:val="en-US"/>
        </w:rPr>
        <w:t xml:space="preserve">. The assessment of productivity should also assess the adequacy of job/task </w:t>
      </w:r>
      <w:proofErr w:type="spellStart"/>
      <w:r>
        <w:rPr>
          <w:lang w:val="en-US"/>
        </w:rPr>
        <w:t>customi</w:t>
      </w:r>
      <w:r w:rsidR="00300434">
        <w:rPr>
          <w:lang w:val="en-US"/>
        </w:rPr>
        <w:t>s</w:t>
      </w:r>
      <w:r>
        <w:rPr>
          <w:lang w:val="en-US"/>
        </w:rPr>
        <w:t>ation</w:t>
      </w:r>
      <w:proofErr w:type="spellEnd"/>
      <w:r>
        <w:rPr>
          <w:lang w:val="en-US"/>
        </w:rPr>
        <w:t xml:space="preserve"> to match the strengths of the individual (DES, 2021b). In this context, training, supports, </w:t>
      </w:r>
      <w:proofErr w:type="gramStart"/>
      <w:r>
        <w:rPr>
          <w:lang w:val="en-US"/>
        </w:rPr>
        <w:t>adaptations</w:t>
      </w:r>
      <w:proofErr w:type="gramEnd"/>
      <w:r>
        <w:rPr>
          <w:lang w:val="en-US"/>
        </w:rPr>
        <w:t xml:space="preserve"> and productivity are inextricably linked to ensure the worker with disability has the opportunity to </w:t>
      </w:r>
      <w:proofErr w:type="spellStart"/>
      <w:r>
        <w:rPr>
          <w:lang w:val="en-US"/>
        </w:rPr>
        <w:t>maximise</w:t>
      </w:r>
      <w:proofErr w:type="spellEnd"/>
      <w:r>
        <w:rPr>
          <w:lang w:val="en-US"/>
        </w:rPr>
        <w:t xml:space="preserve"> productivity (and salary scale) within the parameters of the inherent requirements of the job</w:t>
      </w:r>
      <w:r>
        <w:t>.</w:t>
      </w:r>
    </w:p>
    <w:p w14:paraId="05C72EE9" w14:textId="7AC29576" w:rsidR="004579EB" w:rsidRDefault="004579EB" w:rsidP="003335EA">
      <w:pPr>
        <w:pStyle w:val="Normal4"/>
      </w:pPr>
      <w:r>
        <w:t xml:space="preserve">This has </w:t>
      </w:r>
      <w:proofErr w:type="gramStart"/>
      <w:r>
        <w:t>particular implications</w:t>
      </w:r>
      <w:proofErr w:type="gramEnd"/>
      <w:r>
        <w:t xml:space="preserve"> for the NDIS as the NDIS is</w:t>
      </w:r>
      <w:r w:rsidR="006F27B5">
        <w:t xml:space="preserve"> now also</w:t>
      </w:r>
      <w:r>
        <w:t xml:space="preserve"> a funder of </w:t>
      </w:r>
      <w:r w:rsidR="00DC2620">
        <w:t>various forms of employment and capacity building support. Case studies (presented in Paper 5)</w:t>
      </w:r>
      <w:r w:rsidR="009B7ADB">
        <w:t xml:space="preserve"> highlight the difficulty of obtaining timely and adequate levels of NDIS approved funding</w:t>
      </w:r>
      <w:r w:rsidR="00EF5D1D">
        <w:t xml:space="preserve"> to enable the employee with disability to acquire</w:t>
      </w:r>
      <w:r w:rsidR="001E0C85">
        <w:t xml:space="preserve"> competency and maximise productivity on-the-job. </w:t>
      </w:r>
      <w:r w:rsidR="00323931">
        <w:t xml:space="preserve">This potentially impacts, and limits, their assessed productivity and </w:t>
      </w:r>
      <w:r w:rsidR="00887C14">
        <w:t xml:space="preserve">impacts their wages. </w:t>
      </w:r>
      <w:r w:rsidR="00740BCF">
        <w:t>In one instance, the employee with disability had been able to increase his level of assessed productivity following inclusion of NDIS funded supports</w:t>
      </w:r>
      <w:r w:rsidR="00F94DD5">
        <w:t xml:space="preserve">, </w:t>
      </w:r>
      <w:r w:rsidR="00B10A62">
        <w:t xml:space="preserve">but these supports were not expected to be continuously funded, potentially affecting his </w:t>
      </w:r>
      <w:r w:rsidR="00D70665">
        <w:t xml:space="preserve">ongoing </w:t>
      </w:r>
      <w:r w:rsidR="00B10A62">
        <w:t xml:space="preserve">wage level. </w:t>
      </w:r>
    </w:p>
    <w:p w14:paraId="72CF00B8" w14:textId="63745A07" w:rsidR="004424D3" w:rsidRDefault="00D70665" w:rsidP="003335EA">
      <w:pPr>
        <w:pStyle w:val="Normal4"/>
      </w:pPr>
      <w:r>
        <w:t xml:space="preserve">While supported wages have been a feature of </w:t>
      </w:r>
      <w:r w:rsidR="0092778E">
        <w:t xml:space="preserve">supported employment in ADEs, they are also used in open employment. </w:t>
      </w:r>
      <w:r w:rsidR="003A5C4A">
        <w:t>In practice, there is no public data about the number of supported wages approved in Australia each year, nor the extent to which the level of reasonable adjustments, support and training were adequate to maximise productivity.</w:t>
      </w:r>
      <w:r w:rsidR="00D71A81">
        <w:t xml:space="preserve"> </w:t>
      </w:r>
      <w:r w:rsidR="00F94DD5">
        <w:t>As discussed, numerous parties have responsibilities to ensure supports and adjustments have been provided</w:t>
      </w:r>
      <w:r w:rsidR="000645E3">
        <w:t xml:space="preserve"> including </w:t>
      </w:r>
      <w:proofErr w:type="spellStart"/>
      <w:r w:rsidR="000645E3">
        <w:t>JobAccess</w:t>
      </w:r>
      <w:proofErr w:type="spellEnd"/>
      <w:r w:rsidR="000645E3">
        <w:t xml:space="preserve"> (EAF), the employer, employment support providers (such as DES or ADEs), and NDIS</w:t>
      </w:r>
      <w:r w:rsidR="004424D3">
        <w:t xml:space="preserve">, but there is no </w:t>
      </w:r>
      <w:r w:rsidR="008F0767">
        <w:t xml:space="preserve">documentation about how these responsibilities co-exist or interact to best </w:t>
      </w:r>
      <w:r w:rsidR="0046650D">
        <w:t>e</w:t>
      </w:r>
      <w:r w:rsidR="008F0767">
        <w:t>ffect for the employee with disability</w:t>
      </w:r>
      <w:r w:rsidR="000645E3">
        <w:t xml:space="preserve">. </w:t>
      </w:r>
    </w:p>
    <w:p w14:paraId="201FD755" w14:textId="6E2EF58A" w:rsidR="003A5C4A" w:rsidRDefault="00DF6EF2" w:rsidP="003335EA">
      <w:pPr>
        <w:pStyle w:val="Normal4"/>
      </w:pPr>
      <w:r w:rsidRPr="008E2DC2">
        <w:t>Supported or pro rata wage systems have complex rationales</w:t>
      </w:r>
      <w:r w:rsidR="00FA15C8" w:rsidRPr="008E2DC2">
        <w:t xml:space="preserve">, with </w:t>
      </w:r>
      <w:r w:rsidR="002177F0" w:rsidRPr="008E2DC2">
        <w:t>an ill-defined and often invisible</w:t>
      </w:r>
      <w:r w:rsidR="00300434">
        <w:t xml:space="preserve"> </w:t>
      </w:r>
      <w:r w:rsidR="00654C60" w:rsidRPr="008E2DC2">
        <w:t>responsibility of all parties to build the maximum productivity of the employee with disability.</w:t>
      </w:r>
      <w:r w:rsidR="00300434">
        <w:t xml:space="preserve"> </w:t>
      </w:r>
      <w:r w:rsidR="00D71A81" w:rsidRPr="008E2DC2">
        <w:t>It has been argued that a better targeting of policy response would be investment in the skill development and support of people with disability to attain work and be productive, rather than in managing sub minimum wage systems that reinforce discrimination based on negative assumptions about people with disability (</w:t>
      </w:r>
      <w:proofErr w:type="spellStart"/>
      <w:r w:rsidR="00D71A81" w:rsidRPr="008E2DC2">
        <w:t>Burchardt</w:t>
      </w:r>
      <w:proofErr w:type="spellEnd"/>
      <w:r w:rsidR="00D71A81" w:rsidRPr="008E2DC2">
        <w:t xml:space="preserve"> &amp; McKnight, 2003).</w:t>
      </w:r>
      <w:r w:rsidR="002B3A02" w:rsidRPr="008E2DC2">
        <w:t xml:space="preserve"> </w:t>
      </w:r>
      <w:r w:rsidR="008E2DC2" w:rsidRPr="008E2DC2">
        <w:t>This has also been a policy position of the Commonwealth government in times past, when a purpose for specialised employment supports was envisaged as ‘maximising wage outcomes’ (</w:t>
      </w:r>
      <w:proofErr w:type="spellStart"/>
      <w:r w:rsidR="008E2DC2" w:rsidRPr="008E2DC2">
        <w:t>Fa</w:t>
      </w:r>
      <w:r w:rsidR="008E2DC2">
        <w:t>H</w:t>
      </w:r>
      <w:r w:rsidR="008E2DC2" w:rsidRPr="008E2DC2">
        <w:t>CSIA</w:t>
      </w:r>
      <w:proofErr w:type="spellEnd"/>
      <w:r w:rsidR="008E2DC2" w:rsidRPr="008E2DC2">
        <w:t xml:space="preserve">, </w:t>
      </w:r>
      <w:r w:rsidR="008E2DC2">
        <w:t>n.d</w:t>
      </w:r>
      <w:r w:rsidR="00414F7E">
        <w:t>.</w:t>
      </w:r>
      <w:r w:rsidR="008E2DC2" w:rsidRPr="008E2DC2">
        <w:t>, p. 7).</w:t>
      </w:r>
    </w:p>
    <w:p w14:paraId="53AEB729" w14:textId="77777777" w:rsidR="001E32A0" w:rsidRPr="00FB5E9B" w:rsidRDefault="001E32A0" w:rsidP="001E32A0"/>
    <w:p w14:paraId="60A131FA" w14:textId="77777777" w:rsidR="003A5C4A" w:rsidRDefault="003A5C4A" w:rsidP="003A5C4A">
      <w:pPr>
        <w:pStyle w:val="Heading2"/>
      </w:pPr>
      <w:r>
        <w:t>Overlapping systems</w:t>
      </w:r>
    </w:p>
    <w:p w14:paraId="23071BCA" w14:textId="6082F02A" w:rsidR="003A5C4A" w:rsidRDefault="003A5C4A" w:rsidP="003335EA">
      <w:pPr>
        <w:pStyle w:val="Normal4"/>
      </w:pPr>
      <w:r>
        <w:t xml:space="preserve">While ‘People with disability have the same right of access to mainstream services as all Australians, consistent with the goals of the new </w:t>
      </w:r>
      <w:r w:rsidRPr="00435844">
        <w:rPr>
          <w:i/>
          <w:iCs/>
        </w:rPr>
        <w:t>Australia’s Disability Strategy</w:t>
      </w:r>
      <w:r>
        <w:t xml:space="preserve"> (ADS)’ (P</w:t>
      </w:r>
      <w:r w:rsidR="000A6EBE">
        <w:t>roductivity Commission</w:t>
      </w:r>
      <w:r>
        <w:t xml:space="preserve">, 2022), they are rarely well catered for within them. The biopsychosocial approach provides a useful frame to understand the important role of a wide array of service systems in the pathway of people </w:t>
      </w:r>
      <w:r>
        <w:lastRenderedPageBreak/>
        <w:t xml:space="preserve">with disability into employment. Even leaving aside systems associated with barriers </w:t>
      </w:r>
      <w:r w:rsidR="000A6219">
        <w:t xml:space="preserve">to employment </w:t>
      </w:r>
      <w:r>
        <w:t xml:space="preserve">like health, housing or transport, a plethora of systems and services remain which provide noted complexity for people with disability and their supporters. </w:t>
      </w:r>
      <w:r w:rsidR="001501FA">
        <w:t xml:space="preserve">For example, for young people with intellectual disability moving from school to </w:t>
      </w:r>
      <w:r w:rsidR="001501FA" w:rsidRPr="00B644C5">
        <w:t>post</w:t>
      </w:r>
      <w:r w:rsidR="001501FA">
        <w:t>-</w:t>
      </w:r>
      <w:r w:rsidR="001501FA" w:rsidRPr="00B644C5">
        <w:t xml:space="preserve">school </w:t>
      </w:r>
      <w:r w:rsidR="001501FA">
        <w:t>economic participation, the systems with which they engage include the income support system (DSP), the NDIS, s</w:t>
      </w:r>
      <w:r w:rsidR="001501FA" w:rsidRPr="00B644C5">
        <w:t>tate</w:t>
      </w:r>
      <w:r w:rsidR="001501FA">
        <w:t>/territory-</w:t>
      </w:r>
      <w:r w:rsidR="001501FA" w:rsidRPr="00B644C5">
        <w:t xml:space="preserve">funded </w:t>
      </w:r>
      <w:r w:rsidR="001501FA">
        <w:t xml:space="preserve">secondary education and </w:t>
      </w:r>
      <w:r w:rsidR="001501FA" w:rsidRPr="00B644C5">
        <w:t>TAFE, Comm</w:t>
      </w:r>
      <w:r w:rsidR="001501FA">
        <w:t>onwealth active</w:t>
      </w:r>
      <w:r w:rsidR="001501FA" w:rsidRPr="00B644C5">
        <w:t xml:space="preserve"> labour market programs including DES,</w:t>
      </w:r>
      <w:r w:rsidR="001501FA">
        <w:t xml:space="preserve"> </w:t>
      </w:r>
      <w:r w:rsidR="001501FA" w:rsidRPr="00B644C5">
        <w:t>NDIS</w:t>
      </w:r>
      <w:r w:rsidR="001501FA">
        <w:t>-</w:t>
      </w:r>
      <w:r w:rsidR="001501FA" w:rsidRPr="00B644C5">
        <w:t xml:space="preserve">funded service providers </w:t>
      </w:r>
      <w:r w:rsidR="001501FA">
        <w:t>such as</w:t>
      </w:r>
      <w:r w:rsidR="001501FA" w:rsidRPr="00B644C5">
        <w:t xml:space="preserve"> </w:t>
      </w:r>
      <w:r w:rsidR="00C834FB">
        <w:t>School Leaver Employment Support (</w:t>
      </w:r>
      <w:r w:rsidR="001501FA" w:rsidRPr="00B644C5">
        <w:t>SLE</w:t>
      </w:r>
      <w:r w:rsidR="001501FA">
        <w:t>S</w:t>
      </w:r>
      <w:r w:rsidR="00C834FB">
        <w:t>)</w:t>
      </w:r>
      <w:r w:rsidR="001501FA">
        <w:t xml:space="preserve"> providers</w:t>
      </w:r>
      <w:r w:rsidR="00435844">
        <w:t xml:space="preserve"> and ADEs, and disability services</w:t>
      </w:r>
      <w:r w:rsidR="001501FA">
        <w:t xml:space="preserve"> (Crosbie, 2022).</w:t>
      </w:r>
    </w:p>
    <w:p w14:paraId="62C1DCC3" w14:textId="77777777" w:rsidR="003A5C4A" w:rsidRDefault="003A5C4A" w:rsidP="003A5C4A">
      <w:pPr>
        <w:pStyle w:val="Heading3"/>
      </w:pPr>
      <w:r w:rsidRPr="000C3AE6">
        <w:t>NDIS</w:t>
      </w:r>
    </w:p>
    <w:p w14:paraId="6CE023CF" w14:textId="2B600D9E" w:rsidR="003C4B54" w:rsidRDefault="00950ED3" w:rsidP="003335EA">
      <w:pPr>
        <w:pStyle w:val="Normal4"/>
      </w:pPr>
      <w:r>
        <w:rPr>
          <w:rStyle w:val="Normal4Char"/>
        </w:rPr>
        <w:t>B</w:t>
      </w:r>
      <w:r w:rsidRPr="00611C01">
        <w:rPr>
          <w:rStyle w:val="Normal4Char"/>
        </w:rPr>
        <w:t xml:space="preserve">ecause many people with </w:t>
      </w:r>
      <w:r>
        <w:rPr>
          <w:rStyle w:val="Normal4Char"/>
        </w:rPr>
        <w:t xml:space="preserve">intellectual </w:t>
      </w:r>
      <w:r w:rsidRPr="00611C01">
        <w:rPr>
          <w:rStyle w:val="Normal4Char"/>
        </w:rPr>
        <w:t>disability are not eligible for Commonwealth ALMPs, they are reliant on NDIS funding to purchase employment supports. This places significant impost on both the scheme as well as on participants. Consultations highlight that many NDIS participants are not well equipped or informed to know what to ask for in their plans in relation to employment, nor do planners sufficiently prioritise employment. As a result, employment goals have been missing from plans, and there have been delays in having this rectified (DSS, 2018)</w:t>
      </w:r>
      <w:r>
        <w:t>. These factor</w:t>
      </w:r>
      <w:r w:rsidR="000A1FCD">
        <w:t>s</w:t>
      </w:r>
      <w:r>
        <w:t xml:space="preserve"> contribute to </w:t>
      </w:r>
      <w:r w:rsidR="000A1FCD">
        <w:t>the</w:t>
      </w:r>
      <w:r w:rsidR="003C4B54">
        <w:t xml:space="preserve"> poor record </w:t>
      </w:r>
      <w:r w:rsidR="000A1FCD">
        <w:t xml:space="preserve">of NDIS </w:t>
      </w:r>
      <w:r w:rsidR="003C4B54">
        <w:t>in supporting employment outcomes of people with disability</w:t>
      </w:r>
      <w:r w:rsidR="000A1FCD">
        <w:t xml:space="preserve">. As a result, the NDIS has </w:t>
      </w:r>
      <w:r w:rsidR="003C4B54">
        <w:t>instituted a target of 30% of participants of working age to gain meaningful employment (Olney et al., 2022). Currently, this target has not been met</w:t>
      </w:r>
      <w:r w:rsidR="0086079B">
        <w:t>.</w:t>
      </w:r>
      <w:r w:rsidR="00BA07E9">
        <w:t xml:space="preserve"> </w:t>
      </w:r>
      <w:r w:rsidR="0028210D">
        <w:t>As Table 1 shows, w</w:t>
      </w:r>
      <w:r w:rsidR="0086079B">
        <w:t>hile</w:t>
      </w:r>
      <w:r w:rsidR="00BA07E9">
        <w:t xml:space="preserve"> young people under 25 experienc</w:t>
      </w:r>
      <w:r w:rsidR="0086079B">
        <w:t>e</w:t>
      </w:r>
      <w:r w:rsidR="00BA07E9">
        <w:t xml:space="preserve"> </w:t>
      </w:r>
      <w:r w:rsidR="0086079B">
        <w:t xml:space="preserve">somewhat </w:t>
      </w:r>
      <w:r w:rsidR="00BA07E9">
        <w:t>increased employment outcomes for a period</w:t>
      </w:r>
      <w:r w:rsidR="0086079B">
        <w:t xml:space="preserve"> following engagement with NDIS</w:t>
      </w:r>
      <w:r w:rsidR="00BA07E9">
        <w:t>, those over 25</w:t>
      </w:r>
      <w:r w:rsidR="00735B2C">
        <w:t xml:space="preserve"> experience diminishing employment outcomes over time</w:t>
      </w:r>
      <w:r w:rsidR="003C4B54">
        <w:t>.</w:t>
      </w:r>
    </w:p>
    <w:p w14:paraId="2D88E093" w14:textId="15C4D13A" w:rsidR="003C4B54" w:rsidRDefault="003C4B54" w:rsidP="003C4B54">
      <w:pPr>
        <w:pStyle w:val="Table"/>
      </w:pPr>
      <w:r w:rsidRPr="00E70EAC">
        <w:t xml:space="preserve">Table </w:t>
      </w:r>
      <w:r w:rsidR="006F2638">
        <w:t>1:</w:t>
      </w:r>
      <w:r w:rsidR="00300434">
        <w:t xml:space="preserve"> </w:t>
      </w:r>
      <w:r w:rsidR="006F2638">
        <w:t>Employment status of</w:t>
      </w:r>
      <w:r>
        <w:t xml:space="preserve"> </w:t>
      </w:r>
      <w:r w:rsidRPr="00E70EAC">
        <w:t xml:space="preserve">NDIS participants </w:t>
      </w:r>
      <w:r w:rsidR="006F2638">
        <w:t xml:space="preserve">entry vs 4 years </w:t>
      </w:r>
      <w:r w:rsidR="00102356">
        <w:t>as</w:t>
      </w:r>
      <w:r w:rsidR="006F2638">
        <w:t xml:space="preserve"> NDIS</w:t>
      </w:r>
      <w:r w:rsidR="00102356">
        <w:t xml:space="preserve"> participant </w:t>
      </w:r>
      <w:r w:rsidRPr="00E70EAC">
        <w:t>(NDIA, 2020)</w:t>
      </w:r>
    </w:p>
    <w:tbl>
      <w:tblPr>
        <w:tblStyle w:val="TableGrid"/>
        <w:tblW w:w="0" w:type="auto"/>
        <w:tblLook w:val="04A0" w:firstRow="1" w:lastRow="0" w:firstColumn="1" w:lastColumn="0" w:noHBand="0" w:noVBand="1"/>
      </w:tblPr>
      <w:tblGrid>
        <w:gridCol w:w="5240"/>
        <w:gridCol w:w="1559"/>
        <w:gridCol w:w="1843"/>
      </w:tblGrid>
      <w:tr w:rsidR="003C4B54" w14:paraId="4FCD1827" w14:textId="77777777" w:rsidTr="00681141">
        <w:tc>
          <w:tcPr>
            <w:tcW w:w="5240" w:type="dxa"/>
            <w:tcBorders>
              <w:bottom w:val="nil"/>
            </w:tcBorders>
            <w:shd w:val="clear" w:color="auto" w:fill="FFFFFF" w:themeFill="background1"/>
          </w:tcPr>
          <w:p w14:paraId="771C3DB7" w14:textId="77777777" w:rsidR="003C4B54" w:rsidRPr="003A5C4A" w:rsidRDefault="003C4B54" w:rsidP="004C43E1">
            <w:pPr>
              <w:rPr>
                <w:rFonts w:asciiTheme="minorHAnsi" w:hAnsiTheme="minorHAnsi" w:cstheme="minorHAnsi"/>
                <w:b/>
                <w:bCs/>
              </w:rPr>
            </w:pPr>
          </w:p>
        </w:tc>
        <w:tc>
          <w:tcPr>
            <w:tcW w:w="1559" w:type="dxa"/>
            <w:shd w:val="clear" w:color="auto" w:fill="F2F2F2" w:themeFill="background1" w:themeFillShade="F2"/>
          </w:tcPr>
          <w:p w14:paraId="11789F47" w14:textId="77777777" w:rsidR="003C4B54" w:rsidRPr="003A5C4A" w:rsidRDefault="003C4B54" w:rsidP="004C43E1">
            <w:pPr>
              <w:rPr>
                <w:rFonts w:asciiTheme="minorHAnsi" w:hAnsiTheme="minorHAnsi" w:cstheme="minorHAnsi"/>
                <w:b/>
                <w:bCs/>
              </w:rPr>
            </w:pPr>
            <w:r w:rsidRPr="003A5C4A">
              <w:rPr>
                <w:rFonts w:asciiTheme="minorHAnsi" w:hAnsiTheme="minorHAnsi" w:cstheme="minorHAnsi"/>
                <w:b/>
                <w:bCs/>
              </w:rPr>
              <w:t>15-24 years</w:t>
            </w:r>
          </w:p>
        </w:tc>
        <w:tc>
          <w:tcPr>
            <w:tcW w:w="1843" w:type="dxa"/>
            <w:shd w:val="clear" w:color="auto" w:fill="F2F2F2" w:themeFill="background1" w:themeFillShade="F2"/>
          </w:tcPr>
          <w:p w14:paraId="5B831BC4" w14:textId="77777777" w:rsidR="003C4B54" w:rsidRPr="003A5C4A" w:rsidRDefault="003C4B54" w:rsidP="004C43E1">
            <w:pPr>
              <w:rPr>
                <w:rFonts w:asciiTheme="minorHAnsi" w:hAnsiTheme="minorHAnsi" w:cstheme="minorHAnsi"/>
                <w:b/>
                <w:bCs/>
              </w:rPr>
            </w:pPr>
            <w:r w:rsidRPr="003A5C4A">
              <w:rPr>
                <w:rFonts w:asciiTheme="minorHAnsi" w:hAnsiTheme="minorHAnsi" w:cstheme="minorHAnsi"/>
                <w:b/>
                <w:bCs/>
              </w:rPr>
              <w:t>25+ years</w:t>
            </w:r>
          </w:p>
        </w:tc>
      </w:tr>
      <w:tr w:rsidR="003C4B54" w14:paraId="64E92D03" w14:textId="77777777" w:rsidTr="00681141">
        <w:tc>
          <w:tcPr>
            <w:tcW w:w="5240" w:type="dxa"/>
            <w:tcBorders>
              <w:top w:val="nil"/>
            </w:tcBorders>
            <w:shd w:val="clear" w:color="auto" w:fill="FFFFFF" w:themeFill="background1"/>
          </w:tcPr>
          <w:p w14:paraId="0A2463DE" w14:textId="0C242EB1" w:rsidR="003C4B54" w:rsidRPr="003A5C4A" w:rsidRDefault="003C4B54" w:rsidP="004C43E1">
            <w:pPr>
              <w:rPr>
                <w:rFonts w:asciiTheme="minorHAnsi" w:hAnsiTheme="minorHAnsi" w:cstheme="minorHAnsi"/>
              </w:rPr>
            </w:pPr>
            <w:r w:rsidRPr="003A5C4A">
              <w:rPr>
                <w:rFonts w:asciiTheme="minorHAnsi" w:hAnsiTheme="minorHAnsi" w:cstheme="minorHAnsi"/>
              </w:rPr>
              <w:t xml:space="preserve">TOTAL % of NDIS participants with a paid job on entry </w:t>
            </w:r>
            <w:r w:rsidRPr="003544CC">
              <w:rPr>
                <w:rFonts w:asciiTheme="minorHAnsi" w:hAnsiTheme="minorHAnsi" w:cstheme="minorHAnsi"/>
                <w:sz w:val="18"/>
                <w:szCs w:val="18"/>
              </w:rPr>
              <w:t>(of those entering 1 July 2016 – 31 Dec 2020</w:t>
            </w:r>
            <w:r w:rsidR="003544CC" w:rsidRPr="003544CC">
              <w:rPr>
                <w:rFonts w:asciiTheme="minorHAnsi" w:hAnsiTheme="minorHAnsi" w:cstheme="minorHAnsi"/>
                <w:sz w:val="18"/>
                <w:szCs w:val="18"/>
              </w:rPr>
              <w:t>)</w:t>
            </w:r>
          </w:p>
        </w:tc>
        <w:tc>
          <w:tcPr>
            <w:tcW w:w="1559" w:type="dxa"/>
          </w:tcPr>
          <w:p w14:paraId="3117EB01" w14:textId="77777777" w:rsidR="003C4B54" w:rsidRPr="003A5C4A" w:rsidRDefault="003C4B54" w:rsidP="004C43E1">
            <w:pPr>
              <w:rPr>
                <w:rFonts w:asciiTheme="minorHAnsi" w:hAnsiTheme="minorHAnsi" w:cstheme="minorHAnsi"/>
              </w:rPr>
            </w:pPr>
            <w:r w:rsidRPr="003A5C4A">
              <w:rPr>
                <w:rFonts w:asciiTheme="minorHAnsi" w:hAnsiTheme="minorHAnsi" w:cstheme="minorHAnsi"/>
              </w:rPr>
              <w:t>17%</w:t>
            </w:r>
          </w:p>
        </w:tc>
        <w:tc>
          <w:tcPr>
            <w:tcW w:w="1843" w:type="dxa"/>
          </w:tcPr>
          <w:p w14:paraId="7D9F5768" w14:textId="77777777" w:rsidR="003C4B54" w:rsidRPr="003A5C4A" w:rsidRDefault="003C4B54" w:rsidP="004C43E1">
            <w:pPr>
              <w:rPr>
                <w:rFonts w:asciiTheme="minorHAnsi" w:hAnsiTheme="minorHAnsi" w:cstheme="minorHAnsi"/>
              </w:rPr>
            </w:pPr>
            <w:r w:rsidRPr="003A5C4A">
              <w:rPr>
                <w:rFonts w:asciiTheme="minorHAnsi" w:hAnsiTheme="minorHAnsi" w:cstheme="minorHAnsi"/>
              </w:rPr>
              <w:t>21%</w:t>
            </w:r>
          </w:p>
        </w:tc>
      </w:tr>
      <w:tr w:rsidR="003C4B54" w14:paraId="5A74498E" w14:textId="77777777" w:rsidTr="00681141">
        <w:tc>
          <w:tcPr>
            <w:tcW w:w="5240" w:type="dxa"/>
            <w:shd w:val="clear" w:color="auto" w:fill="F2F2F2" w:themeFill="background1" w:themeFillShade="F2"/>
          </w:tcPr>
          <w:p w14:paraId="6070AC39" w14:textId="418E8D46" w:rsidR="003C4B54" w:rsidRPr="003A5C4A" w:rsidRDefault="003C4B54" w:rsidP="004C43E1">
            <w:pPr>
              <w:rPr>
                <w:rFonts w:asciiTheme="minorHAnsi" w:hAnsiTheme="minorHAnsi" w:cstheme="minorHAnsi"/>
              </w:rPr>
            </w:pPr>
            <w:r w:rsidRPr="003A5C4A">
              <w:rPr>
                <w:rFonts w:asciiTheme="minorHAnsi" w:hAnsiTheme="minorHAnsi" w:cstheme="minorHAnsi"/>
                <w:b/>
                <w:bCs/>
              </w:rPr>
              <w:t>Employment status categories</w:t>
            </w:r>
            <w:r w:rsidR="006F2638">
              <w:rPr>
                <w:rFonts w:asciiTheme="minorHAnsi" w:hAnsiTheme="minorHAnsi" w:cstheme="minorHAnsi"/>
                <w:b/>
                <w:bCs/>
              </w:rPr>
              <w:t xml:space="preserve"> (on entry)</w:t>
            </w:r>
          </w:p>
        </w:tc>
        <w:tc>
          <w:tcPr>
            <w:tcW w:w="3402" w:type="dxa"/>
            <w:gridSpan w:val="2"/>
            <w:shd w:val="clear" w:color="auto" w:fill="F2F2F2" w:themeFill="background1" w:themeFillShade="F2"/>
          </w:tcPr>
          <w:p w14:paraId="5D8BE245" w14:textId="088F2987" w:rsidR="003C4B54" w:rsidRPr="003A5C4A" w:rsidRDefault="003C4B54" w:rsidP="004C43E1">
            <w:pPr>
              <w:rPr>
                <w:rFonts w:asciiTheme="minorHAnsi" w:hAnsiTheme="minorHAnsi" w:cstheme="minorHAnsi"/>
              </w:rPr>
            </w:pPr>
            <w:r w:rsidRPr="003A5C4A">
              <w:rPr>
                <w:rFonts w:asciiTheme="minorHAnsi" w:hAnsiTheme="minorHAnsi" w:cstheme="minorHAnsi"/>
                <w:b/>
                <w:bCs/>
              </w:rPr>
              <w:t xml:space="preserve">% </w:t>
            </w:r>
            <w:proofErr w:type="gramStart"/>
            <w:r w:rsidRPr="003A5C4A">
              <w:rPr>
                <w:rFonts w:asciiTheme="minorHAnsi" w:hAnsiTheme="minorHAnsi" w:cstheme="minorHAnsi"/>
                <w:b/>
                <w:bCs/>
              </w:rPr>
              <w:t>of</w:t>
            </w:r>
            <w:proofErr w:type="gramEnd"/>
            <w:r w:rsidRPr="003A5C4A">
              <w:rPr>
                <w:rFonts w:asciiTheme="minorHAnsi" w:hAnsiTheme="minorHAnsi" w:cstheme="minorHAnsi"/>
                <w:b/>
                <w:bCs/>
              </w:rPr>
              <w:t xml:space="preserve"> people with paid job (on entry to Scheme)</w:t>
            </w:r>
            <w:r w:rsidR="00681141">
              <w:rPr>
                <w:rFonts w:asciiTheme="minorHAnsi" w:hAnsiTheme="minorHAnsi" w:cstheme="minorHAnsi"/>
                <w:b/>
                <w:bCs/>
              </w:rPr>
              <w:t xml:space="preserve"> in each category</w:t>
            </w:r>
          </w:p>
        </w:tc>
      </w:tr>
      <w:tr w:rsidR="003C4B54" w14:paraId="5D19A976" w14:textId="77777777" w:rsidTr="00681141">
        <w:tc>
          <w:tcPr>
            <w:tcW w:w="5240" w:type="dxa"/>
          </w:tcPr>
          <w:p w14:paraId="3A36BA48" w14:textId="77777777" w:rsidR="003C4B54" w:rsidRPr="003A5C4A" w:rsidRDefault="003C4B54" w:rsidP="004C43E1">
            <w:pPr>
              <w:rPr>
                <w:rFonts w:asciiTheme="minorHAnsi" w:hAnsiTheme="minorHAnsi" w:cstheme="minorHAnsi"/>
              </w:rPr>
            </w:pPr>
            <w:r w:rsidRPr="003A5C4A">
              <w:rPr>
                <w:rFonts w:asciiTheme="minorHAnsi" w:hAnsiTheme="minorHAnsi" w:cstheme="minorHAnsi"/>
              </w:rPr>
              <w:t>In open employment, at full award wages</w:t>
            </w:r>
          </w:p>
        </w:tc>
        <w:tc>
          <w:tcPr>
            <w:tcW w:w="1559" w:type="dxa"/>
          </w:tcPr>
          <w:p w14:paraId="609532FF" w14:textId="77777777" w:rsidR="003C4B54" w:rsidRPr="003A5C4A" w:rsidRDefault="003C4B54" w:rsidP="004C43E1">
            <w:pPr>
              <w:rPr>
                <w:rFonts w:asciiTheme="minorHAnsi" w:hAnsiTheme="minorHAnsi" w:cstheme="minorHAnsi"/>
              </w:rPr>
            </w:pPr>
            <w:r w:rsidRPr="003A5C4A">
              <w:rPr>
                <w:rFonts w:asciiTheme="minorHAnsi" w:hAnsiTheme="minorHAnsi" w:cstheme="minorHAnsi"/>
              </w:rPr>
              <w:t>51%</w:t>
            </w:r>
          </w:p>
        </w:tc>
        <w:tc>
          <w:tcPr>
            <w:tcW w:w="1843" w:type="dxa"/>
          </w:tcPr>
          <w:p w14:paraId="56D24E7B" w14:textId="77777777" w:rsidR="003C4B54" w:rsidRPr="003A5C4A" w:rsidRDefault="003C4B54" w:rsidP="004C43E1">
            <w:pPr>
              <w:rPr>
                <w:rFonts w:asciiTheme="minorHAnsi" w:hAnsiTheme="minorHAnsi" w:cstheme="minorHAnsi"/>
              </w:rPr>
            </w:pPr>
            <w:r w:rsidRPr="003A5C4A">
              <w:rPr>
                <w:rFonts w:asciiTheme="minorHAnsi" w:hAnsiTheme="minorHAnsi" w:cstheme="minorHAnsi"/>
              </w:rPr>
              <w:t>47%</w:t>
            </w:r>
          </w:p>
        </w:tc>
      </w:tr>
      <w:tr w:rsidR="003C4B54" w14:paraId="5C8177F8" w14:textId="77777777" w:rsidTr="00681141">
        <w:tc>
          <w:tcPr>
            <w:tcW w:w="5240" w:type="dxa"/>
          </w:tcPr>
          <w:p w14:paraId="3C86F978" w14:textId="77777777" w:rsidR="003C4B54" w:rsidRPr="003A5C4A" w:rsidRDefault="003C4B54" w:rsidP="004C43E1">
            <w:pPr>
              <w:rPr>
                <w:rFonts w:asciiTheme="minorHAnsi" w:hAnsiTheme="minorHAnsi" w:cstheme="minorHAnsi"/>
              </w:rPr>
            </w:pPr>
            <w:r w:rsidRPr="003A5C4A">
              <w:rPr>
                <w:rFonts w:asciiTheme="minorHAnsi" w:hAnsiTheme="minorHAnsi" w:cstheme="minorHAnsi"/>
              </w:rPr>
              <w:t>In open employment, at less than full award wages</w:t>
            </w:r>
          </w:p>
        </w:tc>
        <w:tc>
          <w:tcPr>
            <w:tcW w:w="1559" w:type="dxa"/>
          </w:tcPr>
          <w:p w14:paraId="211D5620" w14:textId="77777777" w:rsidR="003C4B54" w:rsidRPr="003A5C4A" w:rsidRDefault="003C4B54" w:rsidP="004C43E1">
            <w:pPr>
              <w:rPr>
                <w:rFonts w:asciiTheme="minorHAnsi" w:hAnsiTheme="minorHAnsi" w:cstheme="minorHAnsi"/>
              </w:rPr>
            </w:pPr>
            <w:r w:rsidRPr="003A5C4A">
              <w:rPr>
                <w:rFonts w:asciiTheme="minorHAnsi" w:hAnsiTheme="minorHAnsi" w:cstheme="minorHAnsi"/>
              </w:rPr>
              <w:t>12%</w:t>
            </w:r>
          </w:p>
        </w:tc>
        <w:tc>
          <w:tcPr>
            <w:tcW w:w="1843" w:type="dxa"/>
          </w:tcPr>
          <w:p w14:paraId="7D7DC1D1" w14:textId="77777777" w:rsidR="003C4B54" w:rsidRPr="003A5C4A" w:rsidRDefault="003C4B54" w:rsidP="004C43E1">
            <w:pPr>
              <w:rPr>
                <w:rFonts w:asciiTheme="minorHAnsi" w:hAnsiTheme="minorHAnsi" w:cstheme="minorHAnsi"/>
              </w:rPr>
            </w:pPr>
            <w:r w:rsidRPr="003A5C4A">
              <w:rPr>
                <w:rFonts w:asciiTheme="minorHAnsi" w:hAnsiTheme="minorHAnsi" w:cstheme="minorHAnsi"/>
              </w:rPr>
              <w:t>8%</w:t>
            </w:r>
          </w:p>
        </w:tc>
      </w:tr>
      <w:tr w:rsidR="003C4B54" w14:paraId="57C5E562" w14:textId="77777777" w:rsidTr="00681141">
        <w:trPr>
          <w:trHeight w:val="321"/>
        </w:trPr>
        <w:tc>
          <w:tcPr>
            <w:tcW w:w="5240" w:type="dxa"/>
          </w:tcPr>
          <w:p w14:paraId="6DE44779" w14:textId="77777777" w:rsidR="003C4B54" w:rsidRPr="003A5C4A" w:rsidRDefault="003C4B54" w:rsidP="004C43E1">
            <w:pPr>
              <w:rPr>
                <w:rFonts w:asciiTheme="minorHAnsi" w:hAnsiTheme="minorHAnsi" w:cstheme="minorHAnsi"/>
              </w:rPr>
            </w:pPr>
            <w:r w:rsidRPr="003A5C4A">
              <w:rPr>
                <w:rFonts w:asciiTheme="minorHAnsi" w:hAnsiTheme="minorHAnsi" w:cstheme="minorHAnsi"/>
              </w:rPr>
              <w:t>In ADEs</w:t>
            </w:r>
          </w:p>
        </w:tc>
        <w:tc>
          <w:tcPr>
            <w:tcW w:w="1559" w:type="dxa"/>
          </w:tcPr>
          <w:p w14:paraId="6996D9C0" w14:textId="77777777" w:rsidR="003C4B54" w:rsidRPr="003A5C4A" w:rsidRDefault="003C4B54" w:rsidP="004C43E1">
            <w:pPr>
              <w:rPr>
                <w:rFonts w:asciiTheme="minorHAnsi" w:hAnsiTheme="minorHAnsi" w:cstheme="minorHAnsi"/>
              </w:rPr>
            </w:pPr>
            <w:r w:rsidRPr="003A5C4A">
              <w:rPr>
                <w:rFonts w:asciiTheme="minorHAnsi" w:hAnsiTheme="minorHAnsi" w:cstheme="minorHAnsi"/>
              </w:rPr>
              <w:t>27%</w:t>
            </w:r>
          </w:p>
        </w:tc>
        <w:tc>
          <w:tcPr>
            <w:tcW w:w="1843" w:type="dxa"/>
          </w:tcPr>
          <w:p w14:paraId="5B2C910F" w14:textId="77777777" w:rsidR="003C4B54" w:rsidRPr="003A5C4A" w:rsidRDefault="003C4B54" w:rsidP="004C43E1">
            <w:pPr>
              <w:rPr>
                <w:rFonts w:asciiTheme="minorHAnsi" w:hAnsiTheme="minorHAnsi" w:cstheme="minorHAnsi"/>
              </w:rPr>
            </w:pPr>
            <w:r w:rsidRPr="003A5C4A">
              <w:rPr>
                <w:rFonts w:asciiTheme="minorHAnsi" w:hAnsiTheme="minorHAnsi" w:cstheme="minorHAnsi"/>
              </w:rPr>
              <w:t>36%</w:t>
            </w:r>
          </w:p>
        </w:tc>
      </w:tr>
      <w:tr w:rsidR="003C4B54" w14:paraId="78901951" w14:textId="77777777" w:rsidTr="00681141">
        <w:tc>
          <w:tcPr>
            <w:tcW w:w="5240" w:type="dxa"/>
          </w:tcPr>
          <w:p w14:paraId="5DFDC0E2" w14:textId="77777777" w:rsidR="003C4B54" w:rsidRPr="003A5C4A" w:rsidRDefault="003C4B54" w:rsidP="004C43E1">
            <w:pPr>
              <w:rPr>
                <w:rFonts w:asciiTheme="minorHAnsi" w:hAnsiTheme="minorHAnsi" w:cstheme="minorHAnsi"/>
              </w:rPr>
            </w:pPr>
            <w:r w:rsidRPr="003A5C4A">
              <w:rPr>
                <w:rFonts w:asciiTheme="minorHAnsi" w:hAnsiTheme="minorHAnsi" w:cstheme="minorHAnsi"/>
              </w:rPr>
              <w:t>In self-employment</w:t>
            </w:r>
          </w:p>
        </w:tc>
        <w:tc>
          <w:tcPr>
            <w:tcW w:w="1559" w:type="dxa"/>
          </w:tcPr>
          <w:p w14:paraId="6ADD8799" w14:textId="77777777" w:rsidR="003C4B54" w:rsidRPr="003A5C4A" w:rsidRDefault="003C4B54" w:rsidP="004C43E1">
            <w:pPr>
              <w:rPr>
                <w:rFonts w:asciiTheme="minorHAnsi" w:hAnsiTheme="minorHAnsi" w:cstheme="minorHAnsi"/>
              </w:rPr>
            </w:pPr>
            <w:r w:rsidRPr="003A5C4A">
              <w:rPr>
                <w:rFonts w:asciiTheme="minorHAnsi" w:hAnsiTheme="minorHAnsi" w:cstheme="minorHAnsi"/>
              </w:rPr>
              <w:t>1%</w:t>
            </w:r>
          </w:p>
        </w:tc>
        <w:tc>
          <w:tcPr>
            <w:tcW w:w="1843" w:type="dxa"/>
          </w:tcPr>
          <w:p w14:paraId="4FA7EF31" w14:textId="77777777" w:rsidR="003C4B54" w:rsidRPr="003A5C4A" w:rsidRDefault="003C4B54" w:rsidP="004C43E1">
            <w:pPr>
              <w:rPr>
                <w:rFonts w:asciiTheme="minorHAnsi" w:hAnsiTheme="minorHAnsi" w:cstheme="minorHAnsi"/>
              </w:rPr>
            </w:pPr>
            <w:r w:rsidRPr="003A5C4A">
              <w:rPr>
                <w:rFonts w:asciiTheme="minorHAnsi" w:hAnsiTheme="minorHAnsi" w:cstheme="minorHAnsi"/>
              </w:rPr>
              <w:t>7%</w:t>
            </w:r>
          </w:p>
        </w:tc>
      </w:tr>
      <w:tr w:rsidR="006F2638" w14:paraId="1C5F2F05" w14:textId="77777777" w:rsidTr="00681141">
        <w:tc>
          <w:tcPr>
            <w:tcW w:w="5240" w:type="dxa"/>
            <w:shd w:val="clear" w:color="auto" w:fill="F2F2F2" w:themeFill="background1" w:themeFillShade="F2"/>
          </w:tcPr>
          <w:p w14:paraId="46020E00" w14:textId="7E23B7F5" w:rsidR="006F2638" w:rsidRPr="006F2638" w:rsidRDefault="006F2638" w:rsidP="004C43E1">
            <w:pPr>
              <w:rPr>
                <w:rFonts w:asciiTheme="minorHAnsi" w:hAnsiTheme="minorHAnsi" w:cstheme="minorHAnsi"/>
                <w:b/>
                <w:bCs/>
              </w:rPr>
            </w:pPr>
            <w:r>
              <w:rPr>
                <w:rFonts w:asciiTheme="minorHAnsi" w:hAnsiTheme="minorHAnsi" w:cstheme="minorHAnsi"/>
                <w:b/>
                <w:bCs/>
              </w:rPr>
              <w:t>Employment status change after 4 years in NDIS</w:t>
            </w:r>
          </w:p>
        </w:tc>
        <w:tc>
          <w:tcPr>
            <w:tcW w:w="1559" w:type="dxa"/>
            <w:shd w:val="clear" w:color="auto" w:fill="F2F2F2" w:themeFill="background1" w:themeFillShade="F2"/>
          </w:tcPr>
          <w:p w14:paraId="57DFDD1B" w14:textId="77777777" w:rsidR="006F2638" w:rsidRPr="003A5C4A" w:rsidRDefault="006F2638" w:rsidP="004C43E1">
            <w:pPr>
              <w:rPr>
                <w:rFonts w:asciiTheme="minorHAnsi" w:hAnsiTheme="minorHAnsi" w:cstheme="minorHAnsi"/>
              </w:rPr>
            </w:pPr>
          </w:p>
        </w:tc>
        <w:tc>
          <w:tcPr>
            <w:tcW w:w="1843" w:type="dxa"/>
            <w:shd w:val="clear" w:color="auto" w:fill="F2F2F2" w:themeFill="background1" w:themeFillShade="F2"/>
          </w:tcPr>
          <w:p w14:paraId="42323D1C" w14:textId="77777777" w:rsidR="006F2638" w:rsidRPr="003A5C4A" w:rsidRDefault="006F2638" w:rsidP="004C43E1">
            <w:pPr>
              <w:rPr>
                <w:rFonts w:asciiTheme="minorHAnsi" w:hAnsiTheme="minorHAnsi" w:cstheme="minorHAnsi"/>
              </w:rPr>
            </w:pPr>
          </w:p>
        </w:tc>
      </w:tr>
      <w:tr w:rsidR="006F2638" w14:paraId="16BB298C" w14:textId="77777777" w:rsidTr="00681141">
        <w:tc>
          <w:tcPr>
            <w:tcW w:w="5240" w:type="dxa"/>
          </w:tcPr>
          <w:p w14:paraId="6FFF7DA0" w14:textId="3B55380D" w:rsidR="006F2638" w:rsidRPr="003A5C4A" w:rsidRDefault="006F2638" w:rsidP="004C43E1">
            <w:pPr>
              <w:rPr>
                <w:rFonts w:asciiTheme="minorHAnsi" w:hAnsiTheme="minorHAnsi" w:cstheme="minorHAnsi"/>
              </w:rPr>
            </w:pPr>
            <w:r>
              <w:rPr>
                <w:rFonts w:asciiTheme="minorHAnsi" w:hAnsiTheme="minorHAnsi" w:cstheme="minorHAnsi"/>
              </w:rPr>
              <w:t xml:space="preserve">% </w:t>
            </w:r>
            <w:proofErr w:type="gramStart"/>
            <w:r>
              <w:rPr>
                <w:rFonts w:asciiTheme="minorHAnsi" w:hAnsiTheme="minorHAnsi" w:cstheme="minorHAnsi"/>
              </w:rPr>
              <w:t>of</w:t>
            </w:r>
            <w:proofErr w:type="gramEnd"/>
            <w:r>
              <w:rPr>
                <w:rFonts w:asciiTheme="minorHAnsi" w:hAnsiTheme="minorHAnsi" w:cstheme="minorHAnsi"/>
              </w:rPr>
              <w:t xml:space="preserve"> change in employment status </w:t>
            </w:r>
          </w:p>
        </w:tc>
        <w:tc>
          <w:tcPr>
            <w:tcW w:w="1559" w:type="dxa"/>
          </w:tcPr>
          <w:p w14:paraId="37835444" w14:textId="606CD1EB" w:rsidR="006F2638" w:rsidRPr="003A5C4A" w:rsidRDefault="006F2638" w:rsidP="004C43E1">
            <w:pPr>
              <w:rPr>
                <w:rFonts w:asciiTheme="minorHAnsi" w:hAnsiTheme="minorHAnsi" w:cstheme="minorHAnsi"/>
              </w:rPr>
            </w:pPr>
            <w:r>
              <w:t xml:space="preserve">↑ </w:t>
            </w:r>
            <w:r w:rsidRPr="006B2F25">
              <w:rPr>
                <w:rFonts w:asciiTheme="minorHAnsi" w:hAnsiTheme="minorHAnsi" w:cstheme="minorHAnsi"/>
              </w:rPr>
              <w:t>12%</w:t>
            </w:r>
          </w:p>
        </w:tc>
        <w:tc>
          <w:tcPr>
            <w:tcW w:w="1843" w:type="dxa"/>
          </w:tcPr>
          <w:p w14:paraId="44449955" w14:textId="010B9123" w:rsidR="006F2638" w:rsidRPr="003A5C4A" w:rsidRDefault="006F2638" w:rsidP="004C43E1">
            <w:pPr>
              <w:rPr>
                <w:rFonts w:asciiTheme="minorHAnsi" w:hAnsiTheme="minorHAnsi" w:cstheme="minorHAnsi"/>
              </w:rPr>
            </w:pPr>
            <w:r>
              <w:t xml:space="preserve">↓ </w:t>
            </w:r>
            <w:r w:rsidRPr="006B2F25">
              <w:rPr>
                <w:rFonts w:asciiTheme="minorHAnsi" w:hAnsiTheme="minorHAnsi" w:cstheme="minorHAnsi"/>
              </w:rPr>
              <w:t>4%</w:t>
            </w:r>
          </w:p>
        </w:tc>
      </w:tr>
    </w:tbl>
    <w:p w14:paraId="19622822" w14:textId="77777777" w:rsidR="00334B17" w:rsidRDefault="00334B17" w:rsidP="00334B17">
      <w:pPr>
        <w:widowControl/>
        <w:autoSpaceDE/>
        <w:autoSpaceDN/>
        <w:spacing w:after="160" w:line="259" w:lineRule="auto"/>
        <w:contextualSpacing/>
      </w:pPr>
    </w:p>
    <w:p w14:paraId="2092417D" w14:textId="0F4EA8DD" w:rsidR="003C4B54" w:rsidRDefault="00334B17" w:rsidP="003335EA">
      <w:pPr>
        <w:pStyle w:val="Normal4"/>
      </w:pPr>
      <w:r>
        <w:t>Within these results, people with intellectual disability comprise 19.6% of NDIS participants (and people with Autism, 32.5%), and employment outcomes for people with intellectual disability are largely within ADEs.</w:t>
      </w:r>
    </w:p>
    <w:p w14:paraId="3D534AE2" w14:textId="7DFE0E0F" w:rsidR="00D02162" w:rsidRDefault="003C4B54" w:rsidP="003335EA">
      <w:pPr>
        <w:pStyle w:val="Normal4"/>
      </w:pPr>
      <w:r>
        <w:t>As an individualised funding system, the NDIS</w:t>
      </w:r>
      <w:r w:rsidR="00D02162">
        <w:t xml:space="preserve"> </w:t>
      </w:r>
      <w:r w:rsidR="00425084">
        <w:t>offers</w:t>
      </w:r>
      <w:r w:rsidR="000A6219">
        <w:t xml:space="preserve"> funding to support employment that can only be used</w:t>
      </w:r>
      <w:r w:rsidR="00D02162">
        <w:t xml:space="preserve"> by an individual</w:t>
      </w:r>
      <w:r w:rsidR="000A6219">
        <w:t xml:space="preserve"> to purchase employment supports from a market</w:t>
      </w:r>
      <w:r w:rsidR="004F4A5A">
        <w:t>.</w:t>
      </w:r>
    </w:p>
    <w:p w14:paraId="42BC96D9" w14:textId="50392CEC" w:rsidR="00D02162" w:rsidRDefault="00D02162" w:rsidP="00903D8E">
      <w:pPr>
        <w:pStyle w:val="Quote"/>
      </w:pPr>
      <w:r w:rsidRPr="005153D4">
        <w:rPr>
          <w:rFonts w:hint="cs"/>
        </w:rPr>
        <w:t xml:space="preserve">The NDIS has significantly changed the way many employment interventions are funded and delivered by offering individualised funds to NDIS funded participants that they can choose to use at a range of providers. A review of the NDIS registered provider lists available through the NDIA’s website shows several thousand providers registered to </w:t>
      </w:r>
      <w:proofErr w:type="gramStart"/>
      <w:r w:rsidRPr="005153D4">
        <w:rPr>
          <w:rFonts w:hint="cs"/>
        </w:rPr>
        <w:t>provide assistance to</w:t>
      </w:r>
      <w:proofErr w:type="gramEnd"/>
      <w:r w:rsidRPr="005153D4">
        <w:rPr>
          <w:rFonts w:hint="cs"/>
        </w:rPr>
        <w:t xml:space="preserve"> access and maintain employment or deliver specialised employment support</w:t>
      </w:r>
      <w:r>
        <w:t xml:space="preserve"> (Brown </w:t>
      </w:r>
      <w:r w:rsidR="003B7BFC">
        <w:t>&amp;</w:t>
      </w:r>
      <w:r>
        <w:t xml:space="preserve"> Mallet, 2021, p.</w:t>
      </w:r>
      <w:r w:rsidR="000B3720">
        <w:t xml:space="preserve"> </w:t>
      </w:r>
      <w:r>
        <w:t>22)</w:t>
      </w:r>
      <w:r w:rsidRPr="005153D4">
        <w:rPr>
          <w:rFonts w:hint="cs"/>
        </w:rPr>
        <w:t xml:space="preserve">. </w:t>
      </w:r>
    </w:p>
    <w:p w14:paraId="71DB2DD5" w14:textId="4399DA00" w:rsidR="00C57610" w:rsidRDefault="000A6219" w:rsidP="003335EA">
      <w:pPr>
        <w:pStyle w:val="Normal4"/>
      </w:pPr>
      <w:r>
        <w:lastRenderedPageBreak/>
        <w:t>Despite</w:t>
      </w:r>
      <w:r w:rsidR="00D02162">
        <w:t xml:space="preserve"> this lengthy list of employment providers, there is little understanding of what supports are available to purchase and research identifies a gap in the availability of a market of employment support providers for people with </w:t>
      </w:r>
      <w:r w:rsidR="00DD548D">
        <w:t xml:space="preserve">intellectual </w:t>
      </w:r>
      <w:r w:rsidR="00D02162">
        <w:t>disability</w:t>
      </w:r>
      <w:r w:rsidR="00735B2C">
        <w:t xml:space="preserve"> (Crosbie, 2022)</w:t>
      </w:r>
      <w:r w:rsidR="00D02162">
        <w:t xml:space="preserve"> (see Paper 2). </w:t>
      </w:r>
    </w:p>
    <w:p w14:paraId="328F7170" w14:textId="13BCD2E7" w:rsidR="00B51789" w:rsidRDefault="00D02162" w:rsidP="003335EA">
      <w:pPr>
        <w:pStyle w:val="Normal4"/>
      </w:pPr>
      <w:r>
        <w:t>The NDIS offers both ‘core’ and ‘capacity building</w:t>
      </w:r>
      <w:r w:rsidR="00C57610">
        <w:t>’</w:t>
      </w:r>
      <w:r>
        <w:t xml:space="preserve"> funding in the area of employment supports. The NDIS has </w:t>
      </w:r>
      <w:r w:rsidR="00B51789">
        <w:t xml:space="preserve">actively tried to influence the market of providers by both instituting a funding item for School Leaver Employment Supports (SLES) and by changing the way ‘supports in employment’ </w:t>
      </w:r>
      <w:r w:rsidR="00CC7570">
        <w:t xml:space="preserve">(core) </w:t>
      </w:r>
      <w:r w:rsidR="00B51789">
        <w:t xml:space="preserve">can be used. As described by Olney et al. (2022): </w:t>
      </w:r>
    </w:p>
    <w:p w14:paraId="08694C1B" w14:textId="0AE1014B" w:rsidR="003A5C4A" w:rsidRDefault="003A5C4A" w:rsidP="00903D8E">
      <w:pPr>
        <w:pStyle w:val="Quote"/>
      </w:pPr>
      <w:r>
        <w:t xml:space="preserve">the NDIA has adjusted how it funds employment-related supports. From July 2020, NDIS funding for core-funded employment supports became more flexible for participants requiring ongoing and/or frequent support to succeed at work, including on-site workplace support. These changes to the pricing model give NDIS participants scope to use supports to develop foundation skills for work, and to access supports in a wider range of employment settings, effectively bridging the long-standing divide between supported and open employment (NDIA, </w:t>
      </w:r>
      <w:r w:rsidRPr="004A46D4">
        <w:t>2020a</w:t>
      </w:r>
      <w:r>
        <w:t xml:space="preserve">). NDIS participants can also access supports to build their capacity towards future employment from the age of 14 (NDIA, </w:t>
      </w:r>
      <w:r w:rsidRPr="004A46D4">
        <w:t>2020a</w:t>
      </w:r>
      <w:r>
        <w:t>). It should be noted, however, that the NDIS does not fund skills development or workplace accommodations that would normally be funded by other government programs, employers, or DES (Olney et al., 2022, p.</w:t>
      </w:r>
      <w:r w:rsidR="00FC074D">
        <w:t xml:space="preserve"> </w:t>
      </w:r>
      <w:r>
        <w:t>166).</w:t>
      </w:r>
    </w:p>
    <w:p w14:paraId="448DD4E5" w14:textId="74FB54D6" w:rsidR="009C6738" w:rsidRDefault="009C6738" w:rsidP="003335EA">
      <w:pPr>
        <w:pStyle w:val="Normal4"/>
      </w:pPr>
      <w:r>
        <w:t>Core</w:t>
      </w:r>
      <w:r w:rsidR="005D2B4A">
        <w:t xml:space="preserve"> supports in employment encompasses ‘day-to-day assistance in the workplace to maintain employment’, whereas Capacity Building employment supports include </w:t>
      </w:r>
      <w:r w:rsidR="005D2B4A" w:rsidRPr="00740D0E">
        <w:t>employment-related assessment and counselling</w:t>
      </w:r>
      <w:r w:rsidR="005D2B4A">
        <w:t xml:space="preserve">; </w:t>
      </w:r>
      <w:r w:rsidR="005D2B4A" w:rsidRPr="003C4B1E">
        <w:t>workplace assistance</w:t>
      </w:r>
      <w:r w:rsidR="00C57610">
        <w:t>;</w:t>
      </w:r>
      <w:r w:rsidR="005D2B4A">
        <w:t xml:space="preserve"> and </w:t>
      </w:r>
      <w:r w:rsidR="005D2B4A" w:rsidRPr="00740D0E">
        <w:t>sc</w:t>
      </w:r>
      <w:r w:rsidR="005D2B4A">
        <w:t>hool leaver employment supports (NDIA, 2021, p.</w:t>
      </w:r>
      <w:r w:rsidR="004A46D4">
        <w:t xml:space="preserve"> </w:t>
      </w:r>
      <w:r w:rsidR="005D2B4A">
        <w:t xml:space="preserve">3). </w:t>
      </w:r>
      <w:r w:rsidR="00CB5518">
        <w:t xml:space="preserve">On face value, and in practice, the interface between NDIS funded employment supports and other employment supports with similar focus is unclear. For example, in the arena of employment-related assessment, this can potentially be supported via DES, ADEs, </w:t>
      </w:r>
      <w:proofErr w:type="spellStart"/>
      <w:r w:rsidR="00CB5518">
        <w:t>JobAccess</w:t>
      </w:r>
      <w:proofErr w:type="spellEnd"/>
      <w:r w:rsidR="00CB5518">
        <w:t xml:space="preserve"> and Employment Assistance Fund, and NDIS funded supports.</w:t>
      </w:r>
    </w:p>
    <w:p w14:paraId="0DA03B12" w14:textId="0F8ACD8B" w:rsidR="009C6738" w:rsidRDefault="00B51789" w:rsidP="003335EA">
      <w:pPr>
        <w:pStyle w:val="Normal4"/>
      </w:pPr>
      <w:r>
        <w:t>With the withdrawal of DSS block funding from ADEs, NDIS funding is the primary</w:t>
      </w:r>
      <w:r w:rsidR="009C6738">
        <w:t xml:space="preserve"> Commonwealth government</w:t>
      </w:r>
      <w:r>
        <w:t xml:space="preserve"> income source (via ADE employees) for ADEs. As Olney et al. (2022) identify, enabling the use of ‘supports in employment</w:t>
      </w:r>
      <w:r w:rsidR="00CB5518">
        <w:t>’</w:t>
      </w:r>
      <w:r>
        <w:t xml:space="preserve"> funding by individuals in both open and supported work</w:t>
      </w:r>
      <w:r w:rsidR="009C6738">
        <w:t>place</w:t>
      </w:r>
      <w:r>
        <w:t xml:space="preserve">s, </w:t>
      </w:r>
      <w:r w:rsidR="00CB5518">
        <w:t xml:space="preserve">overcomes the divide between them </w:t>
      </w:r>
      <w:r>
        <w:t xml:space="preserve">as </w:t>
      </w:r>
      <w:r w:rsidR="00CB5518">
        <w:t xml:space="preserve">both then become </w:t>
      </w:r>
      <w:r>
        <w:t xml:space="preserve">environments into which employment supports can be delivered. </w:t>
      </w:r>
      <w:r w:rsidR="009C6738">
        <w:t>The NDIA explains that participants can now</w:t>
      </w:r>
    </w:p>
    <w:p w14:paraId="3BAB31B0" w14:textId="591D7F1B" w:rsidR="009C6738" w:rsidRDefault="009C6738" w:rsidP="00903D8E">
      <w:pPr>
        <w:pStyle w:val="Quote"/>
      </w:pPr>
      <w:r>
        <w:t>use these supports in any workplace they choose, including government and non-government organisations, an ADE, social enterprises, micro-businesses, or in self-employment or a family run business (NDIA</w:t>
      </w:r>
      <w:r w:rsidR="005D2B4A">
        <w:t xml:space="preserve">, </w:t>
      </w:r>
      <w:r w:rsidR="00A43CCA" w:rsidRPr="00A43CCA">
        <w:t>https://www.ndis.gov.au/</w:t>
      </w:r>
      <w:r w:rsidR="00A43CCA">
        <w:t xml:space="preserve"> </w:t>
      </w:r>
      <w:r w:rsidRPr="009C6738">
        <w:t>understanding/supports-funded-</w:t>
      </w:r>
      <w:proofErr w:type="spellStart"/>
      <w:r w:rsidRPr="009C6738">
        <w:t>ndis</w:t>
      </w:r>
      <w:proofErr w:type="spellEnd"/>
      <w:r w:rsidRPr="009C6738">
        <w:t>/supports-employment</w:t>
      </w:r>
      <w:r>
        <w:t>)</w:t>
      </w:r>
      <w:r w:rsidR="00AF0F9F">
        <w:t>.</w:t>
      </w:r>
    </w:p>
    <w:p w14:paraId="34827693" w14:textId="5D3BFD99" w:rsidR="003A5C4A" w:rsidRPr="009C6738" w:rsidRDefault="00B51789" w:rsidP="003335EA">
      <w:pPr>
        <w:pStyle w:val="Normal4"/>
      </w:pPr>
      <w:r>
        <w:t>In this sense, both open employment and historic ADE settings</w:t>
      </w:r>
      <w:r w:rsidR="004F4CE0">
        <w:t xml:space="preserve"> </w:t>
      </w:r>
      <w:r>
        <w:t xml:space="preserve">have the potential to </w:t>
      </w:r>
      <w:r w:rsidR="005D2B4A">
        <w:t>be settings for</w:t>
      </w:r>
      <w:r>
        <w:t xml:space="preserve"> ‘supported employment’. </w:t>
      </w:r>
      <w:r w:rsidR="009C6738">
        <w:t xml:space="preserve">This fundamental shift is yet to be reflected in legislation such as the </w:t>
      </w:r>
      <w:r w:rsidR="009C6738" w:rsidRPr="009C6738">
        <w:rPr>
          <w:i/>
          <w:iCs/>
        </w:rPr>
        <w:t>Disability Services Act 1986</w:t>
      </w:r>
      <w:r w:rsidR="00324643">
        <w:rPr>
          <w:i/>
          <w:iCs/>
        </w:rPr>
        <w:t>,</w:t>
      </w:r>
      <w:r w:rsidR="009C6738">
        <w:rPr>
          <w:i/>
          <w:iCs/>
        </w:rPr>
        <w:t xml:space="preserve"> </w:t>
      </w:r>
      <w:r w:rsidR="009C6738">
        <w:t xml:space="preserve">as </w:t>
      </w:r>
      <w:r w:rsidR="005D2B4A">
        <w:t xml:space="preserve">now a much wider range of employment services can offer supports in employment in diverse settings, meaning that these settings all become </w:t>
      </w:r>
      <w:r w:rsidR="0024148D">
        <w:t>venues</w:t>
      </w:r>
      <w:r w:rsidR="00324643">
        <w:t xml:space="preserve"> of </w:t>
      </w:r>
      <w:r w:rsidR="005D2B4A">
        <w:t xml:space="preserve">‘supported employment’, as all workplaces should be to meet CRPD obligations. </w:t>
      </w:r>
      <w:r w:rsidR="0031127F">
        <w:t xml:space="preserve">In this context, </w:t>
      </w:r>
      <w:r w:rsidR="006E05DE">
        <w:t xml:space="preserve">NDIS employment support funding </w:t>
      </w:r>
      <w:r w:rsidR="006A139B">
        <w:t xml:space="preserve">potentially </w:t>
      </w:r>
      <w:r w:rsidR="00B81ADB">
        <w:t xml:space="preserve">pays for supports and adjustments beyond what is considered ‘reasonable adjustment’ within the Disability Discrimination Act, </w:t>
      </w:r>
      <w:r w:rsidR="00D846DA">
        <w:t>opening up a wider range of employment opportunities to people w</w:t>
      </w:r>
      <w:r w:rsidR="003F37F3">
        <w:t>ho ‘need substantial ongoing support to obtain or retain paid employment’ (Disability Services Act</w:t>
      </w:r>
      <w:r w:rsidR="00F933D7">
        <w:t xml:space="preserve">, Commonwealth of Australia, 1987, Part 11, </w:t>
      </w:r>
      <w:proofErr w:type="spellStart"/>
      <w:r w:rsidR="00F933D7">
        <w:t>Div</w:t>
      </w:r>
      <w:proofErr w:type="spellEnd"/>
      <w:r w:rsidR="00F933D7">
        <w:t xml:space="preserve"> 1, </w:t>
      </w:r>
      <w:r w:rsidR="00F933D7">
        <w:lastRenderedPageBreak/>
        <w:t>7.</w:t>
      </w:r>
      <w:r w:rsidR="003F37F3">
        <w:t>).</w:t>
      </w:r>
      <w:r w:rsidR="00FB5733">
        <w:t xml:space="preserve"> </w:t>
      </w:r>
      <w:r w:rsidR="00BF5338">
        <w:t>However, it is not clear which market of providers will offer this level and type of employment supports outside of ADE settings.</w:t>
      </w:r>
    </w:p>
    <w:p w14:paraId="72662D2D" w14:textId="75A241DD" w:rsidR="00A306EA" w:rsidRDefault="00334B17" w:rsidP="003335EA">
      <w:pPr>
        <w:pStyle w:val="Normal4"/>
      </w:pPr>
      <w:r>
        <w:t>The NDIS has a complicated and complicating relationship with other systems and services that contribute to or support the goal of increased employment of people with disability</w:t>
      </w:r>
      <w:r w:rsidR="00047C48">
        <w:t xml:space="preserve">, particularly </w:t>
      </w:r>
      <w:r w:rsidR="005D2B4A">
        <w:t xml:space="preserve">DES. As discussed above, </w:t>
      </w:r>
      <w:r w:rsidR="005C5713">
        <w:t xml:space="preserve">NDIS </w:t>
      </w:r>
      <w:r w:rsidR="005D2B4A">
        <w:t xml:space="preserve">core </w:t>
      </w:r>
      <w:r w:rsidR="00EB78F2">
        <w:t>‘</w:t>
      </w:r>
      <w:r w:rsidR="005D2B4A">
        <w:t>supports in employment</w:t>
      </w:r>
      <w:r w:rsidR="00EB78F2">
        <w:t>’</w:t>
      </w:r>
      <w:r w:rsidR="005D2B4A">
        <w:t xml:space="preserve"> provide funding that potentially bridges a </w:t>
      </w:r>
      <w:r w:rsidR="00EC7887">
        <w:t xml:space="preserve">gap in DES services, that is, </w:t>
      </w:r>
      <w:r w:rsidR="00CB5518">
        <w:t xml:space="preserve">by providing </w:t>
      </w:r>
      <w:r w:rsidR="00EC7887">
        <w:t>a level of ongoing support in the workplace</w:t>
      </w:r>
      <w:r w:rsidR="00CE311A">
        <w:t xml:space="preserve"> beyond that which DES ESS can provide</w:t>
      </w:r>
      <w:r w:rsidR="00EC7887">
        <w:t xml:space="preserve">. </w:t>
      </w:r>
      <w:r w:rsidR="00CB5518">
        <w:t xml:space="preserve">Similarly, NDIS capacity building supports, including workplace assistance, has overlap with DES supports. </w:t>
      </w:r>
      <w:r w:rsidR="00CE311A">
        <w:t>While the policy intent is that there is no overlap between systems, in practice it is not clear to providers</w:t>
      </w:r>
      <w:r w:rsidR="00EB78F2">
        <w:t>, employers</w:t>
      </w:r>
      <w:r w:rsidR="00CE311A">
        <w:t xml:space="preserve"> or NDIS participants.</w:t>
      </w:r>
      <w:r w:rsidR="00300434">
        <w:t xml:space="preserve"> </w:t>
      </w:r>
    </w:p>
    <w:p w14:paraId="19EB83BE" w14:textId="3950A082" w:rsidR="00EC7887" w:rsidRPr="005F6842" w:rsidRDefault="00A306EA" w:rsidP="003335EA">
      <w:pPr>
        <w:pStyle w:val="Normal4"/>
      </w:pPr>
      <w:r>
        <w:t xml:space="preserve">DES is </w:t>
      </w:r>
      <w:r w:rsidR="00CE311A">
        <w:t xml:space="preserve">also </w:t>
      </w:r>
      <w:r>
        <w:t>positioned by the NDIS as the end point of NDIS ‘</w:t>
      </w:r>
      <w:r w:rsidR="00EC7887">
        <w:t>capacity building’ employment supports (Olney et al</w:t>
      </w:r>
      <w:r w:rsidR="0095513C">
        <w:t>.</w:t>
      </w:r>
      <w:r w:rsidR="00EC7887">
        <w:t xml:space="preserve">, 2022). </w:t>
      </w:r>
      <w:r>
        <w:t>For example</w:t>
      </w:r>
      <w:r w:rsidR="00EC7887">
        <w:t xml:space="preserve">, </w:t>
      </w:r>
      <w:r>
        <w:t xml:space="preserve">DES is </w:t>
      </w:r>
      <w:r w:rsidR="00CE311A">
        <w:t xml:space="preserve">viewed </w:t>
      </w:r>
      <w:r>
        <w:t xml:space="preserve">by the NDIS as </w:t>
      </w:r>
      <w:r w:rsidR="00EC7887">
        <w:t xml:space="preserve">the main pathway beyond SLES </w:t>
      </w:r>
      <w:r>
        <w:t>(funded via NDIS capacity building employment support) and into which SLES feeds</w:t>
      </w:r>
      <w:r w:rsidR="00CE311A">
        <w:t>.</w:t>
      </w:r>
      <w:r w:rsidR="00300434">
        <w:t xml:space="preserve"> </w:t>
      </w:r>
      <w:r w:rsidR="00CE311A">
        <w:t>This framing is particularly problematic for people with intellectual disability or high support needs, given the</w:t>
      </w:r>
      <w:r w:rsidR="00EC7887">
        <w:t xml:space="preserve"> eligibility barrier for DES </w:t>
      </w:r>
      <w:r w:rsidR="00CE311A">
        <w:t>is</w:t>
      </w:r>
      <w:r w:rsidR="00EC7887">
        <w:t xml:space="preserve"> a minimum work capacity of 8 hours per week</w:t>
      </w:r>
      <w:r>
        <w:t xml:space="preserve"> and DES </w:t>
      </w:r>
      <w:r w:rsidR="00CE311A">
        <w:t>has been</w:t>
      </w:r>
      <w:r>
        <w:t xml:space="preserve"> found to be largely inadequate for people with intellectual disability</w:t>
      </w:r>
      <w:r w:rsidR="00340E84">
        <w:t xml:space="preserve"> (BCG, 2020</w:t>
      </w:r>
      <w:r w:rsidR="00C24B27">
        <w:t>b</w:t>
      </w:r>
      <w:r w:rsidR="00340E84">
        <w:t>; Inclusion Australia, 2022)</w:t>
      </w:r>
      <w:r w:rsidR="00EC7887">
        <w:t>.</w:t>
      </w:r>
    </w:p>
    <w:p w14:paraId="45D102CF" w14:textId="3A17C8EA" w:rsidR="001501FA" w:rsidRDefault="00CE311A" w:rsidP="003335EA">
      <w:pPr>
        <w:pStyle w:val="Normal4"/>
      </w:pPr>
      <w:r>
        <w:t>While the interface between DES and the NDIS is an especially obvious one, the role of NDIS in relation to other areas of employment support has also been noted (</w:t>
      </w:r>
      <w:r w:rsidR="00042107">
        <w:t>Crosbie</w:t>
      </w:r>
      <w:r>
        <w:t xml:space="preserve">, 2022). </w:t>
      </w:r>
      <w:r w:rsidR="003C4B54">
        <w:t>I</w:t>
      </w:r>
      <w:r w:rsidR="00A306EA">
        <w:t xml:space="preserve">ndividualised funding </w:t>
      </w:r>
      <w:r w:rsidR="003C4B54">
        <w:t xml:space="preserve">cannot </w:t>
      </w:r>
      <w:r w:rsidR="00A306EA">
        <w:t>easily be used to bridge or compensate for the inaccessible design features of mainstream activities such as vocational training</w:t>
      </w:r>
      <w:r w:rsidR="003C4B54">
        <w:t xml:space="preserve">, </w:t>
      </w:r>
      <w:r w:rsidR="00A306EA">
        <w:t>secondary school work experience programs</w:t>
      </w:r>
      <w:r w:rsidR="003C4B54">
        <w:t xml:space="preserve"> or active labour market programs</w:t>
      </w:r>
      <w:r w:rsidR="00A306EA">
        <w:t xml:space="preserve">. Crosbie (2022) reports multiple informants identifying this as a barrier to employment for people with intellectual disability. </w:t>
      </w:r>
    </w:p>
    <w:p w14:paraId="1CEBCC71" w14:textId="1BEFE435" w:rsidR="001501FA" w:rsidRDefault="001501FA" w:rsidP="00903D8E">
      <w:pPr>
        <w:pStyle w:val="Quote"/>
      </w:pPr>
      <w:r>
        <w:t xml:space="preserve">Policy interface issues mean that these systems, including DES, could not be ‘topped up’ by specialised intellectual disability supports funded by the NDIS. </w:t>
      </w:r>
      <w:r w:rsidRPr="00EC4274">
        <w:t xml:space="preserve">For example, a support worker can easily </w:t>
      </w:r>
      <w:r>
        <w:t xml:space="preserve">be </w:t>
      </w:r>
      <w:r w:rsidRPr="00EC4274">
        <w:t>purchased to undertake an activity of daily living</w:t>
      </w:r>
      <w:r>
        <w:t xml:space="preserve"> (using NDIS funding)</w:t>
      </w:r>
      <w:r w:rsidRPr="00EC4274">
        <w:t xml:space="preserve">, </w:t>
      </w:r>
      <w:r>
        <w:t xml:space="preserve">but </w:t>
      </w:r>
      <w:r w:rsidRPr="00EC4274">
        <w:t xml:space="preserve">individualised funding </w:t>
      </w:r>
      <w:r>
        <w:t>cannot be used</w:t>
      </w:r>
      <w:r w:rsidRPr="00EC4274">
        <w:t xml:space="preserve"> </w:t>
      </w:r>
      <w:r>
        <w:t xml:space="preserve">to </w:t>
      </w:r>
      <w:r w:rsidRPr="00EC4274">
        <w:t>top up the minimal supports available within the DES system by purchasing specialised intellectual disability supports.</w:t>
      </w:r>
      <w:r>
        <w:t xml:space="preserve"> Essentially, the individualised funding of people with intellectual disability is of little use in existing government labour market programs. Overall, t</w:t>
      </w:r>
      <w:r w:rsidRPr="00EC4274">
        <w:t xml:space="preserve">he available individualised funding </w:t>
      </w:r>
      <w:r>
        <w:t>cannot</w:t>
      </w:r>
      <w:r w:rsidRPr="00EC4274">
        <w:t xml:space="preserve"> be used to mediate these systems </w:t>
      </w:r>
      <w:r>
        <w:t xml:space="preserve">and customise them </w:t>
      </w:r>
      <w:r w:rsidRPr="00EC4274">
        <w:t>to suit young people with intellectual disability</w:t>
      </w:r>
      <w:r>
        <w:t xml:space="preserve"> (Crosbie, 2022, p.</w:t>
      </w:r>
      <w:r w:rsidR="00490958">
        <w:t xml:space="preserve"> </w:t>
      </w:r>
      <w:r>
        <w:t>284)</w:t>
      </w:r>
      <w:r w:rsidRPr="00EC4274">
        <w:t>.</w:t>
      </w:r>
    </w:p>
    <w:p w14:paraId="043E105C" w14:textId="2A14035E" w:rsidR="00A306EA" w:rsidRDefault="00A306EA" w:rsidP="003335EA">
      <w:pPr>
        <w:pStyle w:val="Normal4"/>
      </w:pPr>
      <w:r>
        <w:t xml:space="preserve">Further, individualised funding cannot easily be converted into employer/workplace capacity building activities where effort is best collectivised </w:t>
      </w:r>
      <w:r w:rsidR="00CE311A">
        <w:t>across jobseekers and employers</w:t>
      </w:r>
      <w:r>
        <w:t>.</w:t>
      </w:r>
      <w:r w:rsidR="003C4B54">
        <w:t xml:space="preserve"> It also cannot be used to support strategies to overcome structural barriers to employment, such as supporting regional networks of employers to enhance capacity for inclusive employment.</w:t>
      </w:r>
      <w:r w:rsidR="00D46452">
        <w:t xml:space="preserve"> As explained by one research participant, ‘</w:t>
      </w:r>
      <w:r w:rsidR="00D46452" w:rsidRPr="00583487">
        <w:t>you can’t use individualised funding to buy a job’</w:t>
      </w:r>
      <w:r w:rsidR="00D46452">
        <w:t xml:space="preserve"> (</w:t>
      </w:r>
      <w:r w:rsidR="002534AC">
        <w:t>CEO of employer capacity building organisation) (Crosbie, 2022, p.</w:t>
      </w:r>
      <w:r w:rsidR="00317B68">
        <w:t xml:space="preserve"> </w:t>
      </w:r>
      <w:r w:rsidR="002534AC">
        <w:t>295).</w:t>
      </w:r>
    </w:p>
    <w:p w14:paraId="7D1076A0" w14:textId="694DF770" w:rsidR="005248F6" w:rsidRPr="00611C01" w:rsidRDefault="008E2462" w:rsidP="003335EA">
      <w:pPr>
        <w:pStyle w:val="Normal4"/>
        <w:rPr>
          <w:rStyle w:val="Normal4Char"/>
        </w:rPr>
      </w:pPr>
      <w:r>
        <w:t>Overall</w:t>
      </w:r>
      <w:r w:rsidRPr="00611C01">
        <w:rPr>
          <w:rStyle w:val="Normal4Char"/>
        </w:rPr>
        <w:t>, individualised funding is not a feature of the broader employment support ecosystem, and as such it is difficult to unlock its value in enhancing current inadequate employment services for the benefit of people with intellectual disability.</w:t>
      </w:r>
      <w:r w:rsidR="00300434">
        <w:rPr>
          <w:rStyle w:val="Normal4Char"/>
        </w:rPr>
        <w:t xml:space="preserve"> </w:t>
      </w:r>
      <w:r w:rsidRPr="00611C01">
        <w:rPr>
          <w:rStyle w:val="Normal4Char"/>
        </w:rPr>
        <w:t>The market of providers ha</w:t>
      </w:r>
      <w:r w:rsidR="00CE311A" w:rsidRPr="00611C01">
        <w:rPr>
          <w:rStyle w:val="Normal4Char"/>
        </w:rPr>
        <w:t>s</w:t>
      </w:r>
      <w:r w:rsidRPr="00611C01">
        <w:rPr>
          <w:rStyle w:val="Normal4Char"/>
        </w:rPr>
        <w:t xml:space="preserve"> not responded to a clear market gap by initiating evidence-based employment supports for people with intellectual disability, and the NDIS has, to date, not acted to compel or incentivise them to do so (</w:t>
      </w:r>
      <w:r w:rsidR="006F6DD4" w:rsidRPr="00611C01">
        <w:rPr>
          <w:rStyle w:val="Normal4Char"/>
        </w:rPr>
        <w:t xml:space="preserve">BCG, 2020b; </w:t>
      </w:r>
      <w:r w:rsidRPr="00611C01">
        <w:rPr>
          <w:rStyle w:val="Normal4Char"/>
        </w:rPr>
        <w:t>Crosbie, 2022).</w:t>
      </w:r>
      <w:r w:rsidR="005248F6" w:rsidRPr="00611C01">
        <w:rPr>
          <w:rStyle w:val="Normal4Char"/>
        </w:rPr>
        <w:t xml:space="preserve"> </w:t>
      </w:r>
    </w:p>
    <w:p w14:paraId="3BE8F3FA" w14:textId="77777777" w:rsidR="003A5C4A" w:rsidRDefault="003A5C4A" w:rsidP="003A5C4A">
      <w:pPr>
        <w:pStyle w:val="Heading3"/>
      </w:pPr>
      <w:r>
        <w:lastRenderedPageBreak/>
        <w:t>States/Territories</w:t>
      </w:r>
    </w:p>
    <w:p w14:paraId="72E482AD" w14:textId="2E77AA8D" w:rsidR="003A5C4A" w:rsidRDefault="003A5C4A" w:rsidP="003335EA">
      <w:pPr>
        <w:pStyle w:val="Normal4"/>
      </w:pPr>
      <w:r>
        <w:t xml:space="preserve">The National Disability Agreement makes State and Territory governments responsible for the provision of specialist disability services (not transferred to the NDIS), except disability employment services (Productivity Commission, 2022). </w:t>
      </w:r>
      <w:r w:rsidR="008D4732">
        <w:t>However, to a large extent, specialist disability services have been transferred from States and Territories to the National Disability Insurance Scheme.</w:t>
      </w:r>
      <w:r w:rsidR="005A6DE0">
        <w:t xml:space="preserve"> </w:t>
      </w:r>
      <w:r>
        <w:t xml:space="preserve">Given </w:t>
      </w:r>
      <w:r w:rsidR="008D4732">
        <w:t>this</w:t>
      </w:r>
      <w:r>
        <w:t xml:space="preserve">, the </w:t>
      </w:r>
      <w:r w:rsidR="005A6DE0">
        <w:t>primary</w:t>
      </w:r>
      <w:r>
        <w:t xml:space="preserve"> role of States and Territories in terms of supporting the employment of people with disability is via the provision of core services such as secondary school</w:t>
      </w:r>
      <w:r w:rsidR="007E6A6E">
        <w:t xml:space="preserve">s and vocational education and training. </w:t>
      </w:r>
    </w:p>
    <w:p w14:paraId="17F61BD1" w14:textId="0CA128C7" w:rsidR="007E6A6E" w:rsidRDefault="007E6A6E" w:rsidP="003335EA">
      <w:pPr>
        <w:pStyle w:val="Normal4"/>
      </w:pPr>
      <w:r>
        <w:t>School</w:t>
      </w:r>
      <w:r w:rsidR="005A6DE0">
        <w:t>s</w:t>
      </w:r>
      <w:r>
        <w:t xml:space="preserve"> have been shown to be the ‘primary providers of early economic participation activities and transition supports in Australia’ (Crosbie, 2022, p.</w:t>
      </w:r>
      <w:r w:rsidR="00F40CD5">
        <w:t xml:space="preserve"> </w:t>
      </w:r>
      <w:r>
        <w:t>293). Schools are responsible for both work experience programs and for early careers counselling, though have not delivered suitable supports and outcomes for young people with intellectual disability (Crosbie, 2022). Families and young people want</w:t>
      </w:r>
      <w:r w:rsidR="005A6DE0">
        <w:t xml:space="preserve"> increased employment support via schools including:</w:t>
      </w:r>
      <w:r>
        <w:t xml:space="preserve"> careers counselling from age 14 (linked to a ‘discovery’ process)</w:t>
      </w:r>
      <w:r w:rsidR="005A6DE0">
        <w:t>;</w:t>
      </w:r>
      <w:r w:rsidR="00D46452">
        <w:t xml:space="preserve"> detailed and evolving school to work transition planning</w:t>
      </w:r>
      <w:r w:rsidR="005A6DE0">
        <w:t>;</w:t>
      </w:r>
      <w:r w:rsidR="00D46452">
        <w:t xml:space="preserve"> expanded opportunities for work experience and paid work whilst at school</w:t>
      </w:r>
      <w:r w:rsidR="005A6DE0">
        <w:t>;</w:t>
      </w:r>
      <w:r w:rsidR="00D46452">
        <w:t xml:space="preserve"> and expanded linkages into a wider range of economic participation options post school (DSS, 2018; Crosbie, 2022). However, the interface</w:t>
      </w:r>
      <w:r w:rsidR="005A6DE0">
        <w:t>s between these activities (provided to varying degrees in schools)</w:t>
      </w:r>
      <w:r w:rsidR="00D46452">
        <w:t xml:space="preserve"> with NDIS employment funding and DES ha</w:t>
      </w:r>
      <w:r w:rsidR="005A6DE0">
        <w:t>ve</w:t>
      </w:r>
      <w:r w:rsidR="00D46452">
        <w:t xml:space="preserve"> been a source of confusion.</w:t>
      </w:r>
      <w:r w:rsidR="005A6DE0">
        <w:t xml:space="preserve"> In the main, young people with intellectual disability have not been well supported in relation to employment and transition planning whilst at school, and schools have reinforced pathways into ADEs or non-employment activities (Meltzer et al., 2016; Crosbie, 2022).</w:t>
      </w:r>
    </w:p>
    <w:p w14:paraId="03C5D4C5" w14:textId="1D675C55" w:rsidR="008D4732" w:rsidRDefault="008D4732" w:rsidP="003335EA">
      <w:pPr>
        <w:pStyle w:val="Normal4"/>
      </w:pPr>
      <w:r w:rsidRPr="008D4732">
        <w:rPr>
          <w:rStyle w:val="Normal4Char"/>
        </w:rPr>
        <w:t xml:space="preserve">In their review of disability employment programs, Brown and Mallet </w:t>
      </w:r>
      <w:r w:rsidR="00DB1EE9">
        <w:rPr>
          <w:rStyle w:val="Normal4Char"/>
        </w:rPr>
        <w:t xml:space="preserve">(2021) </w:t>
      </w:r>
      <w:r w:rsidRPr="008D4732">
        <w:rPr>
          <w:rStyle w:val="Normal4Char"/>
        </w:rPr>
        <w:t>identified 24 (16%) programs funded by State and Territory governments</w:t>
      </w:r>
      <w:r>
        <w:t>, with QLD and Victoria being the only states to operate state-based employment services that included people with disability. O</w:t>
      </w:r>
      <w:r w:rsidR="00032986">
        <w:t>f</w:t>
      </w:r>
      <w:r>
        <w:t xml:space="preserve"> those run by Victoria, </w:t>
      </w:r>
      <w:r w:rsidR="00435115">
        <w:t>five</w:t>
      </w:r>
      <w:r>
        <w:t xml:space="preserve"> programs targeted people with </w:t>
      </w:r>
      <w:r w:rsidR="00075998">
        <w:t xml:space="preserve">intellectual </w:t>
      </w:r>
      <w:r>
        <w:t>disability including an internship program (for university students), a micro enterprise program, a public service recruitment program</w:t>
      </w:r>
      <w:r w:rsidR="00032986">
        <w:t xml:space="preserve">, and two online vocational programs. In addition, Victoria funds a grants program (Jobs Victoria Innovation Fund) to enable innovation in employment support. Other States and Territories had a small set of programs, primarily focused on public service recruitment (Brown </w:t>
      </w:r>
      <w:r w:rsidR="00BB3713">
        <w:t>&amp;</w:t>
      </w:r>
      <w:r w:rsidR="00032986">
        <w:t xml:space="preserve"> Mallet, 2021).</w:t>
      </w:r>
    </w:p>
    <w:p w14:paraId="65C5FA8F" w14:textId="744020C1" w:rsidR="00435115" w:rsidRDefault="00435115" w:rsidP="003335EA">
      <w:pPr>
        <w:pStyle w:val="Normal4"/>
      </w:pPr>
      <w:r>
        <w:t xml:space="preserve">While work integrated training programs have been a feature of evidence based employment supports for people with intellectual disability, delivery of these has been sporadic in Australia. Ticket to Work, a </w:t>
      </w:r>
      <w:r w:rsidRPr="002534AC">
        <w:t>philanthropically</w:t>
      </w:r>
      <w:r>
        <w:t xml:space="preserve"> funded program, works in partnership with schools, training providers and employers around Australia to deliver School Based Apprenticeships and Traineeships to people with disability in some locations (Wakeford and Waugh, 2014). Similarly, there are several examples of TAFEs, employers and providers working together to deliver work-integrated learning opportunities such as the Integrated Practical Placement program between a TAFE, an employment provider (disability organisation), and a State-run children’s hospital (White et al., 2019). However, while these programs highlight the potential to collaborate across State-based services (such as schools and TAFEs), these type</w:t>
      </w:r>
      <w:r w:rsidR="00B55DBD">
        <w:t>s</w:t>
      </w:r>
      <w:r>
        <w:t xml:space="preserve"> of employment support programs are not common. </w:t>
      </w:r>
    </w:p>
    <w:p w14:paraId="16F8E9CA" w14:textId="77777777" w:rsidR="00CF646F" w:rsidRPr="00FB5E9B" w:rsidRDefault="00CF646F" w:rsidP="00CF646F"/>
    <w:p w14:paraId="04BE8B1D" w14:textId="75AE5185" w:rsidR="003A5C4A" w:rsidRDefault="003A5C4A" w:rsidP="003A5C4A">
      <w:pPr>
        <w:pStyle w:val="Heading2"/>
      </w:pPr>
      <w:r>
        <w:t>Community based</w:t>
      </w:r>
    </w:p>
    <w:p w14:paraId="3B7A4A10" w14:textId="477D12EE" w:rsidR="00032986" w:rsidRDefault="00032986" w:rsidP="003335EA">
      <w:pPr>
        <w:pStyle w:val="Normal4"/>
      </w:pPr>
      <w:r>
        <w:t xml:space="preserve">There is a wide range of activity in the provision of employment support programs funded by a variety of philanthropic, state/territory and Commonwealth government funding. A major source of funding has been the Information, Linkages and Capacity Building (ILC) program of the DSS </w:t>
      </w:r>
      <w:r>
        <w:lastRenderedPageBreak/>
        <w:t xml:space="preserve">(previously the NDIS), providing </w:t>
      </w:r>
      <w:r>
        <w:rPr>
          <w:rStyle w:val="normaltextrun"/>
          <w:rFonts w:cs="Open Sans"/>
          <w:szCs w:val="20"/>
        </w:rPr>
        <w:t>$36,014,589 between 2019 and 2021, to fund 54 economic participation programs for people with disability</w:t>
      </w:r>
      <w:r w:rsidR="00435115">
        <w:rPr>
          <w:rStyle w:val="normaltextrun"/>
          <w:rFonts w:cs="Open Sans"/>
          <w:szCs w:val="20"/>
        </w:rPr>
        <w:t xml:space="preserve">, largely created and delivered by the </w:t>
      </w:r>
      <w:proofErr w:type="gramStart"/>
      <w:r w:rsidR="00435115">
        <w:rPr>
          <w:rStyle w:val="normaltextrun"/>
          <w:rFonts w:cs="Open Sans"/>
          <w:szCs w:val="20"/>
        </w:rPr>
        <w:t>not for profit</w:t>
      </w:r>
      <w:proofErr w:type="gramEnd"/>
      <w:r w:rsidR="00435115">
        <w:rPr>
          <w:rStyle w:val="normaltextrun"/>
          <w:rFonts w:cs="Open Sans"/>
          <w:szCs w:val="20"/>
        </w:rPr>
        <w:t xml:space="preserve"> sector</w:t>
      </w:r>
      <w:r>
        <w:rPr>
          <w:rStyle w:val="normaltextrun"/>
          <w:rFonts w:cs="Open Sans"/>
          <w:szCs w:val="20"/>
        </w:rPr>
        <w:t xml:space="preserve">. </w:t>
      </w:r>
      <w:r>
        <w:t>Of the 54 ILC-funded projects, only 19% explicitly targeted people with intellectual disability</w:t>
      </w:r>
      <w:r w:rsidR="001C5139">
        <w:t xml:space="preserve"> (Qian-Khoo et al., 2021)</w:t>
      </w:r>
      <w:r>
        <w:t xml:space="preserve">. </w:t>
      </w:r>
      <w:r w:rsidR="00FB447C">
        <w:t>These are further discussed in Paper 2.</w:t>
      </w:r>
    </w:p>
    <w:p w14:paraId="1FEC92DA" w14:textId="3D711DE8" w:rsidR="001C5139" w:rsidRPr="001C5139" w:rsidRDefault="001C5139" w:rsidP="001C5139">
      <w:pPr>
        <w:spacing w:after="120" w:line="276" w:lineRule="auto"/>
        <w:rPr>
          <w:rFonts w:asciiTheme="minorHAnsi" w:hAnsiTheme="minorHAnsi" w:cstheme="minorHAnsi"/>
        </w:rPr>
      </w:pPr>
      <w:r w:rsidRPr="001C5139">
        <w:rPr>
          <w:rFonts w:asciiTheme="minorHAnsi" w:hAnsiTheme="minorHAnsi" w:cstheme="minorHAnsi"/>
        </w:rPr>
        <w:t xml:space="preserve">Brown and Mallet (2021) identify an additional number of employment programs </w:t>
      </w:r>
      <w:r w:rsidR="004A234E">
        <w:rPr>
          <w:rFonts w:asciiTheme="minorHAnsi" w:hAnsiTheme="minorHAnsi" w:cstheme="minorHAnsi"/>
        </w:rPr>
        <w:t xml:space="preserve">for people with disability </w:t>
      </w:r>
      <w:r w:rsidRPr="001C5139">
        <w:rPr>
          <w:rFonts w:asciiTheme="minorHAnsi" w:hAnsiTheme="minorHAnsi" w:cstheme="minorHAnsi"/>
        </w:rPr>
        <w:t xml:space="preserve">funded by corporates or </w:t>
      </w:r>
      <w:proofErr w:type="spellStart"/>
      <w:r w:rsidRPr="001C5139">
        <w:rPr>
          <w:rFonts w:asciiTheme="minorHAnsi" w:hAnsiTheme="minorHAnsi" w:cstheme="minorHAnsi"/>
        </w:rPr>
        <w:t>philanthropics</w:t>
      </w:r>
      <w:proofErr w:type="spellEnd"/>
      <w:r w:rsidRPr="001C5139">
        <w:rPr>
          <w:rFonts w:asciiTheme="minorHAnsi" w:hAnsiTheme="minorHAnsi" w:cstheme="minorHAnsi"/>
        </w:rPr>
        <w:t xml:space="preserve"> including:</w:t>
      </w:r>
    </w:p>
    <w:p w14:paraId="6491CDC4" w14:textId="011C5948" w:rsidR="001C5139" w:rsidRPr="001C5139" w:rsidRDefault="001C5139" w:rsidP="001C5139">
      <w:pPr>
        <w:pStyle w:val="ListBullet"/>
        <w:spacing w:line="276" w:lineRule="auto"/>
        <w:ind w:left="851"/>
        <w:rPr>
          <w:rFonts w:cstheme="minorHAnsi"/>
          <w:sz w:val="22"/>
        </w:rPr>
      </w:pPr>
      <w:r w:rsidRPr="001C5139">
        <w:rPr>
          <w:rFonts w:cstheme="minorHAnsi"/>
          <w:sz w:val="22"/>
        </w:rPr>
        <w:t>Eight initiatives that were funded by private sector corporations, either as in-house programs (</w:t>
      </w:r>
      <w:proofErr w:type="gramStart"/>
      <w:r w:rsidRPr="001C5139">
        <w:rPr>
          <w:rFonts w:cstheme="minorHAnsi"/>
          <w:sz w:val="22"/>
        </w:rPr>
        <w:t>e.g.</w:t>
      </w:r>
      <w:proofErr w:type="gramEnd"/>
      <w:r w:rsidRPr="001C5139">
        <w:rPr>
          <w:rFonts w:cstheme="minorHAnsi"/>
          <w:sz w:val="22"/>
        </w:rPr>
        <w:t xml:space="preserve"> ANZ Spectrum program (AU_52), </w:t>
      </w:r>
      <w:proofErr w:type="spellStart"/>
      <w:r w:rsidRPr="001C5139">
        <w:rPr>
          <w:rFonts w:cstheme="minorHAnsi"/>
          <w:sz w:val="22"/>
        </w:rPr>
        <w:t>CrownAbility</w:t>
      </w:r>
      <w:proofErr w:type="spellEnd"/>
      <w:r w:rsidRPr="001C5139">
        <w:rPr>
          <w:rFonts w:cstheme="minorHAnsi"/>
          <w:sz w:val="22"/>
        </w:rPr>
        <w:t xml:space="preserve"> </w:t>
      </w:r>
      <w:r>
        <w:rPr>
          <w:rFonts w:cstheme="minorHAnsi"/>
          <w:sz w:val="22"/>
        </w:rPr>
        <w:t>…</w:t>
      </w:r>
      <w:r w:rsidRPr="001C5139">
        <w:rPr>
          <w:rFonts w:cstheme="minorHAnsi"/>
          <w:sz w:val="22"/>
        </w:rPr>
        <w:t xml:space="preserve"> or via a corporate partnership/donation (e.g. RACV, ANZ).</w:t>
      </w:r>
    </w:p>
    <w:p w14:paraId="488FB56A" w14:textId="418EC9FB" w:rsidR="001C5139" w:rsidRPr="001C5139" w:rsidRDefault="001C5139" w:rsidP="001C5139">
      <w:pPr>
        <w:pStyle w:val="ListBullet"/>
        <w:spacing w:line="276" w:lineRule="auto"/>
        <w:ind w:left="851"/>
        <w:rPr>
          <w:rFonts w:cstheme="minorHAnsi"/>
          <w:sz w:val="22"/>
        </w:rPr>
      </w:pPr>
      <w:r w:rsidRPr="001C5139">
        <w:rPr>
          <w:rFonts w:cstheme="minorHAnsi"/>
          <w:sz w:val="22"/>
        </w:rPr>
        <w:t>Eight that operated a fee-for-service model (</w:t>
      </w:r>
      <w:proofErr w:type="gramStart"/>
      <w:r w:rsidRPr="001C5139">
        <w:rPr>
          <w:rFonts w:cstheme="minorHAnsi"/>
          <w:sz w:val="22"/>
        </w:rPr>
        <w:t>e.g.</w:t>
      </w:r>
      <w:proofErr w:type="gramEnd"/>
      <w:r w:rsidRPr="001C5139">
        <w:rPr>
          <w:rFonts w:cstheme="minorHAnsi"/>
          <w:sz w:val="22"/>
        </w:rPr>
        <w:t xml:space="preserve"> the Australian Network on Disability’s (AND) initiatives </w:t>
      </w:r>
      <w:r>
        <w:rPr>
          <w:rFonts w:cstheme="minorHAnsi"/>
          <w:sz w:val="22"/>
        </w:rPr>
        <w:t>…)</w:t>
      </w:r>
    </w:p>
    <w:p w14:paraId="4C2F7BD9" w14:textId="5BD408DD" w:rsidR="001C5139" w:rsidRPr="001C5139" w:rsidRDefault="001C5139" w:rsidP="001C5139">
      <w:pPr>
        <w:pStyle w:val="ListBullet"/>
        <w:spacing w:line="276" w:lineRule="auto"/>
        <w:ind w:left="851"/>
        <w:rPr>
          <w:rFonts w:cstheme="minorHAnsi"/>
          <w:sz w:val="22"/>
        </w:rPr>
      </w:pPr>
      <w:r w:rsidRPr="001C5139">
        <w:rPr>
          <w:rFonts w:cstheme="minorHAnsi"/>
          <w:sz w:val="22"/>
        </w:rPr>
        <w:t>Seven initiatives funded in part or wholly by philanthropic foundations (with the Paul Ramsay Foundation notable in the space for disability employment) (</w:t>
      </w:r>
      <w:proofErr w:type="gramStart"/>
      <w:r w:rsidRPr="001C5139">
        <w:rPr>
          <w:rFonts w:cstheme="minorHAnsi"/>
          <w:sz w:val="22"/>
        </w:rPr>
        <w:t>e.g.</w:t>
      </w:r>
      <w:proofErr w:type="gramEnd"/>
      <w:r w:rsidRPr="001C5139">
        <w:rPr>
          <w:rFonts w:cstheme="minorHAnsi"/>
          <w:sz w:val="22"/>
        </w:rPr>
        <w:t xml:space="preserve"> Ticket to Work </w:t>
      </w:r>
      <w:r>
        <w:rPr>
          <w:rFonts w:cstheme="minorHAnsi"/>
          <w:sz w:val="22"/>
        </w:rPr>
        <w:t>…</w:t>
      </w:r>
      <w:r w:rsidRPr="001C5139">
        <w:rPr>
          <w:rFonts w:cstheme="minorHAnsi"/>
          <w:sz w:val="22"/>
        </w:rPr>
        <w:t>).</w:t>
      </w:r>
    </w:p>
    <w:p w14:paraId="54AF1397" w14:textId="7124C55D" w:rsidR="001C5139" w:rsidRPr="001C5139" w:rsidRDefault="001C5139" w:rsidP="001C5139">
      <w:pPr>
        <w:pStyle w:val="ListBullet"/>
        <w:spacing w:line="276" w:lineRule="auto"/>
        <w:ind w:left="851"/>
        <w:rPr>
          <w:rFonts w:cstheme="minorHAnsi"/>
          <w:sz w:val="22"/>
        </w:rPr>
      </w:pPr>
      <w:r w:rsidRPr="001C5139">
        <w:rPr>
          <w:rFonts w:cstheme="minorHAnsi"/>
          <w:sz w:val="22"/>
        </w:rPr>
        <w:t>Six initiatives funded via social enterprise revenue (either wholly or in part) (</w:t>
      </w:r>
      <w:proofErr w:type="gramStart"/>
      <w:r w:rsidRPr="001C5139">
        <w:rPr>
          <w:rFonts w:cstheme="minorHAnsi"/>
          <w:sz w:val="22"/>
        </w:rPr>
        <w:t>e.g.</w:t>
      </w:r>
      <w:proofErr w:type="gramEnd"/>
      <w:r w:rsidRPr="001C5139">
        <w:rPr>
          <w:rFonts w:cstheme="minorHAnsi"/>
          <w:sz w:val="22"/>
        </w:rPr>
        <w:t xml:space="preserve"> Vanguard Laundry Service</w:t>
      </w:r>
      <w:r>
        <w:rPr>
          <w:rFonts w:cstheme="minorHAnsi"/>
          <w:sz w:val="22"/>
        </w:rPr>
        <w:t>…</w:t>
      </w:r>
      <w:r w:rsidRPr="001C5139">
        <w:rPr>
          <w:rFonts w:cstheme="minorHAnsi"/>
          <w:sz w:val="22"/>
        </w:rPr>
        <w:t>).</w:t>
      </w:r>
    </w:p>
    <w:p w14:paraId="2FC3837B" w14:textId="31F153B2" w:rsidR="001C5139" w:rsidRPr="00435115" w:rsidRDefault="001C5139" w:rsidP="00435115">
      <w:pPr>
        <w:pStyle w:val="ListBullet"/>
        <w:spacing w:line="276" w:lineRule="auto"/>
        <w:ind w:left="851"/>
        <w:rPr>
          <w:rFonts w:cstheme="minorHAnsi"/>
          <w:sz w:val="22"/>
        </w:rPr>
      </w:pPr>
      <w:r w:rsidRPr="001C5139">
        <w:rPr>
          <w:rFonts w:cstheme="minorHAnsi"/>
          <w:sz w:val="22"/>
        </w:rPr>
        <w:t>Three initiatives were initially funded through research grants (</w:t>
      </w:r>
      <w:proofErr w:type="gramStart"/>
      <w:r w:rsidRPr="001C5139">
        <w:rPr>
          <w:rFonts w:cstheme="minorHAnsi"/>
          <w:sz w:val="22"/>
        </w:rPr>
        <w:t>e.g.</w:t>
      </w:r>
      <w:proofErr w:type="gramEnd"/>
      <w:r w:rsidRPr="001C5139">
        <w:rPr>
          <w:rFonts w:cstheme="minorHAnsi"/>
          <w:sz w:val="22"/>
        </w:rPr>
        <w:t xml:space="preserve"> </w:t>
      </w:r>
      <w:proofErr w:type="spellStart"/>
      <w:r w:rsidRPr="001C5139">
        <w:rPr>
          <w:rFonts w:cstheme="minorHAnsi"/>
          <w:sz w:val="22"/>
        </w:rPr>
        <w:t>Orygen’s</w:t>
      </w:r>
      <w:proofErr w:type="spellEnd"/>
      <w:r w:rsidRPr="001C5139">
        <w:rPr>
          <w:rFonts w:cstheme="minorHAnsi"/>
          <w:sz w:val="22"/>
        </w:rPr>
        <w:t xml:space="preserve"> I</w:t>
      </w:r>
      <w:r>
        <w:rPr>
          <w:rFonts w:cstheme="minorHAnsi"/>
          <w:sz w:val="22"/>
        </w:rPr>
        <w:t>n</w:t>
      </w:r>
      <w:r w:rsidRPr="001C5139">
        <w:rPr>
          <w:rFonts w:cstheme="minorHAnsi"/>
          <w:sz w:val="22"/>
        </w:rPr>
        <w:t xml:space="preserve">dividual Vocational and Educational Support Trial (INVEST) (Brown </w:t>
      </w:r>
      <w:r w:rsidR="00610500">
        <w:rPr>
          <w:rFonts w:cstheme="minorHAnsi"/>
          <w:sz w:val="22"/>
        </w:rPr>
        <w:t>&amp;</w:t>
      </w:r>
      <w:r w:rsidRPr="001C5139">
        <w:rPr>
          <w:rFonts w:cstheme="minorHAnsi"/>
          <w:sz w:val="22"/>
        </w:rPr>
        <w:t xml:space="preserve"> Mallet, 2021, p.</w:t>
      </w:r>
      <w:r w:rsidR="00610500">
        <w:rPr>
          <w:rFonts w:cstheme="minorHAnsi"/>
          <w:sz w:val="22"/>
        </w:rPr>
        <w:t xml:space="preserve"> </w:t>
      </w:r>
      <w:r w:rsidRPr="001C5139">
        <w:rPr>
          <w:rFonts w:cstheme="minorHAnsi"/>
          <w:sz w:val="22"/>
        </w:rPr>
        <w:t>29).</w:t>
      </w:r>
    </w:p>
    <w:p w14:paraId="6CA99EEF" w14:textId="371EF0D8" w:rsidR="003A5C4A" w:rsidRDefault="001C5139" w:rsidP="00685AE8">
      <w:pPr>
        <w:pStyle w:val="Normal4"/>
      </w:pPr>
      <w:r>
        <w:t xml:space="preserve">While overall this suggests a </w:t>
      </w:r>
      <w:r w:rsidR="00435115">
        <w:t>range</w:t>
      </w:r>
      <w:r>
        <w:t xml:space="preserve"> of activity, it is ad hoc, often short term, and with poor </w:t>
      </w:r>
      <w:r w:rsidR="00BD5906">
        <w:t xml:space="preserve">geographic and cohort </w:t>
      </w:r>
      <w:r>
        <w:t xml:space="preserve">coverage. Crosbie’s research (2022) highlights that individuals with intellectual disability were often lucky to be located near an initiative or to hear about it through their networks. </w:t>
      </w:r>
    </w:p>
    <w:p w14:paraId="0B9ED961" w14:textId="77777777" w:rsidR="00CF646F" w:rsidRPr="00FB5E9B" w:rsidRDefault="00CF646F" w:rsidP="00CF646F"/>
    <w:p w14:paraId="15702F97" w14:textId="1497D882" w:rsidR="003A5C4A" w:rsidRDefault="003A5C4A" w:rsidP="003A5C4A">
      <w:pPr>
        <w:pStyle w:val="Heading2"/>
      </w:pPr>
      <w:r>
        <w:t>Implications</w:t>
      </w:r>
    </w:p>
    <w:p w14:paraId="17C0583B" w14:textId="18311A2A" w:rsidR="00635644" w:rsidRDefault="00DB57D2" w:rsidP="003335EA">
      <w:pPr>
        <w:pStyle w:val="Normal4"/>
      </w:pPr>
      <w:r>
        <w:t xml:space="preserve">The ecosystem of employment supports for people with disability is complex. It extends from early secondary school (at the age of 14) through transition from school, and then throughout life encompassing changing circumstances and individual choices. Multiple systems overlap </w:t>
      </w:r>
      <w:r w:rsidR="00A44BAD">
        <w:t>however</w:t>
      </w:r>
      <w:r>
        <w:t xml:space="preserve"> there is no coordinating mechanism across them. </w:t>
      </w:r>
    </w:p>
    <w:p w14:paraId="2059AECC" w14:textId="546078ED" w:rsidR="0046198C" w:rsidRDefault="00DB57D2" w:rsidP="003335EA">
      <w:pPr>
        <w:pStyle w:val="Normal4"/>
      </w:pPr>
      <w:r>
        <w:t xml:space="preserve">People with intellectual disability have been largely locked out of Commonwealth funded labour market services due to work capacity assessments. The </w:t>
      </w:r>
      <w:r w:rsidRPr="00C63E43">
        <w:rPr>
          <w:i/>
          <w:iCs/>
        </w:rPr>
        <w:t>Disability Services Act 1986</w:t>
      </w:r>
      <w:r>
        <w:t xml:space="preserve"> envisioned their primary support being provided through ADEs and this has largely occurred with most people with intellectual disability, if employed, being employed in this sector. The NDIS has recently disrupted this by enabling NDIS funded employment supports to be used in any employment setting. Linked to this has been the cessation of </w:t>
      </w:r>
      <w:r w:rsidR="008E2DC2">
        <w:t>case-based</w:t>
      </w:r>
      <w:r>
        <w:t xml:space="preserve"> funding to ADEs. Together, this offers opportunities for change. </w:t>
      </w:r>
    </w:p>
    <w:p w14:paraId="2503271A" w14:textId="30D1A5F8" w:rsidR="00DB57D2" w:rsidRDefault="00DB57D2" w:rsidP="003335EA">
      <w:pPr>
        <w:pStyle w:val="Normal4"/>
      </w:pPr>
      <w:r>
        <w:t>While supports in employment can now be provided in any setting (via the NDIS), there remains a lack of employment services relevant to people with intellectual disability</w:t>
      </w:r>
      <w:r w:rsidR="00C63E43">
        <w:t xml:space="preserve"> (to be discussed in Paper 2)</w:t>
      </w:r>
      <w:r>
        <w:t xml:space="preserve">. </w:t>
      </w:r>
      <w:r w:rsidR="004E2A94">
        <w:t xml:space="preserve">The NDIS, as an individualised funding mechanism, is not easily utilised to access the sorts of employment supports people with intellectual disability need, in tandem with the systems in which other supports are provided. </w:t>
      </w:r>
      <w:r w:rsidR="00C63E43">
        <w:t>States and Territories have largely not provided these supports, and other sources of funding have not prioritised this group.</w:t>
      </w:r>
      <w:r w:rsidR="004E2A94">
        <w:t xml:space="preserve"> </w:t>
      </w:r>
    </w:p>
    <w:p w14:paraId="507FD461" w14:textId="3E8CD550" w:rsidR="00C63E43" w:rsidRDefault="00C63E43" w:rsidP="003335EA">
      <w:pPr>
        <w:pStyle w:val="Normal4"/>
      </w:pPr>
      <w:proofErr w:type="gramStart"/>
      <w:r>
        <w:t>In order to</w:t>
      </w:r>
      <w:proofErr w:type="gramEnd"/>
      <w:r>
        <w:t xml:space="preserve"> realise the opportunities afforded by the changing notion of ‘supported employment contexts’, now applying also to open employment, legislative and policy change needs to align understandings of the right to employment of people </w:t>
      </w:r>
      <w:r w:rsidR="00635644">
        <w:t>with</w:t>
      </w:r>
      <w:r>
        <w:t xml:space="preserve"> intellectual disability in all settings, linked to a similar right of access to all employment supports and services. In this </w:t>
      </w:r>
      <w:proofErr w:type="spellStart"/>
      <w:r>
        <w:t>reconceptuali</w:t>
      </w:r>
      <w:r w:rsidR="00300434">
        <w:t>s</w:t>
      </w:r>
      <w:r>
        <w:t>ation</w:t>
      </w:r>
      <w:proofErr w:type="spellEnd"/>
      <w:r>
        <w:t xml:space="preserve">, </w:t>
      </w:r>
      <w:r>
        <w:lastRenderedPageBreak/>
        <w:t>existing notions of ‘work capacity’ need to be replaced by assessments of supports and adjustments required, with funded mechanisms to link to appropriate support services to provide them. As described by AFDO:</w:t>
      </w:r>
    </w:p>
    <w:p w14:paraId="70A19D5B" w14:textId="77777777" w:rsidR="003A5C4A" w:rsidRPr="001F4D44" w:rsidRDefault="003A5C4A" w:rsidP="00903D8E">
      <w:pPr>
        <w:pStyle w:val="Quote"/>
      </w:pPr>
      <w:r w:rsidRPr="001F4D44">
        <w:rPr>
          <w:rStyle w:val="markedcontent"/>
          <w:rFonts w:cstheme="minorHAnsi"/>
        </w:rPr>
        <w:t>Supported employment</w:t>
      </w:r>
      <w:r w:rsidRPr="001F4D44">
        <w:t xml:space="preserve"> </w:t>
      </w:r>
      <w:r w:rsidRPr="001F4D44">
        <w:rPr>
          <w:rStyle w:val="markedcontent"/>
          <w:rFonts w:cstheme="minorHAnsi"/>
        </w:rPr>
        <w:t>recognises the capacity of people with disability to work with the right ongoing supports in a</w:t>
      </w:r>
      <w:r w:rsidRPr="001F4D44">
        <w:t xml:space="preserve"> </w:t>
      </w:r>
      <w:r w:rsidRPr="001F4D44">
        <w:rPr>
          <w:rStyle w:val="markedcontent"/>
          <w:rFonts w:cstheme="minorHAnsi"/>
        </w:rPr>
        <w:t>variety of settings that include open (mainstream) employment, mobile crews, social</w:t>
      </w:r>
      <w:r w:rsidRPr="001F4D44">
        <w:t xml:space="preserve"> </w:t>
      </w:r>
      <w:proofErr w:type="gramStart"/>
      <w:r w:rsidRPr="001F4D44">
        <w:rPr>
          <w:rStyle w:val="markedcontent"/>
          <w:rFonts w:cstheme="minorHAnsi"/>
        </w:rPr>
        <w:t>enterprises</w:t>
      </w:r>
      <w:proofErr w:type="gramEnd"/>
      <w:r w:rsidRPr="001F4D44">
        <w:rPr>
          <w:rStyle w:val="markedcontent"/>
          <w:rFonts w:cstheme="minorHAnsi"/>
        </w:rPr>
        <w:t xml:space="preserve"> and small businesses (AFDO, 2018, p. 4)</w:t>
      </w:r>
      <w:r>
        <w:rPr>
          <w:rStyle w:val="markedcontent"/>
          <w:rFonts w:cstheme="minorHAnsi"/>
        </w:rPr>
        <w:t>.</w:t>
      </w:r>
    </w:p>
    <w:p w14:paraId="031E9BC8" w14:textId="40132844" w:rsidR="003A5C4A" w:rsidRDefault="008C4679" w:rsidP="003335EA">
      <w:pPr>
        <w:pStyle w:val="Normal4"/>
      </w:pPr>
      <w:r>
        <w:t>The current employment ecosystem is not designed to deliver this to people with intellectual disability</w:t>
      </w:r>
      <w:r w:rsidR="009C1F69">
        <w:t>.</w:t>
      </w:r>
    </w:p>
    <w:p w14:paraId="39FC838F" w14:textId="651B0CC2" w:rsidR="00B426BF" w:rsidRDefault="00B426BF">
      <w:pPr>
        <w:rPr>
          <w:rFonts w:asciiTheme="minorHAnsi" w:eastAsiaTheme="minorHAnsi" w:hAnsiTheme="minorHAnsi" w:cs="Arial"/>
          <w:lang w:bidi="ar-SA"/>
        </w:rPr>
      </w:pPr>
      <w:r>
        <w:br w:type="page"/>
      </w:r>
    </w:p>
    <w:p w14:paraId="484AF48A" w14:textId="77777777" w:rsidR="003A5C4A" w:rsidRDefault="003A5C4A" w:rsidP="003A5C4A">
      <w:pPr>
        <w:pStyle w:val="Heading2"/>
      </w:pPr>
      <w:r>
        <w:lastRenderedPageBreak/>
        <w:t>References</w:t>
      </w:r>
    </w:p>
    <w:p w14:paraId="7E942467" w14:textId="77777777" w:rsidR="003A5C4A" w:rsidRPr="005641B2" w:rsidRDefault="003A5C4A" w:rsidP="00966488">
      <w:pPr>
        <w:spacing w:before="120" w:line="276" w:lineRule="auto"/>
        <w:ind w:left="510" w:hanging="510"/>
        <w:rPr>
          <w:rFonts w:asciiTheme="minorHAnsi" w:hAnsiTheme="minorHAnsi" w:cstheme="minorHAnsi"/>
        </w:rPr>
      </w:pPr>
      <w:r w:rsidRPr="005641B2">
        <w:rPr>
          <w:rFonts w:asciiTheme="minorHAnsi" w:hAnsiTheme="minorHAnsi" w:cstheme="minorHAnsi"/>
        </w:rPr>
        <w:t xml:space="preserve">Anderson, P., </w:t>
      </w:r>
      <w:proofErr w:type="spellStart"/>
      <w:r w:rsidRPr="005641B2">
        <w:rPr>
          <w:rFonts w:asciiTheme="minorHAnsi" w:hAnsiTheme="minorHAnsi" w:cstheme="minorHAnsi"/>
        </w:rPr>
        <w:t>Psychogios</w:t>
      </w:r>
      <w:proofErr w:type="spellEnd"/>
      <w:r w:rsidRPr="005641B2">
        <w:rPr>
          <w:rFonts w:asciiTheme="minorHAnsi" w:hAnsiTheme="minorHAnsi" w:cstheme="minorHAnsi"/>
        </w:rPr>
        <w:t xml:space="preserve">, C., &amp; </w:t>
      </w:r>
      <w:proofErr w:type="spellStart"/>
      <w:r w:rsidRPr="005641B2">
        <w:rPr>
          <w:rFonts w:asciiTheme="minorHAnsi" w:hAnsiTheme="minorHAnsi" w:cstheme="minorHAnsi"/>
        </w:rPr>
        <w:t>Golley</w:t>
      </w:r>
      <w:proofErr w:type="spellEnd"/>
      <w:r w:rsidRPr="005641B2">
        <w:rPr>
          <w:rFonts w:asciiTheme="minorHAnsi" w:hAnsiTheme="minorHAnsi" w:cstheme="minorHAnsi"/>
        </w:rPr>
        <w:t xml:space="preserve">, L. (2000). </w:t>
      </w:r>
      <w:r w:rsidRPr="005641B2">
        <w:rPr>
          <w:rFonts w:asciiTheme="minorHAnsi" w:hAnsiTheme="minorHAnsi" w:cstheme="minorHAnsi"/>
          <w:i/>
          <w:iCs/>
        </w:rPr>
        <w:t>Open employment services for people with disabilities 1998–1999</w:t>
      </w:r>
      <w:r w:rsidRPr="005641B2">
        <w:rPr>
          <w:rFonts w:asciiTheme="minorHAnsi" w:hAnsiTheme="minorHAnsi" w:cstheme="minorHAnsi"/>
        </w:rPr>
        <w:t>. AIHW cat. No. DIS 20. Canberra: AIHW.</w:t>
      </w:r>
    </w:p>
    <w:p w14:paraId="14458532" w14:textId="1F5F0895" w:rsidR="003A5C4A" w:rsidRPr="005641B2" w:rsidRDefault="003A5C4A" w:rsidP="00966488">
      <w:pPr>
        <w:spacing w:before="120" w:line="276" w:lineRule="auto"/>
        <w:ind w:left="510" w:hanging="510"/>
        <w:rPr>
          <w:rStyle w:val="markedcontent"/>
          <w:rFonts w:asciiTheme="minorHAnsi" w:hAnsiTheme="minorHAnsi" w:cstheme="minorHAnsi"/>
          <w:i/>
          <w:iCs/>
        </w:rPr>
      </w:pPr>
      <w:r w:rsidRPr="005641B2">
        <w:rPr>
          <w:rStyle w:val="markedcontent"/>
          <w:rFonts w:asciiTheme="minorHAnsi" w:hAnsiTheme="minorHAnsi" w:cstheme="minorHAnsi"/>
        </w:rPr>
        <w:t>Association for Employees with a Disability (AED)</w:t>
      </w:r>
      <w:r w:rsidR="003E5E09">
        <w:rPr>
          <w:rStyle w:val="markedcontent"/>
          <w:rFonts w:asciiTheme="minorHAnsi" w:hAnsiTheme="minorHAnsi" w:cstheme="minorHAnsi"/>
        </w:rPr>
        <w:t>.</w:t>
      </w:r>
      <w:r w:rsidRPr="005641B2">
        <w:rPr>
          <w:rStyle w:val="markedcontent"/>
          <w:rFonts w:asciiTheme="minorHAnsi" w:hAnsiTheme="minorHAnsi" w:cstheme="minorHAnsi"/>
        </w:rPr>
        <w:t xml:space="preserve"> (2022)</w:t>
      </w:r>
      <w:r w:rsidR="003E5E09">
        <w:rPr>
          <w:rStyle w:val="markedcontent"/>
          <w:rFonts w:asciiTheme="minorHAnsi" w:hAnsiTheme="minorHAnsi" w:cstheme="minorHAnsi"/>
        </w:rPr>
        <w:t>.</w:t>
      </w:r>
      <w:r w:rsidRPr="005641B2">
        <w:rPr>
          <w:rStyle w:val="markedcontent"/>
          <w:rFonts w:asciiTheme="minorHAnsi" w:hAnsiTheme="minorHAnsi" w:cstheme="minorHAnsi"/>
        </w:rPr>
        <w:t xml:space="preserve"> </w:t>
      </w:r>
      <w:r w:rsidRPr="005641B2">
        <w:rPr>
          <w:rStyle w:val="markedcontent"/>
          <w:rFonts w:asciiTheme="minorHAnsi" w:hAnsiTheme="minorHAnsi" w:cstheme="minorHAnsi"/>
          <w:i/>
          <w:iCs/>
        </w:rPr>
        <w:t>In the matter of a review of the supported employment services award 2010 – AM2014/286. Submission of Association for Employees with a Disability Inc (AED) to the submissions of the Commonwealth of Australia</w:t>
      </w:r>
      <w:r w:rsidR="00247829">
        <w:rPr>
          <w:rStyle w:val="markedcontent"/>
          <w:rFonts w:asciiTheme="minorHAnsi" w:hAnsiTheme="minorHAnsi" w:cstheme="minorHAnsi"/>
          <w:i/>
          <w:iCs/>
        </w:rPr>
        <w:t>.</w:t>
      </w:r>
      <w:r w:rsidRPr="005641B2">
        <w:rPr>
          <w:rStyle w:val="markedcontent"/>
          <w:rFonts w:asciiTheme="minorHAnsi" w:hAnsiTheme="minorHAnsi" w:cstheme="minorHAnsi"/>
          <w:i/>
          <w:iCs/>
        </w:rPr>
        <w:t xml:space="preserve"> </w:t>
      </w:r>
      <w:hyperlink r:id="rId12" w:history="1">
        <w:r w:rsidR="00247829" w:rsidRPr="00247829">
          <w:rPr>
            <w:rStyle w:val="Hyperlink"/>
            <w:rFonts w:asciiTheme="minorHAnsi" w:hAnsiTheme="minorHAnsi" w:cstheme="minorHAnsi"/>
          </w:rPr>
          <w:t>https://www.fwc.gov.au/documents/sites/awardsmodernfouryr/am2014286-sub-reply-aed-280922.pdf</w:t>
        </w:r>
      </w:hyperlink>
    </w:p>
    <w:p w14:paraId="4A1399B8" w14:textId="227497F1" w:rsidR="003A5C4A" w:rsidRPr="005641B2" w:rsidRDefault="003A5C4A" w:rsidP="00966488">
      <w:pPr>
        <w:spacing w:before="120" w:line="276" w:lineRule="auto"/>
        <w:ind w:left="510" w:hanging="510"/>
        <w:rPr>
          <w:rStyle w:val="markedcontent"/>
          <w:rFonts w:asciiTheme="minorHAnsi" w:hAnsiTheme="minorHAnsi" w:cstheme="minorHAnsi"/>
          <w:i/>
          <w:iCs/>
        </w:rPr>
      </w:pPr>
      <w:r w:rsidRPr="005641B2">
        <w:rPr>
          <w:rStyle w:val="markedcontent"/>
          <w:rFonts w:asciiTheme="minorHAnsi" w:hAnsiTheme="minorHAnsi" w:cstheme="minorHAnsi"/>
        </w:rPr>
        <w:t>Australian Federation of Disability Organisations (AFDO)</w:t>
      </w:r>
      <w:r w:rsidR="00247829">
        <w:rPr>
          <w:rStyle w:val="markedcontent"/>
          <w:rFonts w:asciiTheme="minorHAnsi" w:hAnsiTheme="minorHAnsi" w:cstheme="minorHAnsi"/>
        </w:rPr>
        <w:t>.</w:t>
      </w:r>
      <w:r w:rsidRPr="005641B2">
        <w:rPr>
          <w:rStyle w:val="markedcontent"/>
          <w:rFonts w:asciiTheme="minorHAnsi" w:hAnsiTheme="minorHAnsi" w:cstheme="minorHAnsi"/>
        </w:rPr>
        <w:t xml:space="preserve"> (2018). </w:t>
      </w:r>
      <w:r w:rsidRPr="005641B2">
        <w:rPr>
          <w:rStyle w:val="markedcontent"/>
          <w:rFonts w:asciiTheme="minorHAnsi" w:hAnsiTheme="minorHAnsi" w:cstheme="minorHAnsi"/>
          <w:i/>
          <w:iCs/>
        </w:rPr>
        <w:t xml:space="preserve">Position </w:t>
      </w:r>
      <w:r w:rsidR="008E1309" w:rsidRPr="005641B2">
        <w:rPr>
          <w:rStyle w:val="markedcontent"/>
          <w:rFonts w:asciiTheme="minorHAnsi" w:hAnsiTheme="minorHAnsi" w:cstheme="minorHAnsi"/>
          <w:i/>
          <w:iCs/>
        </w:rPr>
        <w:t>paper on the future of supported employment</w:t>
      </w:r>
      <w:r w:rsidRPr="005641B2">
        <w:rPr>
          <w:rStyle w:val="markedcontent"/>
          <w:rFonts w:asciiTheme="minorHAnsi" w:hAnsiTheme="minorHAnsi" w:cstheme="minorHAnsi"/>
          <w:i/>
          <w:iCs/>
        </w:rPr>
        <w:t>, March 2018</w:t>
      </w:r>
      <w:r w:rsidR="00EF6349">
        <w:rPr>
          <w:rStyle w:val="markedcontent"/>
          <w:rFonts w:asciiTheme="minorHAnsi" w:hAnsiTheme="minorHAnsi" w:cstheme="minorHAnsi"/>
          <w:i/>
          <w:iCs/>
        </w:rPr>
        <w:t xml:space="preserve">. </w:t>
      </w:r>
      <w:hyperlink r:id="rId13" w:history="1">
        <w:r w:rsidR="00EF6349" w:rsidRPr="00EF6349">
          <w:rPr>
            <w:rStyle w:val="Hyperlink"/>
            <w:rFonts w:asciiTheme="minorHAnsi" w:hAnsiTheme="minorHAnsi" w:cstheme="minorHAnsi"/>
          </w:rPr>
          <w:t>https://engage.dss.gov.au/wp-content/uploads/2018/03/AFDO-Future-of-Supported-Employment-Paper-2018-03-FINAL.pdf</w:t>
        </w:r>
      </w:hyperlink>
      <w:r w:rsidR="00EF6349">
        <w:rPr>
          <w:rStyle w:val="markedcontent"/>
          <w:rFonts w:asciiTheme="minorHAnsi" w:hAnsiTheme="minorHAnsi" w:cstheme="minorHAnsi"/>
          <w:i/>
          <w:iCs/>
        </w:rPr>
        <w:t xml:space="preserve"> </w:t>
      </w:r>
    </w:p>
    <w:p w14:paraId="6CFCF76A" w14:textId="750EBE94" w:rsidR="003A5C4A" w:rsidRPr="005641B2" w:rsidRDefault="003A5C4A" w:rsidP="00966488">
      <w:pPr>
        <w:spacing w:before="120" w:line="276" w:lineRule="auto"/>
        <w:ind w:left="510" w:hanging="510"/>
        <w:rPr>
          <w:rStyle w:val="markedcontent"/>
          <w:rFonts w:asciiTheme="minorHAnsi" w:hAnsiTheme="minorHAnsi" w:cstheme="minorHAnsi"/>
        </w:rPr>
      </w:pPr>
      <w:r w:rsidRPr="005641B2">
        <w:rPr>
          <w:rStyle w:val="markedcontent"/>
          <w:rFonts w:asciiTheme="minorHAnsi" w:hAnsiTheme="minorHAnsi" w:cstheme="minorHAnsi"/>
        </w:rPr>
        <w:t xml:space="preserve">Borland, J. (2014). Dealing with unemployment: What should be the role of labour market programs? </w:t>
      </w:r>
      <w:r w:rsidRPr="005641B2">
        <w:rPr>
          <w:rStyle w:val="markedcontent"/>
          <w:rFonts w:asciiTheme="minorHAnsi" w:hAnsiTheme="minorHAnsi" w:cstheme="minorHAnsi"/>
          <w:i/>
          <w:iCs/>
        </w:rPr>
        <w:t xml:space="preserve">Evidence Based, 4: </w:t>
      </w:r>
      <w:r w:rsidRPr="005641B2">
        <w:rPr>
          <w:rStyle w:val="markedcontent"/>
          <w:rFonts w:asciiTheme="minorHAnsi" w:hAnsiTheme="minorHAnsi" w:cstheme="minorHAnsi"/>
        </w:rPr>
        <w:t>1-27.</w:t>
      </w:r>
      <w:r w:rsidR="00B12029">
        <w:rPr>
          <w:rStyle w:val="markedcontent"/>
          <w:rFonts w:asciiTheme="minorHAnsi" w:hAnsiTheme="minorHAnsi" w:cstheme="minorHAnsi"/>
        </w:rPr>
        <w:t xml:space="preserve"> </w:t>
      </w:r>
      <w:hyperlink r:id="rId14" w:history="1">
        <w:r w:rsidR="00125ACD" w:rsidRPr="00F80395">
          <w:rPr>
            <w:rStyle w:val="Hyperlink"/>
            <w:rFonts w:asciiTheme="minorHAnsi" w:hAnsiTheme="minorHAnsi" w:cstheme="minorHAnsi"/>
          </w:rPr>
          <w:t>https://apo.org.au/node/54014</w:t>
        </w:r>
      </w:hyperlink>
      <w:r w:rsidR="00125ACD">
        <w:rPr>
          <w:rStyle w:val="markedcontent"/>
          <w:rFonts w:asciiTheme="minorHAnsi" w:hAnsiTheme="minorHAnsi" w:cstheme="minorHAnsi"/>
        </w:rPr>
        <w:t xml:space="preserve"> </w:t>
      </w:r>
    </w:p>
    <w:p w14:paraId="3FAC99F7" w14:textId="4D0351F4" w:rsidR="003A5C4A" w:rsidRPr="005641B2" w:rsidRDefault="003A5C4A" w:rsidP="00966488">
      <w:pPr>
        <w:spacing w:before="120" w:line="276" w:lineRule="auto"/>
        <w:ind w:left="510" w:hanging="510"/>
        <w:rPr>
          <w:rFonts w:asciiTheme="minorHAnsi" w:hAnsiTheme="minorHAnsi" w:cstheme="minorHAnsi"/>
        </w:rPr>
      </w:pPr>
      <w:r w:rsidRPr="005641B2">
        <w:rPr>
          <w:rFonts w:asciiTheme="minorHAnsi" w:hAnsiTheme="minorHAnsi" w:cstheme="minorHAnsi"/>
        </w:rPr>
        <w:t xml:space="preserve">Boston Consulting Group </w:t>
      </w:r>
      <w:r w:rsidR="00D473B3">
        <w:rPr>
          <w:rFonts w:asciiTheme="minorHAnsi" w:hAnsiTheme="minorHAnsi" w:cstheme="minorHAnsi"/>
        </w:rPr>
        <w:t>(</w:t>
      </w:r>
      <w:r w:rsidRPr="005641B2">
        <w:rPr>
          <w:rFonts w:asciiTheme="minorHAnsi" w:hAnsiTheme="minorHAnsi" w:cstheme="minorHAnsi"/>
        </w:rPr>
        <w:t>BCG</w:t>
      </w:r>
      <w:r w:rsidR="00D473B3">
        <w:rPr>
          <w:rFonts w:asciiTheme="minorHAnsi" w:hAnsiTheme="minorHAnsi" w:cstheme="minorHAnsi"/>
        </w:rPr>
        <w:t>)</w:t>
      </w:r>
      <w:r w:rsidR="00D76254">
        <w:rPr>
          <w:rFonts w:asciiTheme="minorHAnsi" w:hAnsiTheme="minorHAnsi" w:cstheme="minorHAnsi"/>
        </w:rPr>
        <w:t>.</w:t>
      </w:r>
      <w:r w:rsidRPr="005641B2">
        <w:rPr>
          <w:rFonts w:asciiTheme="minorHAnsi" w:hAnsiTheme="minorHAnsi" w:cstheme="minorHAnsi"/>
        </w:rPr>
        <w:t xml:space="preserve"> (2020a). </w:t>
      </w:r>
      <w:r w:rsidRPr="005641B2">
        <w:rPr>
          <w:rFonts w:asciiTheme="minorHAnsi" w:hAnsiTheme="minorHAnsi" w:cstheme="minorHAnsi"/>
          <w:i/>
          <w:iCs/>
        </w:rPr>
        <w:t xml:space="preserve">2020 </w:t>
      </w:r>
      <w:proofErr w:type="spellStart"/>
      <w:r w:rsidRPr="005641B2">
        <w:rPr>
          <w:rFonts w:asciiTheme="minorHAnsi" w:hAnsiTheme="minorHAnsi" w:cstheme="minorHAnsi"/>
          <w:i/>
          <w:iCs/>
        </w:rPr>
        <w:t>ESAt</w:t>
      </w:r>
      <w:proofErr w:type="spellEnd"/>
      <w:r w:rsidRPr="005641B2">
        <w:rPr>
          <w:rFonts w:asciiTheme="minorHAnsi" w:hAnsiTheme="minorHAnsi" w:cstheme="minorHAnsi"/>
          <w:i/>
          <w:iCs/>
        </w:rPr>
        <w:t xml:space="preserve"> </w:t>
      </w:r>
      <w:r w:rsidR="00CD116C" w:rsidRPr="005641B2">
        <w:rPr>
          <w:rFonts w:asciiTheme="minorHAnsi" w:hAnsiTheme="minorHAnsi" w:cstheme="minorHAnsi"/>
          <w:i/>
          <w:iCs/>
        </w:rPr>
        <w:t>review final report</w:t>
      </w:r>
      <w:r w:rsidRPr="005641B2">
        <w:rPr>
          <w:rFonts w:asciiTheme="minorHAnsi" w:hAnsiTheme="minorHAnsi" w:cstheme="minorHAnsi"/>
        </w:rPr>
        <w:t xml:space="preserve">. </w:t>
      </w:r>
      <w:hyperlink r:id="rId15" w:history="1">
        <w:r w:rsidR="00D76254" w:rsidRPr="00F80395">
          <w:rPr>
            <w:rStyle w:val="Hyperlink"/>
            <w:rFonts w:asciiTheme="minorHAnsi" w:hAnsiTheme="minorHAnsi" w:cstheme="minorHAnsi"/>
          </w:rPr>
          <w:t>https://www.dss.gov.au/employment-services-assessment-esa-review-report</w:t>
        </w:r>
      </w:hyperlink>
      <w:r w:rsidR="00D76254">
        <w:rPr>
          <w:rFonts w:asciiTheme="minorHAnsi" w:hAnsiTheme="minorHAnsi" w:cstheme="minorHAnsi"/>
        </w:rPr>
        <w:t xml:space="preserve"> </w:t>
      </w:r>
    </w:p>
    <w:p w14:paraId="5B9B6754" w14:textId="44B8876B" w:rsidR="003A5C4A" w:rsidRPr="005641B2" w:rsidRDefault="003A5C4A" w:rsidP="00966488">
      <w:pPr>
        <w:spacing w:before="120" w:line="276" w:lineRule="auto"/>
        <w:ind w:left="510" w:hanging="510"/>
        <w:rPr>
          <w:rStyle w:val="normaltextrun"/>
          <w:rFonts w:asciiTheme="minorHAnsi" w:hAnsiTheme="minorHAnsi" w:cstheme="minorHAnsi"/>
        </w:rPr>
      </w:pPr>
      <w:r w:rsidRPr="005641B2">
        <w:rPr>
          <w:rFonts w:asciiTheme="minorHAnsi" w:hAnsiTheme="minorHAnsi" w:cstheme="minorHAnsi"/>
        </w:rPr>
        <w:t xml:space="preserve">Boston Consulting Group </w:t>
      </w:r>
      <w:r w:rsidR="00D473B3">
        <w:rPr>
          <w:rFonts w:asciiTheme="minorHAnsi" w:hAnsiTheme="minorHAnsi" w:cstheme="minorHAnsi"/>
        </w:rPr>
        <w:t>(</w:t>
      </w:r>
      <w:r w:rsidR="00C24B27" w:rsidRPr="005641B2">
        <w:rPr>
          <w:rFonts w:asciiTheme="minorHAnsi" w:hAnsiTheme="minorHAnsi" w:cstheme="minorHAnsi"/>
        </w:rPr>
        <w:t>BCG</w:t>
      </w:r>
      <w:r w:rsidR="00D473B3">
        <w:rPr>
          <w:rFonts w:asciiTheme="minorHAnsi" w:hAnsiTheme="minorHAnsi" w:cstheme="minorHAnsi"/>
        </w:rPr>
        <w:t>)</w:t>
      </w:r>
      <w:r w:rsidR="00D76254">
        <w:rPr>
          <w:rFonts w:asciiTheme="minorHAnsi" w:hAnsiTheme="minorHAnsi" w:cstheme="minorHAnsi"/>
        </w:rPr>
        <w:t>.</w:t>
      </w:r>
      <w:r w:rsidR="00C24B27" w:rsidRPr="005641B2">
        <w:rPr>
          <w:rFonts w:asciiTheme="minorHAnsi" w:hAnsiTheme="minorHAnsi" w:cstheme="minorHAnsi"/>
        </w:rPr>
        <w:t xml:space="preserve"> </w:t>
      </w:r>
      <w:r w:rsidRPr="005641B2">
        <w:rPr>
          <w:rFonts w:asciiTheme="minorHAnsi" w:hAnsiTheme="minorHAnsi" w:cstheme="minorHAnsi"/>
        </w:rPr>
        <w:t xml:space="preserve">(2020b). </w:t>
      </w:r>
      <w:proofErr w:type="spellStart"/>
      <w:r w:rsidRPr="005641B2">
        <w:rPr>
          <w:rFonts w:asciiTheme="minorHAnsi" w:hAnsiTheme="minorHAnsi" w:cstheme="minorHAnsi"/>
          <w:i/>
          <w:iCs/>
        </w:rPr>
        <w:t xml:space="preserve">Mid </w:t>
      </w:r>
      <w:r w:rsidR="00CD116C" w:rsidRPr="005641B2">
        <w:rPr>
          <w:rFonts w:asciiTheme="minorHAnsi" w:hAnsiTheme="minorHAnsi" w:cstheme="minorHAnsi"/>
          <w:i/>
          <w:iCs/>
        </w:rPr>
        <w:t>term</w:t>
      </w:r>
      <w:proofErr w:type="spellEnd"/>
      <w:r w:rsidR="00CD116C" w:rsidRPr="005641B2">
        <w:rPr>
          <w:rFonts w:asciiTheme="minorHAnsi" w:hAnsiTheme="minorHAnsi" w:cstheme="minorHAnsi"/>
          <w:i/>
          <w:iCs/>
        </w:rPr>
        <w:t xml:space="preserve"> r</w:t>
      </w:r>
      <w:r w:rsidRPr="005641B2">
        <w:rPr>
          <w:rFonts w:asciiTheme="minorHAnsi" w:hAnsiTheme="minorHAnsi" w:cstheme="minorHAnsi"/>
          <w:i/>
          <w:iCs/>
        </w:rPr>
        <w:t>eview of the Disability Employment Services Program</w:t>
      </w:r>
      <w:r w:rsidR="00CD116C">
        <w:rPr>
          <w:rFonts w:asciiTheme="minorHAnsi" w:hAnsiTheme="minorHAnsi" w:cstheme="minorHAnsi"/>
        </w:rPr>
        <w:t>.</w:t>
      </w:r>
      <w:r w:rsidRPr="005641B2">
        <w:rPr>
          <w:rFonts w:asciiTheme="minorHAnsi" w:hAnsiTheme="minorHAnsi" w:cstheme="minorHAnsi"/>
        </w:rPr>
        <w:t xml:space="preserve"> DSS, Canberra. </w:t>
      </w:r>
      <w:hyperlink r:id="rId16" w:history="1">
        <w:r w:rsidR="001B6D98" w:rsidRPr="00F80395">
          <w:rPr>
            <w:rStyle w:val="Hyperlink"/>
            <w:rFonts w:asciiTheme="minorHAnsi" w:hAnsiTheme="minorHAnsi" w:cstheme="minorHAnsi"/>
          </w:rPr>
          <w:t>https://www.dss.gov.au/disability-and-carers-programs-services-disability-employment-services/mid-term-review-of-the-disability-employment-services-des-program</w:t>
        </w:r>
      </w:hyperlink>
      <w:r w:rsidR="001B6D98">
        <w:rPr>
          <w:rFonts w:asciiTheme="minorHAnsi" w:hAnsiTheme="minorHAnsi" w:cstheme="minorHAnsi"/>
        </w:rPr>
        <w:t xml:space="preserve"> </w:t>
      </w:r>
    </w:p>
    <w:p w14:paraId="67AF31CA" w14:textId="26FBB996" w:rsidR="00032986" w:rsidRPr="005641B2" w:rsidRDefault="00032986" w:rsidP="00966488">
      <w:pPr>
        <w:spacing w:before="120" w:line="276" w:lineRule="auto"/>
        <w:ind w:left="510" w:hanging="510"/>
        <w:rPr>
          <w:rFonts w:asciiTheme="minorHAnsi" w:hAnsiTheme="minorHAnsi" w:cstheme="minorHAnsi"/>
          <w:szCs w:val="20"/>
          <w:lang w:val="en-US"/>
        </w:rPr>
      </w:pPr>
      <w:bookmarkStart w:id="2" w:name="_Hlk119223524"/>
      <w:r w:rsidRPr="005641B2">
        <w:rPr>
          <w:rFonts w:asciiTheme="minorHAnsi" w:hAnsiTheme="minorHAnsi" w:cstheme="minorHAnsi"/>
          <w:szCs w:val="20"/>
        </w:rPr>
        <w:t>Brown</w:t>
      </w:r>
      <w:r w:rsidR="001B6D98">
        <w:rPr>
          <w:rFonts w:asciiTheme="minorHAnsi" w:hAnsiTheme="minorHAnsi" w:cstheme="minorHAnsi"/>
          <w:szCs w:val="20"/>
        </w:rPr>
        <w:t>,</w:t>
      </w:r>
      <w:r w:rsidRPr="005641B2">
        <w:rPr>
          <w:rFonts w:asciiTheme="minorHAnsi" w:hAnsiTheme="minorHAnsi" w:cstheme="minorHAnsi"/>
          <w:szCs w:val="20"/>
        </w:rPr>
        <w:t xml:space="preserve"> D</w:t>
      </w:r>
      <w:r w:rsidR="001B6D98">
        <w:rPr>
          <w:rFonts w:asciiTheme="minorHAnsi" w:hAnsiTheme="minorHAnsi" w:cstheme="minorHAnsi"/>
          <w:szCs w:val="20"/>
        </w:rPr>
        <w:t>.</w:t>
      </w:r>
      <w:r w:rsidRPr="005641B2">
        <w:rPr>
          <w:rFonts w:asciiTheme="minorHAnsi" w:hAnsiTheme="minorHAnsi" w:cstheme="minorHAnsi"/>
          <w:szCs w:val="20"/>
        </w:rPr>
        <w:t>,</w:t>
      </w:r>
      <w:r w:rsidR="001B6D98">
        <w:rPr>
          <w:rFonts w:asciiTheme="minorHAnsi" w:hAnsiTheme="minorHAnsi" w:cstheme="minorHAnsi"/>
          <w:szCs w:val="20"/>
        </w:rPr>
        <w:t xml:space="preserve"> &amp;</w:t>
      </w:r>
      <w:r w:rsidRPr="005641B2">
        <w:rPr>
          <w:rFonts w:asciiTheme="minorHAnsi" w:hAnsiTheme="minorHAnsi" w:cstheme="minorHAnsi"/>
          <w:szCs w:val="20"/>
        </w:rPr>
        <w:t xml:space="preserve"> Mallett</w:t>
      </w:r>
      <w:r w:rsidR="001B6D98">
        <w:rPr>
          <w:rFonts w:asciiTheme="minorHAnsi" w:hAnsiTheme="minorHAnsi" w:cstheme="minorHAnsi"/>
          <w:szCs w:val="20"/>
        </w:rPr>
        <w:t>,</w:t>
      </w:r>
      <w:r w:rsidRPr="005641B2">
        <w:rPr>
          <w:rFonts w:asciiTheme="minorHAnsi" w:hAnsiTheme="minorHAnsi" w:cstheme="minorHAnsi"/>
          <w:szCs w:val="20"/>
        </w:rPr>
        <w:t xml:space="preserve"> S</w:t>
      </w:r>
      <w:r w:rsidR="001B6D98">
        <w:rPr>
          <w:rFonts w:asciiTheme="minorHAnsi" w:hAnsiTheme="minorHAnsi" w:cstheme="minorHAnsi"/>
          <w:szCs w:val="20"/>
        </w:rPr>
        <w:t>.</w:t>
      </w:r>
      <w:r w:rsidRPr="005641B2">
        <w:rPr>
          <w:rFonts w:asciiTheme="minorHAnsi" w:hAnsiTheme="minorHAnsi" w:cstheme="minorHAnsi"/>
          <w:szCs w:val="20"/>
        </w:rPr>
        <w:t xml:space="preserve"> (2021). </w:t>
      </w:r>
      <w:r w:rsidRPr="001B6D98">
        <w:rPr>
          <w:rFonts w:asciiTheme="minorHAnsi" w:hAnsiTheme="minorHAnsi" w:cstheme="minorHAnsi"/>
          <w:i/>
          <w:iCs/>
          <w:szCs w:val="20"/>
          <w:lang w:val="en-US"/>
        </w:rPr>
        <w:t xml:space="preserve">Environmental </w:t>
      </w:r>
      <w:r w:rsidR="00CD116C" w:rsidRPr="001B6D98">
        <w:rPr>
          <w:rFonts w:asciiTheme="minorHAnsi" w:hAnsiTheme="minorHAnsi" w:cstheme="minorHAnsi"/>
          <w:i/>
          <w:iCs/>
          <w:szCs w:val="20"/>
          <w:lang w:val="en-US"/>
        </w:rPr>
        <w:t>scan p</w:t>
      </w:r>
      <w:r w:rsidRPr="001B6D98">
        <w:rPr>
          <w:rFonts w:asciiTheme="minorHAnsi" w:hAnsiTheme="minorHAnsi" w:cstheme="minorHAnsi"/>
          <w:i/>
          <w:iCs/>
          <w:szCs w:val="20"/>
          <w:lang w:val="en-US"/>
        </w:rPr>
        <w:t>art 1: Current research and evaluation to promote economic participation of people with disability</w:t>
      </w:r>
      <w:r w:rsidRPr="005641B2">
        <w:rPr>
          <w:rFonts w:asciiTheme="minorHAnsi" w:hAnsiTheme="minorHAnsi" w:cstheme="minorHAnsi"/>
          <w:szCs w:val="20"/>
          <w:lang w:val="en-US"/>
        </w:rPr>
        <w:t xml:space="preserve">. Brotherhood of St Laurence, Melbourne. </w:t>
      </w:r>
      <w:hyperlink r:id="rId17" w:history="1">
        <w:r w:rsidR="003D246B" w:rsidRPr="00F80395">
          <w:rPr>
            <w:rStyle w:val="Hyperlink"/>
            <w:rFonts w:asciiTheme="minorHAnsi" w:hAnsiTheme="minorHAnsi" w:cstheme="minorHAnsi"/>
            <w:szCs w:val="20"/>
            <w:lang w:val="en-US"/>
          </w:rPr>
          <w:t>https://www.bsl.org.au/research/publications/scan-research-disability-employment-interventions/</w:t>
        </w:r>
      </w:hyperlink>
      <w:r w:rsidR="003D246B">
        <w:rPr>
          <w:rFonts w:asciiTheme="minorHAnsi" w:hAnsiTheme="minorHAnsi" w:cstheme="minorHAnsi"/>
          <w:szCs w:val="20"/>
          <w:lang w:val="en-US"/>
        </w:rPr>
        <w:t xml:space="preserve"> </w:t>
      </w:r>
    </w:p>
    <w:p w14:paraId="6E8630CC" w14:textId="2B95821C" w:rsidR="00D71A81" w:rsidRPr="005641B2" w:rsidRDefault="00D71A81" w:rsidP="00966488">
      <w:pPr>
        <w:spacing w:before="120" w:line="276" w:lineRule="auto"/>
        <w:ind w:left="510" w:hanging="510"/>
        <w:rPr>
          <w:rStyle w:val="authors"/>
          <w:rFonts w:asciiTheme="minorHAnsi" w:hAnsiTheme="minorHAnsi" w:cstheme="minorHAnsi"/>
        </w:rPr>
      </w:pPr>
      <w:proofErr w:type="spellStart"/>
      <w:r w:rsidRPr="005641B2">
        <w:rPr>
          <w:rStyle w:val="authors"/>
          <w:rFonts w:asciiTheme="minorHAnsi" w:hAnsiTheme="minorHAnsi" w:cstheme="minorHAnsi"/>
        </w:rPr>
        <w:t>Burchardt</w:t>
      </w:r>
      <w:proofErr w:type="spellEnd"/>
      <w:r w:rsidRPr="005641B2">
        <w:rPr>
          <w:rStyle w:val="authors"/>
          <w:rFonts w:asciiTheme="minorHAnsi" w:hAnsiTheme="minorHAnsi" w:cstheme="minorHAnsi"/>
        </w:rPr>
        <w:t xml:space="preserve">, T. &amp; McKnight, A. (2003). </w:t>
      </w:r>
      <w:r w:rsidRPr="005641B2">
        <w:rPr>
          <w:rStyle w:val="authors"/>
          <w:rFonts w:asciiTheme="minorHAnsi" w:hAnsiTheme="minorHAnsi" w:cstheme="minorHAnsi"/>
          <w:i/>
          <w:iCs/>
        </w:rPr>
        <w:t xml:space="preserve">Disability and the national minimum wage: </w:t>
      </w:r>
      <w:r w:rsidR="00CD116C">
        <w:rPr>
          <w:rStyle w:val="authors"/>
          <w:rFonts w:asciiTheme="minorHAnsi" w:hAnsiTheme="minorHAnsi" w:cstheme="minorHAnsi"/>
          <w:i/>
          <w:iCs/>
        </w:rPr>
        <w:t>A</w:t>
      </w:r>
      <w:r w:rsidRPr="005641B2">
        <w:rPr>
          <w:rStyle w:val="authors"/>
          <w:rFonts w:asciiTheme="minorHAnsi" w:hAnsiTheme="minorHAnsi" w:cstheme="minorHAnsi"/>
          <w:i/>
          <w:iCs/>
        </w:rPr>
        <w:t xml:space="preserve"> special case?</w:t>
      </w:r>
      <w:r w:rsidR="0002632B" w:rsidRPr="005641B2">
        <w:rPr>
          <w:rStyle w:val="authors"/>
          <w:rFonts w:asciiTheme="minorHAnsi" w:hAnsiTheme="minorHAnsi" w:cstheme="minorHAnsi"/>
        </w:rPr>
        <w:t xml:space="preserve"> The London School of Economics, London, UK. </w:t>
      </w:r>
      <w:hyperlink r:id="rId18" w:history="1">
        <w:r w:rsidR="00DF12E1" w:rsidRPr="00F80395">
          <w:rPr>
            <w:rStyle w:val="Hyperlink"/>
            <w:rFonts w:asciiTheme="minorHAnsi" w:hAnsiTheme="minorHAnsi" w:cstheme="minorHAnsi"/>
          </w:rPr>
          <w:t>https://sticerd.lse.ac.uk/dps/case/extra/Disabilityminwage.pdf</w:t>
        </w:r>
      </w:hyperlink>
      <w:r w:rsidR="00DF12E1">
        <w:rPr>
          <w:rStyle w:val="authors"/>
          <w:rFonts w:asciiTheme="minorHAnsi" w:hAnsiTheme="minorHAnsi" w:cstheme="minorHAnsi"/>
        </w:rPr>
        <w:t xml:space="preserve"> </w:t>
      </w:r>
    </w:p>
    <w:p w14:paraId="73D7F01B" w14:textId="6E965E09" w:rsidR="003A5C4A" w:rsidRPr="005641B2" w:rsidRDefault="003A5C4A" w:rsidP="00966488">
      <w:pPr>
        <w:spacing w:before="120" w:line="276" w:lineRule="auto"/>
        <w:ind w:left="510" w:hanging="510"/>
        <w:rPr>
          <w:rFonts w:asciiTheme="minorHAnsi" w:hAnsiTheme="minorHAnsi" w:cstheme="minorHAnsi"/>
        </w:rPr>
      </w:pPr>
      <w:r w:rsidRPr="005641B2">
        <w:rPr>
          <w:rStyle w:val="authors"/>
          <w:rFonts w:asciiTheme="minorHAnsi" w:hAnsiTheme="minorHAnsi" w:cstheme="minorHAnsi"/>
        </w:rPr>
        <w:t xml:space="preserve">Cheng, C., Oakman, J., </w:t>
      </w:r>
      <w:proofErr w:type="spellStart"/>
      <w:r w:rsidRPr="005641B2">
        <w:rPr>
          <w:rStyle w:val="authors"/>
          <w:rFonts w:asciiTheme="minorHAnsi" w:hAnsiTheme="minorHAnsi" w:cstheme="minorHAnsi"/>
        </w:rPr>
        <w:t>Bigby</w:t>
      </w:r>
      <w:proofErr w:type="spellEnd"/>
      <w:r w:rsidRPr="005641B2">
        <w:rPr>
          <w:rStyle w:val="authors"/>
          <w:rFonts w:asciiTheme="minorHAnsi" w:hAnsiTheme="minorHAnsi" w:cstheme="minorHAnsi"/>
        </w:rPr>
        <w:t xml:space="preserve">, C., </w:t>
      </w:r>
      <w:proofErr w:type="spellStart"/>
      <w:r w:rsidRPr="005641B2">
        <w:rPr>
          <w:rStyle w:val="authors"/>
          <w:rFonts w:asciiTheme="minorHAnsi" w:hAnsiTheme="minorHAnsi" w:cstheme="minorHAnsi"/>
        </w:rPr>
        <w:t>Fossey</w:t>
      </w:r>
      <w:proofErr w:type="spellEnd"/>
      <w:r w:rsidRPr="005641B2">
        <w:rPr>
          <w:rStyle w:val="authors"/>
          <w:rFonts w:asciiTheme="minorHAnsi" w:hAnsiTheme="minorHAnsi" w:cstheme="minorHAnsi"/>
        </w:rPr>
        <w:t>, E., Cavanagh, J., Meacham, H.</w:t>
      </w:r>
      <w:r w:rsidR="00605A18">
        <w:rPr>
          <w:rStyle w:val="authors"/>
          <w:rFonts w:asciiTheme="minorHAnsi" w:hAnsiTheme="minorHAnsi" w:cstheme="minorHAnsi"/>
        </w:rPr>
        <w:t>,</w:t>
      </w:r>
      <w:r w:rsidRPr="005641B2">
        <w:rPr>
          <w:rStyle w:val="authors"/>
          <w:rFonts w:asciiTheme="minorHAnsi" w:hAnsiTheme="minorHAnsi" w:cstheme="minorHAnsi"/>
        </w:rPr>
        <w:t xml:space="preserve"> &amp; Bartram, T.</w:t>
      </w:r>
      <w:r w:rsidRPr="005641B2">
        <w:rPr>
          <w:rFonts w:asciiTheme="minorHAnsi" w:hAnsiTheme="minorHAnsi" w:cstheme="minorHAnsi"/>
        </w:rPr>
        <w:t xml:space="preserve"> </w:t>
      </w:r>
      <w:r w:rsidRPr="005641B2">
        <w:rPr>
          <w:rStyle w:val="Date1"/>
          <w:rFonts w:asciiTheme="minorHAnsi" w:hAnsiTheme="minorHAnsi" w:cstheme="minorHAnsi"/>
        </w:rPr>
        <w:t>(2018)</w:t>
      </w:r>
      <w:r w:rsidR="002A572E">
        <w:rPr>
          <w:rStyle w:val="Date1"/>
          <w:rFonts w:asciiTheme="minorHAnsi" w:hAnsiTheme="minorHAnsi" w:cstheme="minorHAnsi"/>
        </w:rPr>
        <w:t>.</w:t>
      </w:r>
      <w:r w:rsidRPr="005641B2">
        <w:rPr>
          <w:rFonts w:asciiTheme="minorHAnsi" w:hAnsiTheme="minorHAnsi" w:cstheme="minorHAnsi"/>
        </w:rPr>
        <w:t xml:space="preserve"> </w:t>
      </w:r>
      <w:r w:rsidRPr="005641B2">
        <w:rPr>
          <w:rStyle w:val="arttitle"/>
          <w:rFonts w:asciiTheme="minorHAnsi" w:hAnsiTheme="minorHAnsi" w:cstheme="minorHAnsi"/>
        </w:rPr>
        <w:t>What constitutes effective support in obtaining and maintaining employment for individuals with intellectual disability? A scoping review</w:t>
      </w:r>
      <w:r w:rsidR="005869BF">
        <w:rPr>
          <w:rStyle w:val="arttitle"/>
          <w:rFonts w:asciiTheme="minorHAnsi" w:hAnsiTheme="minorHAnsi" w:cstheme="minorHAnsi"/>
        </w:rPr>
        <w:t>.</w:t>
      </w:r>
      <w:r w:rsidRPr="005641B2">
        <w:rPr>
          <w:rFonts w:asciiTheme="minorHAnsi" w:hAnsiTheme="minorHAnsi" w:cstheme="minorHAnsi"/>
        </w:rPr>
        <w:t xml:space="preserve"> </w:t>
      </w:r>
      <w:r w:rsidRPr="005641B2">
        <w:rPr>
          <w:rStyle w:val="serialtitle"/>
          <w:rFonts w:asciiTheme="minorHAnsi" w:eastAsiaTheme="minorEastAsia" w:hAnsiTheme="minorHAnsi" w:cstheme="minorHAnsi"/>
          <w:i/>
          <w:iCs/>
        </w:rPr>
        <w:t>Journal of Intellectual &amp; Developmental Disability</w:t>
      </w:r>
      <w:r w:rsidRPr="005641B2">
        <w:rPr>
          <w:rStyle w:val="serialtitle"/>
          <w:rFonts w:asciiTheme="minorHAnsi" w:eastAsiaTheme="minorEastAsia" w:hAnsiTheme="minorHAnsi" w:cstheme="minorHAnsi"/>
        </w:rPr>
        <w:t>,</w:t>
      </w:r>
      <w:r w:rsidRPr="005641B2">
        <w:rPr>
          <w:rFonts w:asciiTheme="minorHAnsi" w:hAnsiTheme="minorHAnsi" w:cstheme="minorHAnsi"/>
        </w:rPr>
        <w:t xml:space="preserve"> </w:t>
      </w:r>
      <w:r w:rsidRPr="005869BF">
        <w:rPr>
          <w:rStyle w:val="volumeissue"/>
          <w:rFonts w:asciiTheme="minorHAnsi" w:hAnsiTheme="minorHAnsi" w:cstheme="minorHAnsi"/>
          <w:i/>
          <w:iCs/>
        </w:rPr>
        <w:t>43</w:t>
      </w:r>
      <w:r w:rsidRPr="005641B2">
        <w:rPr>
          <w:rStyle w:val="volumeissue"/>
          <w:rFonts w:asciiTheme="minorHAnsi" w:hAnsiTheme="minorHAnsi" w:cstheme="minorHAnsi"/>
        </w:rPr>
        <w:t>:3,</w:t>
      </w:r>
      <w:r w:rsidRPr="005641B2">
        <w:rPr>
          <w:rFonts w:asciiTheme="minorHAnsi" w:hAnsiTheme="minorHAnsi" w:cstheme="minorHAnsi"/>
        </w:rPr>
        <w:t xml:space="preserve"> </w:t>
      </w:r>
      <w:r w:rsidRPr="005641B2">
        <w:rPr>
          <w:rStyle w:val="pagerange"/>
          <w:rFonts w:asciiTheme="minorHAnsi" w:hAnsiTheme="minorHAnsi" w:cstheme="minorHAnsi"/>
        </w:rPr>
        <w:t>317-327</w:t>
      </w:r>
      <w:r w:rsidR="005869BF">
        <w:rPr>
          <w:rStyle w:val="pagerange"/>
          <w:rFonts w:asciiTheme="minorHAnsi" w:hAnsiTheme="minorHAnsi" w:cstheme="minorHAnsi"/>
        </w:rPr>
        <w:t>.</w:t>
      </w:r>
      <w:r w:rsidRPr="005641B2">
        <w:rPr>
          <w:rFonts w:asciiTheme="minorHAnsi" w:hAnsiTheme="minorHAnsi" w:cstheme="minorHAnsi"/>
        </w:rPr>
        <w:t xml:space="preserve"> </w:t>
      </w:r>
      <w:hyperlink r:id="rId19" w:history="1">
        <w:r w:rsidR="00B12029" w:rsidRPr="00F80395">
          <w:rPr>
            <w:rStyle w:val="Hyperlink"/>
            <w:rFonts w:asciiTheme="minorHAnsi" w:hAnsiTheme="minorHAnsi" w:cstheme="minorHAnsi"/>
          </w:rPr>
          <w:t>https://doi.org/10.3109/13668250.2017.1327040</w:t>
        </w:r>
      </w:hyperlink>
      <w:r w:rsidR="00B12029">
        <w:rPr>
          <w:rStyle w:val="doilink"/>
          <w:rFonts w:asciiTheme="minorHAnsi" w:hAnsiTheme="minorHAnsi" w:cstheme="minorHAnsi"/>
        </w:rPr>
        <w:t xml:space="preserve"> </w:t>
      </w:r>
    </w:p>
    <w:bookmarkEnd w:id="2"/>
    <w:p w14:paraId="3E233FE8" w14:textId="40F6A7E9" w:rsidR="003A5C4A" w:rsidRPr="005641B2" w:rsidRDefault="003A5C4A" w:rsidP="00966488">
      <w:pPr>
        <w:spacing w:before="120" w:line="276" w:lineRule="auto"/>
        <w:ind w:left="510" w:hanging="510"/>
        <w:rPr>
          <w:rStyle w:val="normaltextrun"/>
          <w:rFonts w:asciiTheme="minorHAnsi" w:hAnsiTheme="minorHAnsi" w:cstheme="minorHAnsi"/>
        </w:rPr>
      </w:pPr>
      <w:r w:rsidRPr="005641B2">
        <w:rPr>
          <w:rFonts w:asciiTheme="minorHAnsi" w:hAnsiTheme="minorHAnsi" w:cstheme="minorHAnsi"/>
        </w:rPr>
        <w:t>Colmar Brunton Social Research</w:t>
      </w:r>
      <w:r w:rsidR="0095723A">
        <w:rPr>
          <w:rFonts w:asciiTheme="minorHAnsi" w:hAnsiTheme="minorHAnsi" w:cstheme="minorHAnsi"/>
        </w:rPr>
        <w:t>.</w:t>
      </w:r>
      <w:r w:rsidRPr="005641B2">
        <w:rPr>
          <w:rFonts w:asciiTheme="minorHAnsi" w:hAnsiTheme="minorHAnsi" w:cstheme="minorHAnsi"/>
        </w:rPr>
        <w:t xml:space="preserve"> (2019). </w:t>
      </w:r>
      <w:r w:rsidRPr="005641B2">
        <w:rPr>
          <w:rFonts w:asciiTheme="minorHAnsi" w:hAnsiTheme="minorHAnsi" w:cstheme="minorHAnsi"/>
          <w:i/>
          <w:iCs/>
        </w:rPr>
        <w:t xml:space="preserve">Evaluation of </w:t>
      </w:r>
      <w:proofErr w:type="spellStart"/>
      <w:r w:rsidRPr="005641B2">
        <w:rPr>
          <w:rFonts w:asciiTheme="minorHAnsi" w:hAnsiTheme="minorHAnsi" w:cstheme="minorHAnsi"/>
          <w:i/>
          <w:iCs/>
        </w:rPr>
        <w:t>JobAccess</w:t>
      </w:r>
      <w:proofErr w:type="spellEnd"/>
      <w:r w:rsidRPr="005641B2">
        <w:rPr>
          <w:rFonts w:asciiTheme="minorHAnsi" w:hAnsiTheme="minorHAnsi" w:cstheme="minorHAnsi"/>
          <w:i/>
          <w:iCs/>
        </w:rPr>
        <w:t xml:space="preserve"> Service Report</w:t>
      </w:r>
      <w:r w:rsidR="0095723A">
        <w:rPr>
          <w:rFonts w:asciiTheme="minorHAnsi" w:hAnsiTheme="minorHAnsi" w:cstheme="minorHAnsi"/>
          <w:b/>
          <w:bCs/>
        </w:rPr>
        <w:t>.</w:t>
      </w:r>
      <w:r w:rsidRPr="005641B2">
        <w:rPr>
          <w:rFonts w:asciiTheme="minorHAnsi" w:hAnsiTheme="minorHAnsi" w:cstheme="minorHAnsi"/>
          <w:b/>
          <w:bCs/>
        </w:rPr>
        <w:t xml:space="preserve"> </w:t>
      </w:r>
      <w:hyperlink r:id="rId20" w:history="1">
        <w:r w:rsidR="0095723A" w:rsidRPr="00F80395">
          <w:rPr>
            <w:rStyle w:val="Hyperlink"/>
            <w:rFonts w:asciiTheme="minorHAnsi" w:hAnsiTheme="minorHAnsi" w:cstheme="minorHAnsi"/>
          </w:rPr>
          <w:t>https://www.dss.gov.au/sites/default/files/documents/06_2020/evaluation-jobaccess-services-july-2019.pdf</w:t>
        </w:r>
      </w:hyperlink>
      <w:r w:rsidR="0095723A">
        <w:rPr>
          <w:rFonts w:asciiTheme="minorHAnsi" w:hAnsiTheme="minorHAnsi" w:cstheme="minorHAnsi"/>
        </w:rPr>
        <w:t xml:space="preserve"> </w:t>
      </w:r>
    </w:p>
    <w:p w14:paraId="69578A1C" w14:textId="4744F2C2" w:rsidR="003A5C4A" w:rsidRPr="005641B2" w:rsidRDefault="003A5C4A" w:rsidP="00966488">
      <w:pPr>
        <w:spacing w:before="120" w:line="276" w:lineRule="auto"/>
        <w:ind w:left="510" w:hanging="510"/>
        <w:rPr>
          <w:rStyle w:val="markedcontent"/>
          <w:rFonts w:asciiTheme="minorHAnsi" w:hAnsiTheme="minorHAnsi" w:cstheme="minorHAnsi"/>
        </w:rPr>
      </w:pPr>
      <w:r w:rsidRPr="005641B2">
        <w:rPr>
          <w:rStyle w:val="markedcontent"/>
          <w:rFonts w:asciiTheme="minorHAnsi" w:hAnsiTheme="minorHAnsi" w:cstheme="minorHAnsi"/>
        </w:rPr>
        <w:t>Commonwealth of Australia</w:t>
      </w:r>
      <w:r w:rsidR="0095723A">
        <w:rPr>
          <w:rStyle w:val="markedcontent"/>
          <w:rFonts w:asciiTheme="minorHAnsi" w:hAnsiTheme="minorHAnsi" w:cstheme="minorHAnsi"/>
        </w:rPr>
        <w:t>.</w:t>
      </w:r>
      <w:r w:rsidRPr="005641B2">
        <w:rPr>
          <w:rStyle w:val="markedcontent"/>
          <w:rFonts w:asciiTheme="minorHAnsi" w:hAnsiTheme="minorHAnsi" w:cstheme="minorHAnsi"/>
        </w:rPr>
        <w:t xml:space="preserve"> </w:t>
      </w:r>
      <w:r w:rsidR="0095723A">
        <w:rPr>
          <w:rStyle w:val="markedcontent"/>
          <w:rFonts w:asciiTheme="minorHAnsi" w:hAnsiTheme="minorHAnsi" w:cstheme="minorHAnsi"/>
        </w:rPr>
        <w:t>(</w:t>
      </w:r>
      <w:r w:rsidRPr="005641B2">
        <w:rPr>
          <w:rStyle w:val="markedcontent"/>
          <w:rFonts w:asciiTheme="minorHAnsi" w:hAnsiTheme="minorHAnsi" w:cstheme="minorHAnsi"/>
        </w:rPr>
        <w:t>1987</w:t>
      </w:r>
      <w:r w:rsidR="0095723A">
        <w:rPr>
          <w:rStyle w:val="markedcontent"/>
          <w:rFonts w:asciiTheme="minorHAnsi" w:hAnsiTheme="minorHAnsi" w:cstheme="minorHAnsi"/>
        </w:rPr>
        <w:t xml:space="preserve">). </w:t>
      </w:r>
      <w:r w:rsidRPr="00110D9B">
        <w:rPr>
          <w:rStyle w:val="markedcontent"/>
          <w:rFonts w:asciiTheme="minorHAnsi" w:hAnsiTheme="minorHAnsi" w:cstheme="minorHAnsi"/>
          <w:i/>
          <w:iCs/>
        </w:rPr>
        <w:t>Disability Services Act 1986</w:t>
      </w:r>
      <w:r w:rsidRPr="005641B2">
        <w:rPr>
          <w:rStyle w:val="markedcontent"/>
          <w:rFonts w:asciiTheme="minorHAnsi" w:hAnsiTheme="minorHAnsi" w:cstheme="minorHAnsi"/>
        </w:rPr>
        <w:t xml:space="preserve">. </w:t>
      </w:r>
      <w:hyperlink r:id="rId21" w:history="1">
        <w:r w:rsidR="004A3CCD" w:rsidRPr="00BE2965">
          <w:rPr>
            <w:rStyle w:val="Hyperlink"/>
            <w:rFonts w:asciiTheme="minorHAnsi" w:hAnsiTheme="minorHAnsi" w:cstheme="minorHAnsi"/>
          </w:rPr>
          <w:t>https://www.legislation.gov.au/Details/C2018C00146</w:t>
        </w:r>
      </w:hyperlink>
      <w:r w:rsidR="004A3CCD">
        <w:rPr>
          <w:rStyle w:val="markedcontent"/>
          <w:rFonts w:asciiTheme="minorHAnsi" w:hAnsiTheme="minorHAnsi" w:cstheme="minorHAnsi"/>
        </w:rPr>
        <w:t xml:space="preserve"> </w:t>
      </w:r>
    </w:p>
    <w:p w14:paraId="069D5B46" w14:textId="605C6F3B" w:rsidR="007B4540" w:rsidRPr="005641B2" w:rsidRDefault="003A5C4A" w:rsidP="00966488">
      <w:pPr>
        <w:spacing w:before="120" w:line="276" w:lineRule="auto"/>
        <w:ind w:left="510" w:hanging="510"/>
        <w:rPr>
          <w:rStyle w:val="markedcontent"/>
          <w:rFonts w:asciiTheme="minorHAnsi" w:hAnsiTheme="minorHAnsi" w:cstheme="minorHAnsi"/>
        </w:rPr>
      </w:pPr>
      <w:r w:rsidRPr="005641B2">
        <w:rPr>
          <w:rStyle w:val="markedcontent"/>
          <w:rFonts w:asciiTheme="minorHAnsi" w:hAnsiTheme="minorHAnsi" w:cstheme="minorHAnsi"/>
        </w:rPr>
        <w:t>Commonwealth of Australia</w:t>
      </w:r>
      <w:r w:rsidR="009554B3">
        <w:rPr>
          <w:rStyle w:val="markedcontent"/>
          <w:rFonts w:asciiTheme="minorHAnsi" w:hAnsiTheme="minorHAnsi" w:cstheme="minorHAnsi"/>
        </w:rPr>
        <w:t>. (</w:t>
      </w:r>
      <w:r w:rsidRPr="005641B2">
        <w:rPr>
          <w:rStyle w:val="markedcontent"/>
          <w:rFonts w:asciiTheme="minorHAnsi" w:hAnsiTheme="minorHAnsi" w:cstheme="minorHAnsi"/>
        </w:rPr>
        <w:t>2013</w:t>
      </w:r>
      <w:r w:rsidR="009554B3">
        <w:rPr>
          <w:rStyle w:val="markedcontent"/>
          <w:rFonts w:asciiTheme="minorHAnsi" w:hAnsiTheme="minorHAnsi" w:cstheme="minorHAnsi"/>
        </w:rPr>
        <w:t>).</w:t>
      </w:r>
      <w:r w:rsidRPr="005641B2">
        <w:rPr>
          <w:rStyle w:val="markedcontent"/>
          <w:rFonts w:asciiTheme="minorHAnsi" w:hAnsiTheme="minorHAnsi" w:cstheme="minorHAnsi"/>
        </w:rPr>
        <w:t xml:space="preserve"> </w:t>
      </w:r>
      <w:r w:rsidRPr="00A353C9">
        <w:rPr>
          <w:rStyle w:val="markedcontent"/>
          <w:rFonts w:asciiTheme="minorHAnsi" w:hAnsiTheme="minorHAnsi" w:cstheme="minorHAnsi"/>
          <w:i/>
          <w:iCs/>
        </w:rPr>
        <w:t>National Disability Insurance Scheme Act</w:t>
      </w:r>
      <w:bookmarkStart w:id="3" w:name="_Hlk120455576"/>
      <w:bookmarkStart w:id="4" w:name="_Hlk119836623"/>
      <w:r w:rsidR="00A353C9" w:rsidRPr="00A353C9">
        <w:rPr>
          <w:rStyle w:val="markedcontent"/>
          <w:rFonts w:asciiTheme="minorHAnsi" w:hAnsiTheme="minorHAnsi" w:cstheme="minorHAnsi"/>
          <w:i/>
          <w:iCs/>
        </w:rPr>
        <w:t>.</w:t>
      </w:r>
      <w:r w:rsidR="00A353C9">
        <w:rPr>
          <w:rStyle w:val="markedcontent"/>
          <w:rFonts w:asciiTheme="minorHAnsi" w:hAnsiTheme="minorHAnsi" w:cstheme="minorHAnsi"/>
        </w:rPr>
        <w:t xml:space="preserve"> </w:t>
      </w:r>
      <w:hyperlink r:id="rId22" w:history="1">
        <w:r w:rsidR="00A353C9" w:rsidRPr="00F80395">
          <w:rPr>
            <w:rStyle w:val="Hyperlink"/>
            <w:rFonts w:asciiTheme="minorHAnsi" w:hAnsiTheme="minorHAnsi" w:cstheme="minorHAnsi"/>
          </w:rPr>
          <w:t>https://www.legislation.gov.au/Details/C2013A00020</w:t>
        </w:r>
      </w:hyperlink>
      <w:r w:rsidR="00A353C9">
        <w:rPr>
          <w:rStyle w:val="markedcontent"/>
          <w:rFonts w:asciiTheme="minorHAnsi" w:hAnsiTheme="minorHAnsi" w:cstheme="minorHAnsi"/>
        </w:rPr>
        <w:t xml:space="preserve"> </w:t>
      </w:r>
    </w:p>
    <w:p w14:paraId="7C5683FC" w14:textId="5704EAFD" w:rsidR="00DB59F6" w:rsidRPr="005641B2" w:rsidRDefault="00DB59F6" w:rsidP="00966488">
      <w:pPr>
        <w:spacing w:before="120" w:line="276" w:lineRule="auto"/>
        <w:ind w:left="510" w:hanging="510"/>
        <w:rPr>
          <w:rFonts w:asciiTheme="minorHAnsi" w:hAnsiTheme="minorHAnsi" w:cstheme="minorHAnsi"/>
        </w:rPr>
      </w:pPr>
      <w:r w:rsidRPr="005641B2">
        <w:rPr>
          <w:rFonts w:asciiTheme="minorHAnsi" w:hAnsiTheme="minorHAnsi" w:cstheme="minorHAnsi"/>
          <w:shd w:val="clear" w:color="auto" w:fill="FFFFFF"/>
          <w:lang w:val="en-US" w:eastAsia="en-AU" w:bidi="ar-SA"/>
        </w:rPr>
        <w:t xml:space="preserve">Crosbie, J. (2022) </w:t>
      </w:r>
      <w:r w:rsidRPr="005641B2">
        <w:rPr>
          <w:rFonts w:asciiTheme="minorHAnsi" w:hAnsiTheme="minorHAnsi" w:cstheme="minorHAnsi"/>
          <w:i/>
          <w:iCs/>
          <w:shd w:val="clear" w:color="auto" w:fill="FFFFFF"/>
          <w:lang w:val="en-US" w:eastAsia="en-AU" w:bidi="ar-SA"/>
        </w:rPr>
        <w:t xml:space="preserve">Creating a path from school to work: </w:t>
      </w:r>
      <w:proofErr w:type="spellStart"/>
      <w:r w:rsidRPr="005641B2">
        <w:rPr>
          <w:rFonts w:asciiTheme="minorHAnsi" w:hAnsiTheme="minorHAnsi" w:cstheme="minorHAnsi"/>
          <w:i/>
          <w:iCs/>
          <w:shd w:val="clear" w:color="auto" w:fill="FFFFFF"/>
          <w:lang w:val="en-US" w:eastAsia="en-AU" w:bidi="ar-SA"/>
        </w:rPr>
        <w:t>Reconceptualising</w:t>
      </w:r>
      <w:proofErr w:type="spellEnd"/>
      <w:r w:rsidRPr="005641B2">
        <w:rPr>
          <w:rFonts w:asciiTheme="minorHAnsi" w:hAnsiTheme="minorHAnsi" w:cstheme="minorHAnsi"/>
          <w:i/>
          <w:iCs/>
          <w:shd w:val="clear" w:color="auto" w:fill="FFFFFF"/>
          <w:lang w:val="en-US" w:eastAsia="en-AU" w:bidi="ar-SA"/>
        </w:rPr>
        <w:t xml:space="preserve"> economic participation for young Australians with intellectual disability</w:t>
      </w:r>
      <w:r w:rsidRPr="005641B2">
        <w:rPr>
          <w:rFonts w:asciiTheme="minorHAnsi" w:hAnsiTheme="minorHAnsi" w:cstheme="minorHAnsi"/>
          <w:shd w:val="clear" w:color="auto" w:fill="FFFFFF"/>
          <w:lang w:val="en-US" w:eastAsia="en-AU" w:bidi="ar-SA"/>
        </w:rPr>
        <w:t>. PhD., Swinburne University of Technology, Hawthorn, Vic.</w:t>
      </w:r>
    </w:p>
    <w:bookmarkEnd w:id="3"/>
    <w:p w14:paraId="52AC29F5" w14:textId="41E2280D" w:rsidR="008E2DC2" w:rsidRPr="005641B2" w:rsidRDefault="008E2DC2" w:rsidP="00966488">
      <w:pPr>
        <w:pStyle w:val="BodyTextSP"/>
        <w:spacing w:before="120" w:after="0"/>
        <w:rPr>
          <w:rFonts w:cstheme="minorHAnsi"/>
          <w:color w:val="auto"/>
        </w:rPr>
      </w:pPr>
      <w:r w:rsidRPr="005641B2">
        <w:rPr>
          <w:rFonts w:cstheme="minorHAnsi"/>
          <w:color w:val="auto"/>
        </w:rPr>
        <w:lastRenderedPageBreak/>
        <w:t xml:space="preserve">Department of Families, Housing, Community </w:t>
      </w:r>
      <w:proofErr w:type="gramStart"/>
      <w:r w:rsidRPr="005641B2">
        <w:rPr>
          <w:rFonts w:cstheme="minorHAnsi"/>
          <w:color w:val="auto"/>
        </w:rPr>
        <w:t>Services</w:t>
      </w:r>
      <w:proofErr w:type="gramEnd"/>
      <w:r w:rsidRPr="005641B2">
        <w:rPr>
          <w:rFonts w:cstheme="minorHAnsi"/>
          <w:color w:val="auto"/>
        </w:rPr>
        <w:t xml:space="preserve"> and Indigenous Affairs </w:t>
      </w:r>
      <w:r w:rsidR="00417CE9">
        <w:rPr>
          <w:rFonts w:cstheme="minorHAnsi"/>
          <w:color w:val="auto"/>
        </w:rPr>
        <w:t>(</w:t>
      </w:r>
      <w:proofErr w:type="spellStart"/>
      <w:r w:rsidRPr="005641B2">
        <w:rPr>
          <w:rFonts w:cstheme="minorHAnsi"/>
          <w:color w:val="auto"/>
        </w:rPr>
        <w:t>FaHCSIA</w:t>
      </w:r>
      <w:proofErr w:type="spellEnd"/>
      <w:r w:rsidR="00417CE9">
        <w:rPr>
          <w:rFonts w:cstheme="minorHAnsi"/>
          <w:color w:val="auto"/>
        </w:rPr>
        <w:t>)</w:t>
      </w:r>
      <w:r w:rsidR="00961A2A">
        <w:rPr>
          <w:rFonts w:cstheme="minorHAnsi"/>
          <w:color w:val="auto"/>
        </w:rPr>
        <w:t>.</w:t>
      </w:r>
      <w:r w:rsidRPr="005641B2">
        <w:rPr>
          <w:rFonts w:cstheme="minorHAnsi"/>
          <w:color w:val="auto"/>
        </w:rPr>
        <w:t xml:space="preserve"> (n.d</w:t>
      </w:r>
      <w:r w:rsidR="00961A2A">
        <w:rPr>
          <w:rFonts w:cstheme="minorHAnsi"/>
          <w:color w:val="auto"/>
        </w:rPr>
        <w:t>.</w:t>
      </w:r>
      <w:r w:rsidRPr="005641B2">
        <w:rPr>
          <w:rFonts w:cstheme="minorHAnsi"/>
          <w:color w:val="auto"/>
        </w:rPr>
        <w:t xml:space="preserve">). </w:t>
      </w:r>
      <w:r w:rsidRPr="005641B2">
        <w:rPr>
          <w:rFonts w:cstheme="minorHAnsi"/>
          <w:i/>
          <w:iCs/>
          <w:color w:val="auto"/>
        </w:rPr>
        <w:t xml:space="preserve">Inclusive </w:t>
      </w:r>
      <w:r w:rsidR="00A573F6">
        <w:rPr>
          <w:rFonts w:cstheme="minorHAnsi"/>
          <w:i/>
          <w:iCs/>
          <w:color w:val="auto"/>
        </w:rPr>
        <w:t>e</w:t>
      </w:r>
      <w:r w:rsidRPr="005641B2">
        <w:rPr>
          <w:rFonts w:cstheme="minorHAnsi"/>
          <w:i/>
          <w:iCs/>
          <w:color w:val="auto"/>
        </w:rPr>
        <w:t>mployment 2012-2022. A vision for supported employment</w:t>
      </w:r>
      <w:r w:rsidR="00961A2A">
        <w:rPr>
          <w:rFonts w:cstheme="minorHAnsi"/>
          <w:color w:val="auto"/>
        </w:rPr>
        <w:t xml:space="preserve">. </w:t>
      </w:r>
      <w:hyperlink r:id="rId23" w:history="1">
        <w:r w:rsidR="00961A2A" w:rsidRPr="00F80395">
          <w:rPr>
            <w:rStyle w:val="Hyperlink"/>
            <w:rFonts w:cstheme="minorHAnsi"/>
          </w:rPr>
          <w:t>https://www.dss.gov.au/sites/default/files/files/disability-and carers/policy_research/aust_govt_vision_inclusive_employment.pdf</w:t>
        </w:r>
      </w:hyperlink>
    </w:p>
    <w:p w14:paraId="506F77FB" w14:textId="3C189CB0" w:rsidR="00025CA2" w:rsidRPr="005641B2" w:rsidRDefault="00025CA2" w:rsidP="00966488">
      <w:pPr>
        <w:pStyle w:val="BodyTextSP"/>
        <w:spacing w:before="120" w:after="0"/>
        <w:rPr>
          <w:rFonts w:cstheme="minorHAnsi"/>
          <w:color w:val="auto"/>
        </w:rPr>
      </w:pPr>
      <w:r w:rsidRPr="005641B2">
        <w:rPr>
          <w:rFonts w:cstheme="minorHAnsi"/>
          <w:color w:val="auto"/>
        </w:rPr>
        <w:t>Department of Social Services</w:t>
      </w:r>
      <w:r w:rsidR="00F83CF7">
        <w:rPr>
          <w:rFonts w:cstheme="minorHAnsi"/>
          <w:color w:val="auto"/>
        </w:rPr>
        <w:t xml:space="preserve"> (DSS).</w:t>
      </w:r>
      <w:r w:rsidRPr="005641B2">
        <w:rPr>
          <w:rFonts w:cstheme="minorHAnsi"/>
          <w:color w:val="auto"/>
        </w:rPr>
        <w:t xml:space="preserve"> (2017). </w:t>
      </w:r>
      <w:r w:rsidRPr="005641B2">
        <w:rPr>
          <w:rFonts w:cstheme="minorHAnsi"/>
          <w:i/>
          <w:iCs/>
          <w:color w:val="auto"/>
        </w:rPr>
        <w:t xml:space="preserve">Discussion </w:t>
      </w:r>
      <w:r w:rsidR="00A573F6">
        <w:rPr>
          <w:rFonts w:cstheme="minorHAnsi"/>
          <w:i/>
          <w:iCs/>
          <w:color w:val="auto"/>
        </w:rPr>
        <w:t>p</w:t>
      </w:r>
      <w:r w:rsidRPr="005641B2">
        <w:rPr>
          <w:rFonts w:cstheme="minorHAnsi"/>
          <w:i/>
          <w:iCs/>
          <w:color w:val="auto"/>
        </w:rPr>
        <w:t xml:space="preserve">aper. Ensuring a strong future for supported employment. </w:t>
      </w:r>
      <w:r w:rsidRPr="005641B2">
        <w:rPr>
          <w:rFonts w:cstheme="minorHAnsi"/>
          <w:color w:val="auto"/>
        </w:rPr>
        <w:t>Canberra: Commonwealth of Australia.</w:t>
      </w:r>
      <w:r w:rsidR="00A83375">
        <w:rPr>
          <w:rFonts w:cstheme="minorHAnsi"/>
          <w:color w:val="auto"/>
        </w:rPr>
        <w:t xml:space="preserve"> </w:t>
      </w:r>
      <w:hyperlink r:id="rId24" w:history="1">
        <w:r w:rsidR="00BD52B2" w:rsidRPr="00F80395">
          <w:rPr>
            <w:rStyle w:val="Hyperlink"/>
            <w:rFonts w:cstheme="minorHAnsi"/>
          </w:rPr>
          <w:t>https://engage.dss.gov.au/wp-content/uploads/2017/12/discussion_paper_-_ensuring_a_strong_future_for_supported_employment.pdf</w:t>
        </w:r>
      </w:hyperlink>
      <w:r w:rsidR="00BD52B2">
        <w:rPr>
          <w:rFonts w:cstheme="minorHAnsi"/>
          <w:color w:val="auto"/>
        </w:rPr>
        <w:t xml:space="preserve"> </w:t>
      </w:r>
    </w:p>
    <w:p w14:paraId="47FF7418" w14:textId="057E6325" w:rsidR="003A5C4A" w:rsidRPr="005641B2" w:rsidRDefault="003A5C4A" w:rsidP="00966488">
      <w:pPr>
        <w:spacing w:before="120" w:line="276" w:lineRule="auto"/>
        <w:ind w:left="510" w:hanging="510"/>
        <w:rPr>
          <w:rStyle w:val="markedcontent"/>
          <w:rFonts w:asciiTheme="minorHAnsi" w:hAnsiTheme="minorHAnsi" w:cstheme="minorHAnsi"/>
          <w:i/>
          <w:iCs/>
        </w:rPr>
      </w:pPr>
      <w:r w:rsidRPr="005641B2">
        <w:rPr>
          <w:rStyle w:val="markedcontent"/>
          <w:rFonts w:asciiTheme="minorHAnsi" w:hAnsiTheme="minorHAnsi" w:cstheme="minorHAnsi"/>
        </w:rPr>
        <w:t>Department of Social Services (DSS)</w:t>
      </w:r>
      <w:r w:rsidR="00F83CF7">
        <w:rPr>
          <w:rStyle w:val="markedcontent"/>
          <w:rFonts w:asciiTheme="minorHAnsi" w:hAnsiTheme="minorHAnsi" w:cstheme="minorHAnsi"/>
        </w:rPr>
        <w:t>.</w:t>
      </w:r>
      <w:r w:rsidRPr="005641B2">
        <w:rPr>
          <w:rStyle w:val="markedcontent"/>
          <w:rFonts w:asciiTheme="minorHAnsi" w:hAnsiTheme="minorHAnsi" w:cstheme="minorHAnsi"/>
        </w:rPr>
        <w:t xml:space="preserve"> (2018). </w:t>
      </w:r>
      <w:r w:rsidRPr="005641B2">
        <w:rPr>
          <w:rStyle w:val="markedcontent"/>
          <w:rFonts w:asciiTheme="minorHAnsi" w:hAnsiTheme="minorHAnsi" w:cstheme="minorHAnsi"/>
          <w:i/>
          <w:iCs/>
        </w:rPr>
        <w:t xml:space="preserve">Ensuring a strong future for supported employment. Consultations, </w:t>
      </w:r>
      <w:r w:rsidR="00A573F6">
        <w:rPr>
          <w:rStyle w:val="markedcontent"/>
          <w:rFonts w:asciiTheme="minorHAnsi" w:hAnsiTheme="minorHAnsi" w:cstheme="minorHAnsi"/>
          <w:i/>
          <w:iCs/>
        </w:rPr>
        <w:t>s</w:t>
      </w:r>
      <w:r w:rsidRPr="005641B2">
        <w:rPr>
          <w:rStyle w:val="markedcontent"/>
          <w:rFonts w:asciiTheme="minorHAnsi" w:hAnsiTheme="minorHAnsi" w:cstheme="minorHAnsi"/>
          <w:i/>
          <w:iCs/>
        </w:rPr>
        <w:t>ummary of stakeholder consultations December 2017-April 2018</w:t>
      </w:r>
      <w:r w:rsidR="00F83CF7">
        <w:rPr>
          <w:rStyle w:val="markedcontent"/>
          <w:rFonts w:asciiTheme="minorHAnsi" w:hAnsiTheme="minorHAnsi" w:cstheme="minorHAnsi"/>
          <w:i/>
          <w:iCs/>
        </w:rPr>
        <w:t>.</w:t>
      </w:r>
      <w:r w:rsidRPr="005641B2">
        <w:rPr>
          <w:rStyle w:val="markedcontent"/>
          <w:rFonts w:asciiTheme="minorHAnsi" w:hAnsiTheme="minorHAnsi" w:cstheme="minorHAnsi"/>
          <w:i/>
          <w:iCs/>
        </w:rPr>
        <w:t xml:space="preserve"> </w:t>
      </w:r>
      <w:hyperlink r:id="rId25" w:history="1">
        <w:r w:rsidR="00F83CF7" w:rsidRPr="00F80395">
          <w:rPr>
            <w:rStyle w:val="Hyperlink"/>
            <w:rFonts w:asciiTheme="minorHAnsi" w:hAnsiTheme="minorHAnsi" w:cstheme="minorHAnsi"/>
          </w:rPr>
          <w:t>https://engage.dss.gov.au/wp-content/uploads/2018/07/PROOF-7-8876-Supported-Employment-Policy-Report-FINAL.pdf</w:t>
        </w:r>
      </w:hyperlink>
      <w:r w:rsidR="00F83CF7">
        <w:rPr>
          <w:rFonts w:asciiTheme="minorHAnsi" w:hAnsiTheme="minorHAnsi" w:cstheme="minorHAnsi"/>
        </w:rPr>
        <w:t xml:space="preserve"> </w:t>
      </w:r>
    </w:p>
    <w:bookmarkEnd w:id="4"/>
    <w:p w14:paraId="2E15918A" w14:textId="5B122E46" w:rsidR="003A5C4A" w:rsidRPr="005641B2" w:rsidRDefault="003A5C4A" w:rsidP="00966488">
      <w:pPr>
        <w:spacing w:before="120" w:line="276" w:lineRule="auto"/>
        <w:ind w:left="510" w:hanging="510"/>
        <w:rPr>
          <w:rFonts w:asciiTheme="minorHAnsi" w:hAnsiTheme="minorHAnsi" w:cstheme="minorHAnsi"/>
          <w:lang w:val="en-US" w:eastAsia="en-AU"/>
        </w:rPr>
      </w:pPr>
      <w:r w:rsidRPr="005641B2">
        <w:rPr>
          <w:rFonts w:asciiTheme="minorHAnsi" w:hAnsiTheme="minorHAnsi" w:cstheme="minorHAnsi"/>
          <w:lang w:val="en-US" w:eastAsia="en-AU"/>
        </w:rPr>
        <w:t xml:space="preserve">Devine, A., Shields, M., </w:t>
      </w:r>
      <w:proofErr w:type="spellStart"/>
      <w:r w:rsidRPr="005641B2">
        <w:rPr>
          <w:rFonts w:asciiTheme="minorHAnsi" w:hAnsiTheme="minorHAnsi" w:cstheme="minorHAnsi"/>
          <w:lang w:val="en-US" w:eastAsia="en-AU"/>
        </w:rPr>
        <w:t>Dimov</w:t>
      </w:r>
      <w:proofErr w:type="spellEnd"/>
      <w:r w:rsidRPr="005641B2">
        <w:rPr>
          <w:rFonts w:asciiTheme="minorHAnsi" w:hAnsiTheme="minorHAnsi" w:cstheme="minorHAnsi"/>
          <w:lang w:val="en-US" w:eastAsia="en-AU"/>
        </w:rPr>
        <w:t>, S., Dickinson, H., Vaughan, C.</w:t>
      </w:r>
      <w:r w:rsidR="00D27609">
        <w:rPr>
          <w:rFonts w:asciiTheme="minorHAnsi" w:hAnsiTheme="minorHAnsi" w:cstheme="minorHAnsi"/>
          <w:lang w:val="en-US" w:eastAsia="en-AU"/>
        </w:rPr>
        <w:t>,</w:t>
      </w:r>
      <w:r w:rsidRPr="005641B2">
        <w:rPr>
          <w:rFonts w:asciiTheme="minorHAnsi" w:hAnsiTheme="minorHAnsi" w:cstheme="minorHAnsi"/>
          <w:lang w:val="en-US" w:eastAsia="en-AU"/>
        </w:rPr>
        <w:t xml:space="preserve"> Bentley, R., LaMontagne, A.</w:t>
      </w:r>
      <w:r w:rsidR="00D27609">
        <w:rPr>
          <w:rFonts w:asciiTheme="minorHAnsi" w:hAnsiTheme="minorHAnsi" w:cstheme="minorHAnsi"/>
          <w:lang w:val="en-US" w:eastAsia="en-AU"/>
        </w:rPr>
        <w:t>,</w:t>
      </w:r>
      <w:r w:rsidRPr="005641B2">
        <w:rPr>
          <w:rFonts w:asciiTheme="minorHAnsi" w:hAnsiTheme="minorHAnsi" w:cstheme="minorHAnsi"/>
          <w:lang w:val="en-US" w:eastAsia="en-AU"/>
        </w:rPr>
        <w:t xml:space="preserve"> &amp; Kavanagh, A.</w:t>
      </w:r>
      <w:r w:rsidR="00300434" w:rsidRPr="005641B2">
        <w:rPr>
          <w:rFonts w:asciiTheme="minorHAnsi" w:hAnsiTheme="minorHAnsi" w:cstheme="minorHAnsi"/>
          <w:lang w:val="en-US" w:eastAsia="en-AU"/>
        </w:rPr>
        <w:t xml:space="preserve"> </w:t>
      </w:r>
      <w:r w:rsidRPr="005641B2">
        <w:rPr>
          <w:rFonts w:asciiTheme="minorHAnsi" w:hAnsiTheme="minorHAnsi" w:cstheme="minorHAnsi"/>
          <w:lang w:val="en-US" w:eastAsia="en-AU"/>
        </w:rPr>
        <w:t xml:space="preserve">(2021). Australia’s Disability Employment Services Program: Participant </w:t>
      </w:r>
      <w:r w:rsidR="00A573F6">
        <w:rPr>
          <w:rFonts w:asciiTheme="minorHAnsi" w:hAnsiTheme="minorHAnsi" w:cstheme="minorHAnsi"/>
          <w:lang w:val="en-US" w:eastAsia="en-AU"/>
        </w:rPr>
        <w:t>p</w:t>
      </w:r>
      <w:r w:rsidRPr="005641B2">
        <w:rPr>
          <w:rFonts w:asciiTheme="minorHAnsi" w:hAnsiTheme="minorHAnsi" w:cstheme="minorHAnsi"/>
          <w:lang w:val="en-US" w:eastAsia="en-AU"/>
        </w:rPr>
        <w:t xml:space="preserve">erspectives on </w:t>
      </w:r>
      <w:r w:rsidR="00A573F6" w:rsidRPr="005641B2">
        <w:rPr>
          <w:rFonts w:asciiTheme="minorHAnsi" w:hAnsiTheme="minorHAnsi" w:cstheme="minorHAnsi"/>
          <w:lang w:val="en-US" w:eastAsia="en-AU"/>
        </w:rPr>
        <w:t>factors influencing access to work</w:t>
      </w:r>
      <w:r w:rsidRPr="005641B2">
        <w:rPr>
          <w:rFonts w:asciiTheme="minorHAnsi" w:hAnsiTheme="minorHAnsi" w:cstheme="minorHAnsi"/>
          <w:lang w:val="en-US" w:eastAsia="en-AU"/>
        </w:rPr>
        <w:t xml:space="preserve">. </w:t>
      </w:r>
      <w:r w:rsidRPr="005641B2">
        <w:rPr>
          <w:rFonts w:asciiTheme="minorHAnsi" w:hAnsiTheme="minorHAnsi" w:cstheme="minorHAnsi"/>
          <w:i/>
          <w:iCs/>
          <w:lang w:val="en-US" w:eastAsia="en-AU"/>
        </w:rPr>
        <w:t>International Journal of Environmental Research and Public Health, 18</w:t>
      </w:r>
      <w:r w:rsidRPr="005641B2">
        <w:rPr>
          <w:rFonts w:asciiTheme="minorHAnsi" w:hAnsiTheme="minorHAnsi" w:cstheme="minorHAnsi"/>
          <w:lang w:val="en-US" w:eastAsia="en-AU"/>
        </w:rPr>
        <w:t>(21): 11485</w:t>
      </w:r>
      <w:r w:rsidR="009A61EC">
        <w:rPr>
          <w:rFonts w:asciiTheme="minorHAnsi" w:hAnsiTheme="minorHAnsi" w:cstheme="minorHAnsi"/>
          <w:lang w:val="en-US" w:eastAsia="en-AU"/>
        </w:rPr>
        <w:t>.</w:t>
      </w:r>
      <w:r w:rsidRPr="005641B2">
        <w:rPr>
          <w:rFonts w:asciiTheme="minorHAnsi" w:hAnsiTheme="minorHAnsi" w:cstheme="minorHAnsi"/>
          <w:lang w:val="en-US" w:eastAsia="en-AU"/>
        </w:rPr>
        <w:t xml:space="preserve"> </w:t>
      </w:r>
      <w:hyperlink r:id="rId26" w:history="1">
        <w:r w:rsidR="009A61EC" w:rsidRPr="00F80395">
          <w:rPr>
            <w:rStyle w:val="Hyperlink"/>
            <w:rFonts w:asciiTheme="minorHAnsi" w:hAnsiTheme="minorHAnsi" w:cstheme="minorHAnsi"/>
          </w:rPr>
          <w:t>https://doi.org/10.3390/ijerph182111485</w:t>
        </w:r>
      </w:hyperlink>
      <w:r w:rsidR="009A61EC">
        <w:rPr>
          <w:rFonts w:asciiTheme="minorHAnsi" w:hAnsiTheme="minorHAnsi" w:cstheme="minorHAnsi"/>
        </w:rPr>
        <w:t xml:space="preserve"> </w:t>
      </w:r>
    </w:p>
    <w:p w14:paraId="0C7D264A" w14:textId="33E136C7" w:rsidR="003A5C4A" w:rsidRPr="005641B2" w:rsidRDefault="003A5C4A" w:rsidP="00966488">
      <w:pPr>
        <w:spacing w:before="120" w:line="276" w:lineRule="auto"/>
        <w:ind w:left="510" w:hanging="510"/>
        <w:rPr>
          <w:rFonts w:asciiTheme="minorHAnsi" w:hAnsiTheme="minorHAnsi" w:cstheme="minorHAnsi"/>
        </w:rPr>
      </w:pPr>
      <w:r w:rsidRPr="005641B2">
        <w:rPr>
          <w:rFonts w:asciiTheme="minorHAnsi" w:hAnsiTheme="minorHAnsi" w:cstheme="minorHAnsi"/>
        </w:rPr>
        <w:t>Devine, A.</w:t>
      </w:r>
      <w:r w:rsidR="00D27609">
        <w:rPr>
          <w:rFonts w:asciiTheme="minorHAnsi" w:hAnsiTheme="minorHAnsi" w:cstheme="minorHAnsi"/>
        </w:rPr>
        <w:t>,</w:t>
      </w:r>
      <w:r w:rsidRPr="005641B2">
        <w:rPr>
          <w:rFonts w:asciiTheme="minorHAnsi" w:hAnsiTheme="minorHAnsi" w:cstheme="minorHAnsi"/>
        </w:rPr>
        <w:t xml:space="preserve"> Dickinson, H.</w:t>
      </w:r>
      <w:r w:rsidR="00D27609">
        <w:rPr>
          <w:rFonts w:asciiTheme="minorHAnsi" w:hAnsiTheme="minorHAnsi" w:cstheme="minorHAnsi"/>
        </w:rPr>
        <w:t>,</w:t>
      </w:r>
      <w:r w:rsidRPr="005641B2">
        <w:rPr>
          <w:rFonts w:asciiTheme="minorHAnsi" w:hAnsiTheme="minorHAnsi" w:cstheme="minorHAnsi"/>
        </w:rPr>
        <w:t xml:space="preserve"> Brophy, L.</w:t>
      </w:r>
      <w:r w:rsidR="00D27609">
        <w:rPr>
          <w:rFonts w:asciiTheme="minorHAnsi" w:hAnsiTheme="minorHAnsi" w:cstheme="minorHAnsi"/>
        </w:rPr>
        <w:t>,</w:t>
      </w:r>
      <w:r w:rsidRPr="005641B2">
        <w:rPr>
          <w:rFonts w:asciiTheme="minorHAnsi" w:hAnsiTheme="minorHAnsi" w:cstheme="minorHAnsi"/>
        </w:rPr>
        <w:t xml:space="preserve"> Kavanagh, A.</w:t>
      </w:r>
      <w:r w:rsidR="00D27609">
        <w:rPr>
          <w:rFonts w:asciiTheme="minorHAnsi" w:hAnsiTheme="minorHAnsi" w:cstheme="minorHAnsi"/>
        </w:rPr>
        <w:t>, &amp;</w:t>
      </w:r>
      <w:r w:rsidRPr="005641B2">
        <w:rPr>
          <w:rFonts w:asciiTheme="minorHAnsi" w:hAnsiTheme="minorHAnsi" w:cstheme="minorHAnsi"/>
        </w:rPr>
        <w:t xml:space="preserve"> Vaughan, C. (2019)</w:t>
      </w:r>
      <w:r w:rsidR="00D27609">
        <w:rPr>
          <w:rFonts w:asciiTheme="minorHAnsi" w:hAnsiTheme="minorHAnsi" w:cstheme="minorHAnsi"/>
        </w:rPr>
        <w:t>.</w:t>
      </w:r>
      <w:r w:rsidRPr="005641B2">
        <w:rPr>
          <w:rFonts w:asciiTheme="minorHAnsi" w:hAnsiTheme="minorHAnsi" w:cstheme="minorHAnsi"/>
        </w:rPr>
        <w:t xml:space="preserve"> ‘I don’t think they trust the choices I will make.’</w:t>
      </w:r>
      <w:r w:rsidR="00D27609">
        <w:rPr>
          <w:rFonts w:asciiTheme="minorHAnsi" w:hAnsiTheme="minorHAnsi" w:cstheme="minorHAnsi"/>
        </w:rPr>
        <w:t xml:space="preserve"> </w:t>
      </w:r>
      <w:r w:rsidRPr="005641B2">
        <w:rPr>
          <w:rFonts w:asciiTheme="minorHAnsi" w:hAnsiTheme="minorHAnsi" w:cstheme="minorHAnsi"/>
        </w:rPr>
        <w:t>–</w:t>
      </w:r>
      <w:r w:rsidR="00D27609">
        <w:rPr>
          <w:rFonts w:asciiTheme="minorHAnsi" w:hAnsiTheme="minorHAnsi" w:cstheme="minorHAnsi"/>
        </w:rPr>
        <w:t xml:space="preserve"> </w:t>
      </w:r>
      <w:r w:rsidRPr="005641B2">
        <w:rPr>
          <w:rFonts w:asciiTheme="minorHAnsi" w:hAnsiTheme="minorHAnsi" w:cstheme="minorHAnsi"/>
        </w:rPr>
        <w:t xml:space="preserve">Narrative analysis of choice and control for people with psychosocial disability within reform of the Australian Disability Employment Services program. </w:t>
      </w:r>
      <w:r w:rsidRPr="005641B2">
        <w:rPr>
          <w:rFonts w:asciiTheme="minorHAnsi" w:hAnsiTheme="minorHAnsi" w:cstheme="minorHAnsi"/>
          <w:i/>
          <w:iCs/>
        </w:rPr>
        <w:t>Public Manag</w:t>
      </w:r>
      <w:r w:rsidR="005A7AB4">
        <w:rPr>
          <w:rFonts w:asciiTheme="minorHAnsi" w:hAnsiTheme="minorHAnsi" w:cstheme="minorHAnsi"/>
          <w:i/>
          <w:iCs/>
        </w:rPr>
        <w:t>ement</w:t>
      </w:r>
      <w:r w:rsidRPr="005641B2">
        <w:rPr>
          <w:rFonts w:asciiTheme="minorHAnsi" w:hAnsiTheme="minorHAnsi" w:cstheme="minorHAnsi"/>
          <w:i/>
          <w:iCs/>
        </w:rPr>
        <w:t xml:space="preserve"> </w:t>
      </w:r>
      <w:r w:rsidRPr="005A7AB4">
        <w:rPr>
          <w:rFonts w:asciiTheme="minorHAnsi" w:hAnsiTheme="minorHAnsi" w:cstheme="minorHAnsi"/>
          <w:i/>
          <w:iCs/>
        </w:rPr>
        <w:t>Rev</w:t>
      </w:r>
      <w:r w:rsidR="005A7AB4" w:rsidRPr="005A7AB4">
        <w:rPr>
          <w:rFonts w:asciiTheme="minorHAnsi" w:hAnsiTheme="minorHAnsi" w:cstheme="minorHAnsi"/>
          <w:i/>
          <w:iCs/>
        </w:rPr>
        <w:t>iew, 23</w:t>
      </w:r>
      <w:r w:rsidR="00D80A85">
        <w:rPr>
          <w:rFonts w:asciiTheme="minorHAnsi" w:hAnsiTheme="minorHAnsi" w:cstheme="minorHAnsi"/>
        </w:rPr>
        <w:t>(</w:t>
      </w:r>
      <w:r w:rsidR="005A7AB4">
        <w:rPr>
          <w:rFonts w:asciiTheme="minorHAnsi" w:hAnsiTheme="minorHAnsi" w:cstheme="minorHAnsi"/>
        </w:rPr>
        <w:t>1</w:t>
      </w:r>
      <w:r w:rsidR="00D80A85">
        <w:rPr>
          <w:rFonts w:asciiTheme="minorHAnsi" w:hAnsiTheme="minorHAnsi" w:cstheme="minorHAnsi"/>
        </w:rPr>
        <w:t>)</w:t>
      </w:r>
      <w:r w:rsidR="005A7AB4">
        <w:rPr>
          <w:rFonts w:asciiTheme="minorHAnsi" w:hAnsiTheme="minorHAnsi" w:cstheme="minorHAnsi"/>
        </w:rPr>
        <w:t>,</w:t>
      </w:r>
      <w:r w:rsidRPr="005641B2">
        <w:rPr>
          <w:rFonts w:asciiTheme="minorHAnsi" w:hAnsiTheme="minorHAnsi" w:cstheme="minorHAnsi"/>
        </w:rPr>
        <w:t xml:space="preserve"> 10–30. </w:t>
      </w:r>
      <w:hyperlink r:id="rId27" w:history="1">
        <w:r w:rsidR="0025590B" w:rsidRPr="00F80395">
          <w:rPr>
            <w:rStyle w:val="Hyperlink"/>
            <w:rFonts w:asciiTheme="minorHAnsi" w:hAnsiTheme="minorHAnsi" w:cstheme="minorHAnsi"/>
          </w:rPr>
          <w:t>https://doi.org/10.1080/14719037.2019.1648700</w:t>
        </w:r>
      </w:hyperlink>
      <w:r w:rsidR="0025590B">
        <w:rPr>
          <w:rFonts w:asciiTheme="minorHAnsi" w:hAnsiTheme="minorHAnsi" w:cstheme="minorHAnsi"/>
        </w:rPr>
        <w:t xml:space="preserve"> </w:t>
      </w:r>
    </w:p>
    <w:p w14:paraId="38329F7A" w14:textId="000ABE3F" w:rsidR="003A5C4A" w:rsidRPr="005641B2" w:rsidRDefault="003A5C4A" w:rsidP="00966488">
      <w:pPr>
        <w:spacing w:before="120" w:line="276" w:lineRule="auto"/>
        <w:ind w:left="510" w:hanging="510"/>
        <w:rPr>
          <w:rStyle w:val="markedcontent"/>
          <w:rFonts w:asciiTheme="minorHAnsi" w:hAnsiTheme="minorHAnsi" w:cstheme="minorHAnsi"/>
          <w:i/>
          <w:iCs/>
        </w:rPr>
      </w:pPr>
      <w:r w:rsidRPr="005641B2">
        <w:rPr>
          <w:rStyle w:val="markedcontent"/>
          <w:rFonts w:asciiTheme="minorHAnsi" w:hAnsiTheme="minorHAnsi" w:cstheme="minorHAnsi"/>
        </w:rPr>
        <w:t>Disability Employment Services, Australian Government</w:t>
      </w:r>
      <w:r w:rsidR="00E4616C">
        <w:rPr>
          <w:rStyle w:val="markedcontent"/>
          <w:rFonts w:asciiTheme="minorHAnsi" w:hAnsiTheme="minorHAnsi" w:cstheme="minorHAnsi"/>
        </w:rPr>
        <w:t>.</w:t>
      </w:r>
      <w:r w:rsidRPr="005641B2">
        <w:rPr>
          <w:rStyle w:val="markedcontent"/>
          <w:rFonts w:asciiTheme="minorHAnsi" w:hAnsiTheme="minorHAnsi" w:cstheme="minorHAnsi"/>
        </w:rPr>
        <w:t xml:space="preserve"> (2021</w:t>
      </w:r>
      <w:r w:rsidR="00F24627">
        <w:rPr>
          <w:rStyle w:val="markedcontent"/>
          <w:rFonts w:asciiTheme="minorHAnsi" w:hAnsiTheme="minorHAnsi" w:cstheme="minorHAnsi"/>
        </w:rPr>
        <w:t>a</w:t>
      </w:r>
      <w:r w:rsidRPr="005641B2">
        <w:rPr>
          <w:rStyle w:val="markedcontent"/>
          <w:rFonts w:asciiTheme="minorHAnsi" w:hAnsiTheme="minorHAnsi" w:cstheme="minorHAnsi"/>
        </w:rPr>
        <w:t xml:space="preserve">). </w:t>
      </w:r>
      <w:r w:rsidRPr="005641B2">
        <w:rPr>
          <w:rStyle w:val="markedcontent"/>
          <w:rFonts w:asciiTheme="minorHAnsi" w:hAnsiTheme="minorHAnsi" w:cstheme="minorHAnsi"/>
          <w:i/>
          <w:iCs/>
        </w:rPr>
        <w:t xml:space="preserve">Overview of the supported wage system under the supported employment service award, May 2021. </w:t>
      </w:r>
      <w:hyperlink r:id="rId28" w:history="1">
        <w:r w:rsidR="00E4616C" w:rsidRPr="00103A89">
          <w:rPr>
            <w:rStyle w:val="Hyperlink"/>
            <w:rFonts w:asciiTheme="minorHAnsi" w:hAnsiTheme="minorHAnsi" w:cstheme="minorHAnsi"/>
          </w:rPr>
          <w:t>https://www.jobaccess.gov.au/sites/default/files/documents/06_2021/overview-supported-wage-system-under-supported-employment-services-award-2020-may-2021_0_0.pdf</w:t>
        </w:r>
      </w:hyperlink>
      <w:r w:rsidR="00E4616C">
        <w:rPr>
          <w:rFonts w:asciiTheme="minorHAnsi" w:hAnsiTheme="minorHAnsi" w:cstheme="minorHAnsi"/>
          <w:i/>
          <w:iCs/>
        </w:rPr>
        <w:t xml:space="preserve"> </w:t>
      </w:r>
    </w:p>
    <w:p w14:paraId="091CE6D0" w14:textId="5235A2A6" w:rsidR="003A5C4A" w:rsidRPr="005641B2" w:rsidRDefault="003A5C4A" w:rsidP="00966488">
      <w:pPr>
        <w:spacing w:before="120" w:line="276" w:lineRule="auto"/>
        <w:ind w:left="510" w:hanging="510"/>
        <w:rPr>
          <w:rStyle w:val="markedcontent"/>
          <w:rFonts w:asciiTheme="minorHAnsi" w:hAnsiTheme="minorHAnsi" w:cstheme="minorHAnsi"/>
          <w:i/>
          <w:iCs/>
        </w:rPr>
      </w:pPr>
      <w:r w:rsidRPr="005641B2">
        <w:rPr>
          <w:rStyle w:val="markedcontent"/>
          <w:rFonts w:asciiTheme="minorHAnsi" w:hAnsiTheme="minorHAnsi" w:cstheme="minorHAnsi"/>
        </w:rPr>
        <w:t>Disability Employment Services, Australian Government</w:t>
      </w:r>
      <w:r w:rsidR="00A92E6C">
        <w:rPr>
          <w:rStyle w:val="markedcontent"/>
          <w:rFonts w:asciiTheme="minorHAnsi" w:hAnsiTheme="minorHAnsi" w:cstheme="minorHAnsi"/>
        </w:rPr>
        <w:t>.</w:t>
      </w:r>
      <w:r w:rsidRPr="005641B2">
        <w:rPr>
          <w:rStyle w:val="markedcontent"/>
          <w:rFonts w:asciiTheme="minorHAnsi" w:hAnsiTheme="minorHAnsi" w:cstheme="minorHAnsi"/>
        </w:rPr>
        <w:t xml:space="preserve"> (2021b). </w:t>
      </w:r>
      <w:r w:rsidRPr="005641B2">
        <w:rPr>
          <w:rStyle w:val="markedcontent"/>
          <w:rFonts w:asciiTheme="minorHAnsi" w:hAnsiTheme="minorHAnsi" w:cstheme="minorHAnsi"/>
          <w:i/>
          <w:iCs/>
        </w:rPr>
        <w:t xml:space="preserve">Supported </w:t>
      </w:r>
      <w:r w:rsidR="00994301" w:rsidRPr="005641B2">
        <w:rPr>
          <w:rStyle w:val="markedcontent"/>
          <w:rFonts w:asciiTheme="minorHAnsi" w:hAnsiTheme="minorHAnsi" w:cstheme="minorHAnsi"/>
          <w:i/>
          <w:iCs/>
        </w:rPr>
        <w:t>wage system in open employment handboo</w:t>
      </w:r>
      <w:r w:rsidRPr="005641B2">
        <w:rPr>
          <w:rStyle w:val="markedcontent"/>
          <w:rFonts w:asciiTheme="minorHAnsi" w:hAnsiTheme="minorHAnsi" w:cstheme="minorHAnsi"/>
          <w:i/>
          <w:iCs/>
        </w:rPr>
        <w:t>k, V1.2</w:t>
      </w:r>
      <w:r w:rsidR="00103A89">
        <w:rPr>
          <w:rStyle w:val="markedcontent"/>
          <w:rFonts w:asciiTheme="minorHAnsi" w:hAnsiTheme="minorHAnsi" w:cstheme="minorHAnsi"/>
          <w:i/>
          <w:iCs/>
        </w:rPr>
        <w:t xml:space="preserve">. </w:t>
      </w:r>
      <w:hyperlink r:id="rId29" w:history="1">
        <w:r w:rsidR="00103A89" w:rsidRPr="00F80395">
          <w:rPr>
            <w:rStyle w:val="Hyperlink"/>
            <w:rFonts w:asciiTheme="minorHAnsi" w:hAnsiTheme="minorHAnsi" w:cstheme="minorHAnsi"/>
            <w:i/>
            <w:iCs/>
          </w:rPr>
          <w:t>https://www.jobaccess.gov.au/sites/default/files/documents/06_2021/supported-wage-system-open-employment-handbook-may-2021_0_0.pdf</w:t>
        </w:r>
      </w:hyperlink>
    </w:p>
    <w:p w14:paraId="34CF64B9" w14:textId="4F40C4E5" w:rsidR="003A5C4A" w:rsidRPr="005641B2" w:rsidRDefault="003A5C4A" w:rsidP="00966488">
      <w:pPr>
        <w:spacing w:before="120" w:line="276" w:lineRule="auto"/>
        <w:ind w:left="510" w:hanging="510"/>
        <w:rPr>
          <w:rStyle w:val="markedcontent"/>
          <w:rFonts w:asciiTheme="minorHAnsi" w:hAnsiTheme="minorHAnsi" w:cstheme="minorHAnsi"/>
        </w:rPr>
      </w:pPr>
      <w:r w:rsidRPr="005641B2">
        <w:rPr>
          <w:rStyle w:val="markedcontent"/>
          <w:rFonts w:asciiTheme="minorHAnsi" w:hAnsiTheme="minorHAnsi" w:cstheme="minorHAnsi"/>
        </w:rPr>
        <w:t>Dyson, M</w:t>
      </w:r>
      <w:r w:rsidR="00103A89">
        <w:rPr>
          <w:rStyle w:val="markedcontent"/>
          <w:rFonts w:asciiTheme="minorHAnsi" w:hAnsiTheme="minorHAnsi" w:cstheme="minorHAnsi"/>
        </w:rPr>
        <w:t>.</w:t>
      </w:r>
      <w:r w:rsidRPr="005641B2">
        <w:rPr>
          <w:rStyle w:val="markedcontent"/>
          <w:rFonts w:asciiTheme="minorHAnsi" w:hAnsiTheme="minorHAnsi" w:cstheme="minorHAnsi"/>
        </w:rPr>
        <w:t>, Brown</w:t>
      </w:r>
      <w:r w:rsidR="00103A89">
        <w:rPr>
          <w:rStyle w:val="markedcontent"/>
          <w:rFonts w:asciiTheme="minorHAnsi" w:hAnsiTheme="minorHAnsi" w:cstheme="minorHAnsi"/>
        </w:rPr>
        <w:t>,</w:t>
      </w:r>
      <w:r w:rsidRPr="005641B2">
        <w:rPr>
          <w:rStyle w:val="markedcontent"/>
          <w:rFonts w:asciiTheme="minorHAnsi" w:hAnsiTheme="minorHAnsi" w:cstheme="minorHAnsi"/>
        </w:rPr>
        <w:t xml:space="preserve"> M</w:t>
      </w:r>
      <w:r w:rsidR="00103A89">
        <w:rPr>
          <w:rStyle w:val="markedcontent"/>
          <w:rFonts w:asciiTheme="minorHAnsi" w:hAnsiTheme="minorHAnsi" w:cstheme="minorHAnsi"/>
        </w:rPr>
        <w:t>.,</w:t>
      </w:r>
      <w:r w:rsidRPr="005641B2">
        <w:rPr>
          <w:rStyle w:val="markedcontent"/>
          <w:rFonts w:asciiTheme="minorHAnsi" w:hAnsiTheme="minorHAnsi" w:cstheme="minorHAnsi"/>
        </w:rPr>
        <w:t xml:space="preserve"> &amp; </w:t>
      </w:r>
      <w:proofErr w:type="spellStart"/>
      <w:r w:rsidRPr="005641B2">
        <w:rPr>
          <w:rStyle w:val="markedcontent"/>
          <w:rFonts w:asciiTheme="minorHAnsi" w:hAnsiTheme="minorHAnsi" w:cstheme="minorHAnsi"/>
        </w:rPr>
        <w:t>Canobi</w:t>
      </w:r>
      <w:proofErr w:type="spellEnd"/>
      <w:r w:rsidRPr="005641B2">
        <w:rPr>
          <w:rStyle w:val="markedcontent"/>
          <w:rFonts w:asciiTheme="minorHAnsi" w:hAnsiTheme="minorHAnsi" w:cstheme="minorHAnsi"/>
        </w:rPr>
        <w:t xml:space="preserve">, S. </w:t>
      </w:r>
      <w:r w:rsidR="00103A89">
        <w:rPr>
          <w:rStyle w:val="markedcontent"/>
          <w:rFonts w:asciiTheme="minorHAnsi" w:hAnsiTheme="minorHAnsi" w:cstheme="minorHAnsi"/>
        </w:rPr>
        <w:t xml:space="preserve">(2016). </w:t>
      </w:r>
      <w:r w:rsidRPr="00B82229">
        <w:rPr>
          <w:rStyle w:val="markedcontent"/>
          <w:rFonts w:asciiTheme="minorHAnsi" w:hAnsiTheme="minorHAnsi" w:cstheme="minorHAnsi"/>
          <w:i/>
          <w:iCs/>
        </w:rPr>
        <w:t xml:space="preserve">Critical </w:t>
      </w:r>
      <w:r w:rsidR="00994301" w:rsidRPr="00B82229">
        <w:rPr>
          <w:rStyle w:val="markedcontent"/>
          <w:rFonts w:asciiTheme="minorHAnsi" w:hAnsiTheme="minorHAnsi" w:cstheme="minorHAnsi"/>
          <w:i/>
          <w:iCs/>
        </w:rPr>
        <w:t>literature r</w:t>
      </w:r>
      <w:r w:rsidRPr="00B82229">
        <w:rPr>
          <w:rStyle w:val="markedcontent"/>
          <w:rFonts w:asciiTheme="minorHAnsi" w:hAnsiTheme="minorHAnsi" w:cstheme="minorHAnsi"/>
          <w:i/>
          <w:iCs/>
        </w:rPr>
        <w:t xml:space="preserve">eview: Instruments </w:t>
      </w:r>
      <w:r w:rsidR="00994301" w:rsidRPr="00B82229">
        <w:rPr>
          <w:rStyle w:val="markedcontent"/>
          <w:rFonts w:asciiTheme="minorHAnsi" w:hAnsiTheme="minorHAnsi" w:cstheme="minorHAnsi"/>
          <w:i/>
          <w:iCs/>
        </w:rPr>
        <w:t>assessing work capacity</w:t>
      </w:r>
      <w:r w:rsidRPr="005641B2">
        <w:rPr>
          <w:rStyle w:val="markedcontent"/>
          <w:rFonts w:asciiTheme="minorHAnsi" w:hAnsiTheme="minorHAnsi" w:cstheme="minorHAnsi"/>
        </w:rPr>
        <w:t>.</w:t>
      </w:r>
      <w:r w:rsidRPr="005641B2">
        <w:rPr>
          <w:rFonts w:asciiTheme="minorHAnsi" w:hAnsiTheme="minorHAnsi" w:cstheme="minorHAnsi"/>
        </w:rPr>
        <w:t xml:space="preserve"> </w:t>
      </w:r>
      <w:r w:rsidRPr="005641B2">
        <w:rPr>
          <w:rStyle w:val="markedcontent"/>
          <w:rFonts w:asciiTheme="minorHAnsi" w:hAnsiTheme="minorHAnsi" w:cstheme="minorHAnsi"/>
        </w:rPr>
        <w:t>Melbourne: Dyson Consulting Group for Department of Social Services</w:t>
      </w:r>
      <w:r w:rsidR="00A63BF7">
        <w:rPr>
          <w:rStyle w:val="markedcontent"/>
          <w:rFonts w:asciiTheme="minorHAnsi" w:hAnsiTheme="minorHAnsi" w:cstheme="minorHAnsi"/>
        </w:rPr>
        <w:t>.</w:t>
      </w:r>
    </w:p>
    <w:p w14:paraId="1357D8AA" w14:textId="416E4F99" w:rsidR="003A5C4A" w:rsidRPr="005641B2" w:rsidRDefault="003A5C4A" w:rsidP="00966488">
      <w:pPr>
        <w:spacing w:before="120" w:line="276" w:lineRule="auto"/>
        <w:ind w:left="510" w:hanging="510"/>
        <w:rPr>
          <w:rFonts w:asciiTheme="minorHAnsi" w:hAnsiTheme="minorHAnsi" w:cstheme="minorHAnsi"/>
          <w:i/>
          <w:iCs/>
        </w:rPr>
      </w:pPr>
      <w:r w:rsidRPr="005641B2">
        <w:rPr>
          <w:rFonts w:asciiTheme="minorHAnsi" w:hAnsiTheme="minorHAnsi" w:cstheme="minorHAnsi"/>
        </w:rPr>
        <w:t>Fair Work Commission</w:t>
      </w:r>
      <w:r w:rsidR="00A63BF7">
        <w:rPr>
          <w:rFonts w:asciiTheme="minorHAnsi" w:hAnsiTheme="minorHAnsi" w:cstheme="minorHAnsi"/>
        </w:rPr>
        <w:t>.</w:t>
      </w:r>
      <w:r w:rsidRPr="005641B2">
        <w:rPr>
          <w:rFonts w:asciiTheme="minorHAnsi" w:hAnsiTheme="minorHAnsi" w:cstheme="minorHAnsi"/>
        </w:rPr>
        <w:t xml:space="preserve"> (2022). </w:t>
      </w:r>
      <w:r w:rsidRPr="005641B2">
        <w:rPr>
          <w:rFonts w:asciiTheme="minorHAnsi" w:hAnsiTheme="minorHAnsi" w:cstheme="minorHAnsi"/>
          <w:i/>
          <w:iCs/>
        </w:rPr>
        <w:t xml:space="preserve">Draft </w:t>
      </w:r>
      <w:r w:rsidR="00994301">
        <w:rPr>
          <w:rFonts w:asciiTheme="minorHAnsi" w:hAnsiTheme="minorHAnsi" w:cstheme="minorHAnsi"/>
          <w:i/>
          <w:iCs/>
        </w:rPr>
        <w:t>d</w:t>
      </w:r>
      <w:r w:rsidRPr="005641B2">
        <w:rPr>
          <w:rFonts w:asciiTheme="minorHAnsi" w:hAnsiTheme="minorHAnsi" w:cstheme="minorHAnsi"/>
          <w:i/>
          <w:iCs/>
        </w:rPr>
        <w:t>etermination, 4 yearly review of modern awards – Supported Employment Services Award 2020</w:t>
      </w:r>
      <w:r w:rsidR="00A63BF7">
        <w:rPr>
          <w:rFonts w:asciiTheme="minorHAnsi" w:hAnsiTheme="minorHAnsi" w:cstheme="minorHAnsi"/>
          <w:i/>
          <w:iCs/>
        </w:rPr>
        <w:t xml:space="preserve">. </w:t>
      </w:r>
      <w:hyperlink r:id="rId30" w:history="1">
        <w:r w:rsidR="00A63BF7" w:rsidRPr="00F80395">
          <w:rPr>
            <w:rStyle w:val="Hyperlink"/>
            <w:rFonts w:asciiTheme="minorHAnsi" w:hAnsiTheme="minorHAnsi" w:cstheme="minorHAnsi"/>
            <w:i/>
            <w:iCs/>
          </w:rPr>
          <w:t>https://www.fwc.gov.au/documents/sites/awardsmodernfouryr/am2014286-draftdet-101122.pdf</w:t>
        </w:r>
      </w:hyperlink>
      <w:r w:rsidR="00A63BF7">
        <w:rPr>
          <w:rFonts w:asciiTheme="minorHAnsi" w:hAnsiTheme="minorHAnsi" w:cstheme="minorHAnsi"/>
          <w:i/>
          <w:iCs/>
        </w:rPr>
        <w:t xml:space="preserve"> </w:t>
      </w:r>
    </w:p>
    <w:p w14:paraId="4F9F657B" w14:textId="70BCD93B" w:rsidR="00874B4F" w:rsidRPr="005641B2" w:rsidRDefault="00874B4F" w:rsidP="00966488">
      <w:pPr>
        <w:spacing w:before="120" w:line="276" w:lineRule="auto"/>
        <w:ind w:left="510" w:hanging="510"/>
        <w:rPr>
          <w:rFonts w:asciiTheme="minorHAnsi" w:hAnsiTheme="minorHAnsi" w:cstheme="minorHAnsi"/>
          <w:szCs w:val="20"/>
          <w:lang w:val="en-US" w:eastAsia="en-AU"/>
        </w:rPr>
      </w:pPr>
      <w:proofErr w:type="spellStart"/>
      <w:r w:rsidRPr="005641B2">
        <w:rPr>
          <w:rFonts w:asciiTheme="minorHAnsi" w:hAnsiTheme="minorHAnsi" w:cstheme="minorHAnsi"/>
          <w:szCs w:val="20"/>
          <w:lang w:val="en-US" w:eastAsia="en-AU"/>
        </w:rPr>
        <w:t>Immervoll</w:t>
      </w:r>
      <w:proofErr w:type="spellEnd"/>
      <w:r w:rsidRPr="005641B2">
        <w:rPr>
          <w:rFonts w:asciiTheme="minorHAnsi" w:hAnsiTheme="minorHAnsi" w:cstheme="minorHAnsi"/>
          <w:szCs w:val="20"/>
          <w:lang w:val="en-US" w:eastAsia="en-AU"/>
        </w:rPr>
        <w:t xml:space="preserve">, H., </w:t>
      </w:r>
      <w:proofErr w:type="spellStart"/>
      <w:r w:rsidRPr="005641B2">
        <w:rPr>
          <w:rFonts w:asciiTheme="minorHAnsi" w:hAnsiTheme="minorHAnsi" w:cstheme="minorHAnsi"/>
          <w:szCs w:val="20"/>
          <w:lang w:val="en-US" w:eastAsia="en-AU"/>
        </w:rPr>
        <w:t>Pacifico</w:t>
      </w:r>
      <w:proofErr w:type="spellEnd"/>
      <w:r w:rsidRPr="005641B2">
        <w:rPr>
          <w:rFonts w:asciiTheme="minorHAnsi" w:hAnsiTheme="minorHAnsi" w:cstheme="minorHAnsi"/>
          <w:szCs w:val="20"/>
          <w:lang w:val="en-US" w:eastAsia="en-AU"/>
        </w:rPr>
        <w:t>, D.</w:t>
      </w:r>
      <w:r w:rsidR="00A63BF7">
        <w:rPr>
          <w:rFonts w:asciiTheme="minorHAnsi" w:hAnsiTheme="minorHAnsi" w:cstheme="minorHAnsi"/>
          <w:szCs w:val="20"/>
          <w:lang w:val="en-US" w:eastAsia="en-AU"/>
        </w:rPr>
        <w:t>,</w:t>
      </w:r>
      <w:r w:rsidRPr="005641B2">
        <w:rPr>
          <w:rFonts w:asciiTheme="minorHAnsi" w:hAnsiTheme="minorHAnsi" w:cstheme="minorHAnsi"/>
          <w:szCs w:val="20"/>
          <w:lang w:val="en-US" w:eastAsia="en-AU"/>
        </w:rPr>
        <w:t xml:space="preserve"> &amp; </w:t>
      </w:r>
      <w:proofErr w:type="spellStart"/>
      <w:r w:rsidRPr="005641B2">
        <w:rPr>
          <w:rFonts w:asciiTheme="minorHAnsi" w:hAnsiTheme="minorHAnsi" w:cstheme="minorHAnsi"/>
          <w:szCs w:val="20"/>
          <w:lang w:val="en-US" w:eastAsia="en-AU"/>
        </w:rPr>
        <w:t>Vandewayer</w:t>
      </w:r>
      <w:proofErr w:type="spellEnd"/>
      <w:r w:rsidRPr="005641B2">
        <w:rPr>
          <w:rFonts w:asciiTheme="minorHAnsi" w:hAnsiTheme="minorHAnsi" w:cstheme="minorHAnsi"/>
          <w:szCs w:val="20"/>
          <w:lang w:val="en-US" w:eastAsia="en-AU"/>
        </w:rPr>
        <w:t xml:space="preserve">, M. (2019). Faces of joblessness in Australia: An anatomy of employment barriers using household data. </w:t>
      </w:r>
      <w:r w:rsidR="001E1343" w:rsidRPr="00A63BF7">
        <w:rPr>
          <w:rFonts w:asciiTheme="minorHAnsi" w:hAnsiTheme="minorHAnsi" w:cstheme="minorHAnsi"/>
          <w:i/>
          <w:iCs/>
          <w:szCs w:val="20"/>
          <w:lang w:val="en-US" w:eastAsia="en-AU"/>
        </w:rPr>
        <w:t>IZA Discussion Paper No. 12321</w:t>
      </w:r>
      <w:r w:rsidR="001E1343">
        <w:rPr>
          <w:rFonts w:asciiTheme="minorHAnsi" w:hAnsiTheme="minorHAnsi" w:cstheme="minorHAnsi"/>
          <w:szCs w:val="20"/>
          <w:lang w:val="en-US" w:eastAsia="en-AU"/>
        </w:rPr>
        <w:t xml:space="preserve">. </w:t>
      </w:r>
      <w:hyperlink r:id="rId31" w:history="1">
        <w:r w:rsidR="00A63BF7" w:rsidRPr="00F80395">
          <w:rPr>
            <w:rStyle w:val="Hyperlink"/>
            <w:rFonts w:asciiTheme="minorHAnsi" w:hAnsiTheme="minorHAnsi" w:cstheme="minorHAnsi"/>
          </w:rPr>
          <w:t>https://doi.org/10.2139/ssrn.3390310</w:t>
        </w:r>
      </w:hyperlink>
      <w:r w:rsidR="00FB510A">
        <w:rPr>
          <w:rFonts w:asciiTheme="minorHAnsi" w:hAnsiTheme="minorHAnsi" w:cstheme="minorHAnsi"/>
        </w:rPr>
        <w:t xml:space="preserve"> </w:t>
      </w:r>
    </w:p>
    <w:p w14:paraId="7746C663" w14:textId="595097A5" w:rsidR="00340E84" w:rsidRPr="005641B2" w:rsidRDefault="00340E84" w:rsidP="00966488">
      <w:pPr>
        <w:spacing w:before="120" w:line="276" w:lineRule="auto"/>
        <w:ind w:left="510" w:hanging="510"/>
        <w:rPr>
          <w:rFonts w:asciiTheme="minorHAnsi" w:hAnsiTheme="minorHAnsi" w:cstheme="minorHAnsi"/>
          <w:szCs w:val="20"/>
          <w:lang w:val="en-US" w:eastAsia="en-AU"/>
        </w:rPr>
      </w:pPr>
      <w:bookmarkStart w:id="5" w:name="_Hlk120455108"/>
      <w:r w:rsidRPr="005641B2">
        <w:rPr>
          <w:rFonts w:asciiTheme="minorHAnsi" w:hAnsiTheme="minorHAnsi" w:cstheme="minorHAnsi"/>
          <w:szCs w:val="20"/>
          <w:lang w:val="en-US" w:eastAsia="en-AU"/>
        </w:rPr>
        <w:t>Inclusion Australia</w:t>
      </w:r>
      <w:r w:rsidR="00A63BF7">
        <w:rPr>
          <w:rFonts w:asciiTheme="minorHAnsi" w:hAnsiTheme="minorHAnsi" w:cstheme="minorHAnsi"/>
          <w:szCs w:val="20"/>
          <w:lang w:val="en-US" w:eastAsia="en-AU"/>
        </w:rPr>
        <w:t>.</w:t>
      </w:r>
      <w:r w:rsidRPr="005641B2">
        <w:rPr>
          <w:rFonts w:asciiTheme="minorHAnsi" w:hAnsiTheme="minorHAnsi" w:cstheme="minorHAnsi"/>
          <w:szCs w:val="20"/>
          <w:lang w:val="en-US" w:eastAsia="en-AU"/>
        </w:rPr>
        <w:t xml:space="preserve"> (2022). </w:t>
      </w:r>
      <w:r w:rsidRPr="005641B2">
        <w:rPr>
          <w:rFonts w:asciiTheme="minorHAnsi" w:hAnsiTheme="minorHAnsi" w:cstheme="minorHAnsi"/>
          <w:i/>
          <w:iCs/>
          <w:szCs w:val="20"/>
          <w:lang w:val="en-US" w:eastAsia="en-AU"/>
        </w:rPr>
        <w:t xml:space="preserve">DES </w:t>
      </w:r>
      <w:r w:rsidR="00994301" w:rsidRPr="005641B2">
        <w:rPr>
          <w:rFonts w:asciiTheme="minorHAnsi" w:hAnsiTheme="minorHAnsi" w:cstheme="minorHAnsi"/>
          <w:i/>
          <w:iCs/>
          <w:szCs w:val="20"/>
          <w:lang w:val="en-US" w:eastAsia="en-AU"/>
        </w:rPr>
        <w:t xml:space="preserve">reform submission </w:t>
      </w:r>
      <w:r w:rsidR="00145B61" w:rsidRPr="005641B2">
        <w:rPr>
          <w:rFonts w:asciiTheme="minorHAnsi" w:hAnsiTheme="minorHAnsi" w:cstheme="minorHAnsi"/>
          <w:i/>
          <w:iCs/>
          <w:szCs w:val="20"/>
          <w:lang w:val="en-US" w:eastAsia="en-AU"/>
        </w:rPr>
        <w:t>February 2022</w:t>
      </w:r>
      <w:r w:rsidR="00B3409F">
        <w:rPr>
          <w:rFonts w:asciiTheme="minorHAnsi" w:hAnsiTheme="minorHAnsi" w:cstheme="minorHAnsi"/>
          <w:i/>
          <w:iCs/>
          <w:szCs w:val="20"/>
          <w:lang w:val="en-US" w:eastAsia="en-AU"/>
        </w:rPr>
        <w:t xml:space="preserve">. </w:t>
      </w:r>
      <w:hyperlink r:id="rId32" w:history="1">
        <w:r w:rsidR="00B3409F" w:rsidRPr="00F80395">
          <w:rPr>
            <w:rStyle w:val="Hyperlink"/>
            <w:rFonts w:asciiTheme="minorHAnsi" w:hAnsiTheme="minorHAnsi" w:cstheme="minorHAnsi"/>
            <w:szCs w:val="20"/>
            <w:lang w:val="en-US" w:eastAsia="en-AU"/>
          </w:rPr>
          <w:t>https://www.inclusionaustralia.org.au/wp-content/uploads/2022/02/Our-Submissions_2022_02_Submission-on-Disability-Employment-System-Reform.pdf</w:t>
        </w:r>
      </w:hyperlink>
      <w:r w:rsidR="00B3409F">
        <w:rPr>
          <w:rFonts w:asciiTheme="minorHAnsi" w:hAnsiTheme="minorHAnsi" w:cstheme="minorHAnsi"/>
          <w:szCs w:val="20"/>
          <w:lang w:val="en-US" w:eastAsia="en-AU"/>
        </w:rPr>
        <w:t xml:space="preserve"> </w:t>
      </w:r>
    </w:p>
    <w:bookmarkEnd w:id="5"/>
    <w:p w14:paraId="2C1FA1DD" w14:textId="4B3ED8F3" w:rsidR="003A5C4A" w:rsidRPr="005641B2" w:rsidRDefault="003A5C4A" w:rsidP="00966488">
      <w:pPr>
        <w:spacing w:before="120" w:line="276" w:lineRule="auto"/>
        <w:ind w:left="510" w:hanging="510"/>
        <w:rPr>
          <w:rFonts w:asciiTheme="minorHAnsi" w:hAnsiTheme="minorHAnsi" w:cstheme="minorHAnsi"/>
        </w:rPr>
      </w:pPr>
      <w:r w:rsidRPr="005641B2">
        <w:rPr>
          <w:rFonts w:asciiTheme="minorHAnsi" w:hAnsiTheme="minorHAnsi" w:cstheme="minorHAnsi"/>
        </w:rPr>
        <w:t>McDonald, C.</w:t>
      </w:r>
      <w:r w:rsidR="00B3409F">
        <w:rPr>
          <w:rFonts w:asciiTheme="minorHAnsi" w:hAnsiTheme="minorHAnsi" w:cstheme="minorHAnsi"/>
        </w:rPr>
        <w:t>,</w:t>
      </w:r>
      <w:r w:rsidRPr="005641B2">
        <w:rPr>
          <w:rFonts w:asciiTheme="minorHAnsi" w:hAnsiTheme="minorHAnsi" w:cstheme="minorHAnsi"/>
        </w:rPr>
        <w:t xml:space="preserve"> </w:t>
      </w:r>
      <w:r w:rsidR="00B3409F">
        <w:rPr>
          <w:rFonts w:asciiTheme="minorHAnsi" w:hAnsiTheme="minorHAnsi" w:cstheme="minorHAnsi"/>
        </w:rPr>
        <w:t xml:space="preserve">&amp; </w:t>
      </w:r>
      <w:r w:rsidRPr="005641B2">
        <w:rPr>
          <w:rFonts w:asciiTheme="minorHAnsi" w:hAnsiTheme="minorHAnsi" w:cstheme="minorHAnsi"/>
        </w:rPr>
        <w:t>Marston, G. (2008)</w:t>
      </w:r>
      <w:r w:rsidR="00B3409F">
        <w:rPr>
          <w:rFonts w:asciiTheme="minorHAnsi" w:hAnsiTheme="minorHAnsi" w:cstheme="minorHAnsi"/>
        </w:rPr>
        <w:t>.</w:t>
      </w:r>
      <w:r w:rsidR="00300434" w:rsidRPr="005641B2">
        <w:rPr>
          <w:rFonts w:asciiTheme="minorHAnsi" w:hAnsiTheme="minorHAnsi" w:cstheme="minorHAnsi"/>
        </w:rPr>
        <w:t xml:space="preserve"> </w:t>
      </w:r>
      <w:r w:rsidRPr="005641B2">
        <w:rPr>
          <w:rFonts w:asciiTheme="minorHAnsi" w:hAnsiTheme="minorHAnsi" w:cstheme="minorHAnsi"/>
        </w:rPr>
        <w:t xml:space="preserve">Re-visiting the quasi-market in employment services: Australia’s job network. </w:t>
      </w:r>
      <w:r w:rsidR="00622CA8" w:rsidRPr="00622CA8">
        <w:rPr>
          <w:rFonts w:asciiTheme="minorHAnsi" w:hAnsiTheme="minorHAnsi" w:cstheme="minorHAnsi"/>
          <w:i/>
          <w:iCs/>
        </w:rPr>
        <w:t>Asia Pacific Journal of Public Administration, 30</w:t>
      </w:r>
      <w:r w:rsidR="000A5340" w:rsidRPr="000A5340">
        <w:rPr>
          <w:rFonts w:asciiTheme="minorHAnsi" w:hAnsiTheme="minorHAnsi" w:cstheme="minorHAnsi"/>
        </w:rPr>
        <w:t>(</w:t>
      </w:r>
      <w:r w:rsidR="00622CA8" w:rsidRPr="000A5340">
        <w:rPr>
          <w:rFonts w:asciiTheme="minorHAnsi" w:hAnsiTheme="minorHAnsi" w:cstheme="minorHAnsi"/>
        </w:rPr>
        <w:t>2</w:t>
      </w:r>
      <w:r w:rsidR="000A5340" w:rsidRPr="000A5340">
        <w:rPr>
          <w:rFonts w:asciiTheme="minorHAnsi" w:hAnsiTheme="minorHAnsi" w:cstheme="minorHAnsi"/>
        </w:rPr>
        <w:t>)</w:t>
      </w:r>
      <w:r w:rsidR="00622CA8" w:rsidRPr="000A5340">
        <w:rPr>
          <w:rFonts w:asciiTheme="minorHAnsi" w:hAnsiTheme="minorHAnsi" w:cstheme="minorHAnsi"/>
        </w:rPr>
        <w:t>, 101-117</w:t>
      </w:r>
      <w:r w:rsidR="000A5340" w:rsidRPr="000A5340">
        <w:rPr>
          <w:rFonts w:asciiTheme="minorHAnsi" w:hAnsiTheme="minorHAnsi" w:cstheme="minorHAnsi"/>
        </w:rPr>
        <w:t xml:space="preserve">. </w:t>
      </w:r>
      <w:hyperlink r:id="rId33" w:history="1">
        <w:r w:rsidR="000A5340" w:rsidRPr="00F80395">
          <w:rPr>
            <w:rStyle w:val="Hyperlink"/>
            <w:rFonts w:asciiTheme="minorHAnsi" w:hAnsiTheme="minorHAnsi" w:cstheme="minorHAnsi"/>
          </w:rPr>
          <w:t>https://doi.org/10.1080/23276665.2008.10779346</w:t>
        </w:r>
      </w:hyperlink>
      <w:r w:rsidR="00613D4A">
        <w:rPr>
          <w:rFonts w:asciiTheme="minorHAnsi" w:hAnsiTheme="minorHAnsi" w:cstheme="minorHAnsi"/>
        </w:rPr>
        <w:t xml:space="preserve"> </w:t>
      </w:r>
    </w:p>
    <w:p w14:paraId="340605B7" w14:textId="77777777" w:rsidR="00C91392" w:rsidRPr="00A3113B" w:rsidRDefault="00C91392" w:rsidP="00966488">
      <w:pPr>
        <w:spacing w:before="120" w:line="276" w:lineRule="auto"/>
        <w:ind w:left="510" w:hanging="510"/>
        <w:rPr>
          <w:rFonts w:asciiTheme="minorHAnsi" w:hAnsiTheme="minorHAnsi" w:cstheme="minorHAnsi"/>
        </w:rPr>
      </w:pPr>
      <w:r w:rsidRPr="005641B2">
        <w:rPr>
          <w:rFonts w:asciiTheme="minorHAnsi" w:hAnsiTheme="minorHAnsi" w:cstheme="minorHAnsi"/>
        </w:rPr>
        <w:lastRenderedPageBreak/>
        <w:t xml:space="preserve">Meltzer, A., Bates, S., Robinson, S., </w:t>
      </w:r>
      <w:proofErr w:type="spellStart"/>
      <w:r w:rsidRPr="005641B2">
        <w:rPr>
          <w:rFonts w:asciiTheme="minorHAnsi" w:hAnsiTheme="minorHAnsi" w:cstheme="minorHAnsi"/>
        </w:rPr>
        <w:t>Kayess</w:t>
      </w:r>
      <w:proofErr w:type="spellEnd"/>
      <w:r w:rsidRPr="005641B2">
        <w:rPr>
          <w:rFonts w:asciiTheme="minorHAnsi" w:hAnsiTheme="minorHAnsi" w:cstheme="minorHAnsi"/>
        </w:rPr>
        <w:t>, R.</w:t>
      </w:r>
      <w:r>
        <w:rPr>
          <w:rFonts w:asciiTheme="minorHAnsi" w:hAnsiTheme="minorHAnsi" w:cstheme="minorHAnsi"/>
        </w:rPr>
        <w:t>,</w:t>
      </w:r>
      <w:r w:rsidRPr="005641B2">
        <w:rPr>
          <w:rFonts w:asciiTheme="minorHAnsi" w:hAnsiTheme="minorHAnsi" w:cstheme="minorHAnsi"/>
        </w:rPr>
        <w:t xml:space="preserve"> Fisher, K.</w:t>
      </w:r>
      <w:r>
        <w:rPr>
          <w:rFonts w:asciiTheme="minorHAnsi" w:hAnsiTheme="minorHAnsi" w:cstheme="minorHAnsi"/>
        </w:rPr>
        <w:t xml:space="preserve"> </w:t>
      </w:r>
      <w:r w:rsidRPr="005641B2">
        <w:rPr>
          <w:rFonts w:asciiTheme="minorHAnsi" w:hAnsiTheme="minorHAnsi" w:cstheme="minorHAnsi"/>
        </w:rPr>
        <w:t>R.</w:t>
      </w:r>
      <w:r>
        <w:rPr>
          <w:rFonts w:asciiTheme="minorHAnsi" w:hAnsiTheme="minorHAnsi" w:cstheme="minorHAnsi"/>
        </w:rPr>
        <w:t>,</w:t>
      </w:r>
      <w:r w:rsidRPr="005641B2">
        <w:rPr>
          <w:rFonts w:asciiTheme="minorHAnsi" w:hAnsiTheme="minorHAnsi" w:cstheme="minorHAnsi"/>
        </w:rPr>
        <w:t xml:space="preserve"> </w:t>
      </w:r>
      <w:r>
        <w:rPr>
          <w:rFonts w:asciiTheme="minorHAnsi" w:hAnsiTheme="minorHAnsi" w:cstheme="minorHAnsi"/>
        </w:rPr>
        <w:t>&amp;</w:t>
      </w:r>
      <w:r w:rsidRPr="005641B2">
        <w:rPr>
          <w:rFonts w:asciiTheme="minorHAnsi" w:hAnsiTheme="minorHAnsi" w:cstheme="minorHAnsi"/>
        </w:rPr>
        <w:t xml:space="preserve"> Katz, I. (2016). </w:t>
      </w:r>
      <w:r w:rsidRPr="005641B2">
        <w:rPr>
          <w:rFonts w:asciiTheme="minorHAnsi" w:hAnsiTheme="minorHAnsi" w:cstheme="minorHAnsi"/>
          <w:i/>
          <w:iCs/>
        </w:rPr>
        <w:t>What do people with</w:t>
      </w:r>
      <w:r w:rsidRPr="005641B2">
        <w:rPr>
          <w:rFonts w:asciiTheme="minorHAnsi" w:hAnsiTheme="minorHAnsi" w:cstheme="minorHAnsi"/>
          <w:i/>
          <w:iCs/>
        </w:rPr>
        <w:br/>
        <w:t>intellectual disability think about their jobs and the support they receive at work? A comparative study of three employment support models: Final report</w:t>
      </w:r>
      <w:r w:rsidRPr="005641B2">
        <w:rPr>
          <w:rFonts w:asciiTheme="minorHAnsi" w:hAnsiTheme="minorHAnsi" w:cstheme="minorHAnsi"/>
        </w:rPr>
        <w:t xml:space="preserve"> (SPRC Report 16/16). Sydney: Social Policy Research Centre, UNSW Australia. </w:t>
      </w:r>
      <w:hyperlink r:id="rId34" w:history="1">
        <w:r w:rsidRPr="00F80395">
          <w:rPr>
            <w:rStyle w:val="Hyperlink"/>
            <w:rFonts w:asciiTheme="minorHAnsi" w:hAnsiTheme="minorHAnsi" w:cstheme="minorHAnsi"/>
          </w:rPr>
          <w:t>https://www.unsw.edu.au/content/dam/pdfs/unsw-adobe-websites/arts-design-architecture/ada-faculty/sprc/2021-06-Comparative-study-of-three-employment-models.pdf</w:t>
        </w:r>
      </w:hyperlink>
      <w:r>
        <w:rPr>
          <w:rFonts w:asciiTheme="minorHAnsi" w:hAnsiTheme="minorHAnsi" w:cstheme="minorHAnsi"/>
        </w:rPr>
        <w:t xml:space="preserve"> </w:t>
      </w:r>
    </w:p>
    <w:p w14:paraId="5491664A" w14:textId="5EE8B884" w:rsidR="003A5C4A" w:rsidRPr="005641B2" w:rsidRDefault="003A5C4A" w:rsidP="00966488">
      <w:pPr>
        <w:spacing w:before="120" w:line="276" w:lineRule="auto"/>
        <w:ind w:left="510" w:hanging="510"/>
        <w:rPr>
          <w:rStyle w:val="normaltextrun"/>
          <w:rFonts w:asciiTheme="minorHAnsi" w:hAnsiTheme="minorHAnsi" w:cstheme="minorHAnsi"/>
          <w:i/>
          <w:iCs/>
          <w:u w:val="single"/>
        </w:rPr>
      </w:pPr>
      <w:r w:rsidRPr="005641B2">
        <w:rPr>
          <w:rStyle w:val="normaltextrun"/>
          <w:rFonts w:asciiTheme="minorHAnsi" w:hAnsiTheme="minorHAnsi" w:cstheme="minorHAnsi"/>
        </w:rPr>
        <w:t>NDIA</w:t>
      </w:r>
      <w:r w:rsidR="00DF7773">
        <w:rPr>
          <w:rStyle w:val="normaltextrun"/>
          <w:rFonts w:asciiTheme="minorHAnsi" w:hAnsiTheme="minorHAnsi" w:cstheme="minorHAnsi"/>
        </w:rPr>
        <w:t>.</w:t>
      </w:r>
      <w:r w:rsidRPr="005641B2">
        <w:rPr>
          <w:rStyle w:val="normaltextrun"/>
          <w:rFonts w:asciiTheme="minorHAnsi" w:hAnsiTheme="minorHAnsi" w:cstheme="minorHAnsi"/>
        </w:rPr>
        <w:t xml:space="preserve"> (2020)</w:t>
      </w:r>
      <w:r w:rsidR="00DF7773">
        <w:rPr>
          <w:rStyle w:val="normaltextrun"/>
          <w:rFonts w:asciiTheme="minorHAnsi" w:hAnsiTheme="minorHAnsi" w:cstheme="minorHAnsi"/>
        </w:rPr>
        <w:t>.</w:t>
      </w:r>
      <w:r w:rsidRPr="005641B2">
        <w:rPr>
          <w:rStyle w:val="normaltextrun"/>
          <w:rFonts w:asciiTheme="minorHAnsi" w:hAnsiTheme="minorHAnsi" w:cstheme="minorHAnsi"/>
        </w:rPr>
        <w:t xml:space="preserve"> </w:t>
      </w:r>
      <w:r w:rsidRPr="005641B2">
        <w:rPr>
          <w:rStyle w:val="normaltextrun"/>
          <w:rFonts w:asciiTheme="minorHAnsi" w:hAnsiTheme="minorHAnsi" w:cstheme="minorHAnsi"/>
          <w:i/>
          <w:iCs/>
        </w:rPr>
        <w:t xml:space="preserve">Employment outcomes for NDIS participants, as </w:t>
      </w:r>
      <w:proofErr w:type="gramStart"/>
      <w:r w:rsidRPr="005641B2">
        <w:rPr>
          <w:rStyle w:val="normaltextrun"/>
          <w:rFonts w:asciiTheme="minorHAnsi" w:hAnsiTheme="minorHAnsi" w:cstheme="minorHAnsi"/>
          <w:i/>
          <w:iCs/>
        </w:rPr>
        <w:t>at</w:t>
      </w:r>
      <w:proofErr w:type="gramEnd"/>
      <w:r w:rsidRPr="005641B2">
        <w:rPr>
          <w:rStyle w:val="normaltextrun"/>
          <w:rFonts w:asciiTheme="minorHAnsi" w:hAnsiTheme="minorHAnsi" w:cstheme="minorHAnsi"/>
          <w:i/>
          <w:iCs/>
        </w:rPr>
        <w:t xml:space="preserve"> 21 December 2020</w:t>
      </w:r>
      <w:r w:rsidR="00DF7773">
        <w:rPr>
          <w:rStyle w:val="normaltextrun"/>
          <w:rFonts w:asciiTheme="minorHAnsi" w:hAnsiTheme="minorHAnsi" w:cstheme="minorHAnsi"/>
          <w:i/>
          <w:iCs/>
        </w:rPr>
        <w:t>.</w:t>
      </w:r>
      <w:r w:rsidRPr="005641B2">
        <w:rPr>
          <w:rStyle w:val="normaltextrun"/>
          <w:rFonts w:asciiTheme="minorHAnsi" w:hAnsiTheme="minorHAnsi" w:cstheme="minorHAnsi"/>
          <w:i/>
          <w:iCs/>
        </w:rPr>
        <w:t xml:space="preserve"> </w:t>
      </w:r>
      <w:hyperlink r:id="rId35" w:history="1">
        <w:r w:rsidR="00DF7773" w:rsidRPr="00F80395">
          <w:rPr>
            <w:rStyle w:val="Hyperlink"/>
            <w:rFonts w:asciiTheme="minorHAnsi" w:hAnsiTheme="minorHAnsi" w:cstheme="minorHAnsi"/>
          </w:rPr>
          <w:t>https://data.ndis.gov.au/reports-and-analyses/outcomes-and-goals/employment-outcomes-participants-their-families-and-carers</w:t>
        </w:r>
      </w:hyperlink>
      <w:r w:rsidR="00DF7773">
        <w:rPr>
          <w:rStyle w:val="normaltextrun"/>
          <w:rFonts w:asciiTheme="minorHAnsi" w:hAnsiTheme="minorHAnsi" w:cstheme="minorHAnsi"/>
        </w:rPr>
        <w:t xml:space="preserve"> </w:t>
      </w:r>
    </w:p>
    <w:p w14:paraId="0BDE7EB6" w14:textId="349D5A1A" w:rsidR="005D2B4A" w:rsidRPr="005641B2" w:rsidRDefault="005D2B4A" w:rsidP="00966488">
      <w:pPr>
        <w:spacing w:before="120" w:line="276" w:lineRule="auto"/>
        <w:ind w:left="510" w:hanging="510"/>
        <w:rPr>
          <w:rStyle w:val="normaltextrun"/>
          <w:rFonts w:asciiTheme="minorHAnsi" w:hAnsiTheme="minorHAnsi" w:cstheme="minorHAnsi"/>
          <w:i/>
          <w:iCs/>
        </w:rPr>
      </w:pPr>
      <w:r w:rsidRPr="005641B2">
        <w:rPr>
          <w:rStyle w:val="normaltextrun"/>
          <w:rFonts w:asciiTheme="minorHAnsi" w:hAnsiTheme="minorHAnsi" w:cstheme="minorHAnsi"/>
        </w:rPr>
        <w:t>NDIA</w:t>
      </w:r>
      <w:r w:rsidR="00DF7773">
        <w:rPr>
          <w:rStyle w:val="normaltextrun"/>
          <w:rFonts w:asciiTheme="minorHAnsi" w:hAnsiTheme="minorHAnsi" w:cstheme="minorHAnsi"/>
        </w:rPr>
        <w:t>.</w:t>
      </w:r>
      <w:r w:rsidRPr="005641B2">
        <w:rPr>
          <w:rStyle w:val="normaltextrun"/>
          <w:rFonts w:asciiTheme="minorHAnsi" w:hAnsiTheme="minorHAnsi" w:cstheme="minorHAnsi"/>
        </w:rPr>
        <w:t xml:space="preserve"> (2021)</w:t>
      </w:r>
      <w:r w:rsidR="00DF7773">
        <w:rPr>
          <w:rStyle w:val="normaltextrun"/>
          <w:rFonts w:asciiTheme="minorHAnsi" w:hAnsiTheme="minorHAnsi" w:cstheme="minorHAnsi"/>
        </w:rPr>
        <w:t>.</w:t>
      </w:r>
      <w:r w:rsidRPr="005641B2">
        <w:rPr>
          <w:rStyle w:val="normaltextrun"/>
          <w:rFonts w:asciiTheme="minorHAnsi" w:hAnsiTheme="minorHAnsi" w:cstheme="minorHAnsi"/>
        </w:rPr>
        <w:t xml:space="preserve"> </w:t>
      </w:r>
      <w:r w:rsidRPr="005641B2">
        <w:rPr>
          <w:rStyle w:val="normaltextrun"/>
          <w:rFonts w:asciiTheme="minorHAnsi" w:hAnsiTheme="minorHAnsi" w:cstheme="minorHAnsi"/>
          <w:i/>
          <w:iCs/>
        </w:rPr>
        <w:t>Supports in employment provider handbook January 2021</w:t>
      </w:r>
      <w:r w:rsidR="00DF7773">
        <w:rPr>
          <w:rStyle w:val="normaltextrun"/>
          <w:rFonts w:asciiTheme="minorHAnsi" w:hAnsiTheme="minorHAnsi" w:cstheme="minorHAnsi"/>
          <w:i/>
          <w:iCs/>
        </w:rPr>
        <w:t xml:space="preserve">. </w:t>
      </w:r>
      <w:hyperlink r:id="rId36" w:history="1">
        <w:r w:rsidR="00DF7773" w:rsidRPr="00DF7773">
          <w:rPr>
            <w:rStyle w:val="Hyperlink"/>
            <w:rFonts w:asciiTheme="minorHAnsi" w:hAnsiTheme="minorHAnsi" w:cstheme="minorHAnsi"/>
          </w:rPr>
          <w:t>https://www.ndis.gov.au/understanding/supports-funded-ndis/supports-employment</w:t>
        </w:r>
      </w:hyperlink>
    </w:p>
    <w:p w14:paraId="690DF7E7" w14:textId="406207BF" w:rsidR="003A5C4A" w:rsidRPr="005641B2" w:rsidRDefault="003A5C4A" w:rsidP="00966488">
      <w:pPr>
        <w:spacing w:before="120" w:line="276" w:lineRule="auto"/>
        <w:ind w:left="510" w:hanging="510"/>
        <w:rPr>
          <w:rStyle w:val="Hyperlink"/>
          <w:rFonts w:asciiTheme="minorHAnsi" w:hAnsiTheme="minorHAnsi" w:cstheme="minorHAnsi"/>
          <w:color w:val="auto"/>
        </w:rPr>
      </w:pPr>
      <w:r w:rsidRPr="005641B2">
        <w:rPr>
          <w:rFonts w:asciiTheme="minorHAnsi" w:hAnsiTheme="minorHAnsi" w:cstheme="minorHAnsi"/>
        </w:rPr>
        <w:t>OECD</w:t>
      </w:r>
      <w:r w:rsidR="00DF7773">
        <w:rPr>
          <w:rFonts w:asciiTheme="minorHAnsi" w:hAnsiTheme="minorHAnsi" w:cstheme="minorHAnsi"/>
        </w:rPr>
        <w:t>.</w:t>
      </w:r>
      <w:r w:rsidRPr="005641B2">
        <w:rPr>
          <w:rFonts w:asciiTheme="minorHAnsi" w:hAnsiTheme="minorHAnsi" w:cstheme="minorHAnsi"/>
        </w:rPr>
        <w:t xml:space="preserve"> (2017). </w:t>
      </w:r>
      <w:r w:rsidRPr="00DF7773">
        <w:rPr>
          <w:rFonts w:asciiTheme="minorHAnsi" w:hAnsiTheme="minorHAnsi" w:cstheme="minorHAnsi"/>
          <w:i/>
          <w:iCs/>
        </w:rPr>
        <w:t xml:space="preserve">Connecting </w:t>
      </w:r>
      <w:r w:rsidR="003B1267" w:rsidRPr="00DF7773">
        <w:rPr>
          <w:rFonts w:asciiTheme="minorHAnsi" w:hAnsiTheme="minorHAnsi" w:cstheme="minorHAnsi"/>
          <w:i/>
          <w:iCs/>
        </w:rPr>
        <w:t>people with jobs</w:t>
      </w:r>
      <w:r w:rsidRPr="00DF7773">
        <w:rPr>
          <w:rFonts w:asciiTheme="minorHAnsi" w:hAnsiTheme="minorHAnsi" w:cstheme="minorHAnsi"/>
          <w:i/>
          <w:iCs/>
        </w:rPr>
        <w:t xml:space="preserve">: Key </w:t>
      </w:r>
      <w:r w:rsidR="003B1267" w:rsidRPr="00DF7773">
        <w:rPr>
          <w:rFonts w:asciiTheme="minorHAnsi" w:hAnsiTheme="minorHAnsi" w:cstheme="minorHAnsi"/>
          <w:i/>
          <w:iCs/>
        </w:rPr>
        <w:t>issues for raising labour market parti</w:t>
      </w:r>
      <w:r w:rsidRPr="00DF7773">
        <w:rPr>
          <w:rFonts w:asciiTheme="minorHAnsi" w:hAnsiTheme="minorHAnsi" w:cstheme="minorHAnsi"/>
          <w:i/>
          <w:iCs/>
        </w:rPr>
        <w:t>cipation in Australia</w:t>
      </w:r>
      <w:r w:rsidR="00DF7773">
        <w:rPr>
          <w:rFonts w:asciiTheme="minorHAnsi" w:hAnsiTheme="minorHAnsi" w:cstheme="minorHAnsi"/>
        </w:rPr>
        <w:t>.</w:t>
      </w:r>
      <w:r w:rsidRPr="005641B2">
        <w:rPr>
          <w:rFonts w:asciiTheme="minorHAnsi" w:hAnsiTheme="minorHAnsi" w:cstheme="minorHAnsi"/>
        </w:rPr>
        <w:t xml:space="preserve"> Connecting People with Jobs, OECD Publishing, Paris. </w:t>
      </w:r>
      <w:hyperlink r:id="rId37" w:history="1">
        <w:r w:rsidR="00332868" w:rsidRPr="00F80395">
          <w:rPr>
            <w:rStyle w:val="Hyperlink"/>
            <w:rFonts w:asciiTheme="minorHAnsi" w:hAnsiTheme="minorHAnsi" w:cstheme="minorHAnsi"/>
          </w:rPr>
          <w:t>https://doi.org/10.1787/9789264269637-en</w:t>
        </w:r>
      </w:hyperlink>
      <w:r w:rsidR="00332868">
        <w:rPr>
          <w:rFonts w:asciiTheme="minorHAnsi" w:hAnsiTheme="minorHAnsi" w:cstheme="minorHAnsi"/>
        </w:rPr>
        <w:t xml:space="preserve"> </w:t>
      </w:r>
    </w:p>
    <w:p w14:paraId="665B6E8E" w14:textId="6AE9AA46" w:rsidR="006C3283" w:rsidRPr="005641B2" w:rsidRDefault="00AD1C3B" w:rsidP="00966488">
      <w:pPr>
        <w:spacing w:before="120" w:line="276" w:lineRule="auto"/>
        <w:ind w:left="510" w:hanging="510"/>
        <w:rPr>
          <w:rFonts w:asciiTheme="minorHAnsi" w:hAnsiTheme="minorHAnsi" w:cstheme="minorHAnsi"/>
        </w:rPr>
      </w:pPr>
      <w:r w:rsidRPr="005641B2">
        <w:rPr>
          <w:rFonts w:asciiTheme="minorHAnsi" w:hAnsiTheme="minorHAnsi" w:cstheme="minorHAnsi"/>
        </w:rPr>
        <w:t>Productivity Commission</w:t>
      </w:r>
      <w:r w:rsidR="004667E3">
        <w:rPr>
          <w:rFonts w:asciiTheme="minorHAnsi" w:hAnsiTheme="minorHAnsi" w:cstheme="minorHAnsi"/>
        </w:rPr>
        <w:t>.</w:t>
      </w:r>
      <w:r w:rsidRPr="005641B2">
        <w:rPr>
          <w:rFonts w:asciiTheme="minorHAnsi" w:hAnsiTheme="minorHAnsi" w:cstheme="minorHAnsi"/>
        </w:rPr>
        <w:t xml:space="preserve"> (2020)</w:t>
      </w:r>
      <w:r w:rsidR="004667E3">
        <w:rPr>
          <w:rFonts w:asciiTheme="minorHAnsi" w:hAnsiTheme="minorHAnsi" w:cstheme="minorHAnsi"/>
        </w:rPr>
        <w:t xml:space="preserve">. </w:t>
      </w:r>
      <w:r w:rsidRPr="005641B2">
        <w:rPr>
          <w:rFonts w:asciiTheme="minorHAnsi" w:hAnsiTheme="minorHAnsi" w:cstheme="minorHAnsi"/>
          <w:i/>
          <w:iCs/>
        </w:rPr>
        <w:t>Report on Government Services 2020. Part F. Section 15 Services for people with disability.</w:t>
      </w:r>
      <w:r w:rsidRPr="005641B2">
        <w:rPr>
          <w:rFonts w:asciiTheme="minorHAnsi" w:hAnsiTheme="minorHAnsi" w:cstheme="minorHAnsi"/>
        </w:rPr>
        <w:t xml:space="preserve"> </w:t>
      </w:r>
      <w:hyperlink r:id="rId38" w:history="1">
        <w:r w:rsidR="004667E3" w:rsidRPr="00F80395">
          <w:rPr>
            <w:rStyle w:val="Hyperlink"/>
            <w:rFonts w:asciiTheme="minorHAnsi" w:hAnsiTheme="minorHAnsi" w:cstheme="minorHAnsi"/>
          </w:rPr>
          <w:t>https://www.pc.gov.au/ongoing/report-on-government-services/2020/community-services/services-for-people-with-disability</w:t>
        </w:r>
      </w:hyperlink>
      <w:r w:rsidR="004667E3">
        <w:rPr>
          <w:rFonts w:asciiTheme="minorHAnsi" w:hAnsiTheme="minorHAnsi" w:cstheme="minorHAnsi"/>
        </w:rPr>
        <w:t xml:space="preserve"> </w:t>
      </w:r>
    </w:p>
    <w:p w14:paraId="6FC99F78" w14:textId="7E5AD26D" w:rsidR="00AA2782" w:rsidRPr="005641B2" w:rsidRDefault="00AD1A19" w:rsidP="00966488">
      <w:pPr>
        <w:spacing w:before="120" w:line="276" w:lineRule="auto"/>
        <w:ind w:left="510" w:hanging="510"/>
        <w:rPr>
          <w:rFonts w:asciiTheme="minorHAnsi" w:hAnsiTheme="minorHAnsi" w:cstheme="minorHAnsi"/>
        </w:rPr>
      </w:pPr>
      <w:bookmarkStart w:id="6" w:name="_Hlk120472621"/>
      <w:r w:rsidRPr="005641B2">
        <w:rPr>
          <w:rFonts w:asciiTheme="minorHAnsi" w:hAnsiTheme="minorHAnsi" w:cstheme="minorHAnsi"/>
        </w:rPr>
        <w:t>Productivity Commission</w:t>
      </w:r>
      <w:r w:rsidR="004667E3">
        <w:rPr>
          <w:rFonts w:asciiTheme="minorHAnsi" w:hAnsiTheme="minorHAnsi" w:cstheme="minorHAnsi"/>
        </w:rPr>
        <w:t>.</w:t>
      </w:r>
      <w:r w:rsidRPr="005641B2">
        <w:rPr>
          <w:rFonts w:asciiTheme="minorHAnsi" w:hAnsiTheme="minorHAnsi" w:cstheme="minorHAnsi"/>
        </w:rPr>
        <w:t xml:space="preserve"> (2021)</w:t>
      </w:r>
      <w:r w:rsidR="004667E3">
        <w:rPr>
          <w:rFonts w:asciiTheme="minorHAnsi" w:hAnsiTheme="minorHAnsi" w:cstheme="minorHAnsi"/>
        </w:rPr>
        <w:t>.</w:t>
      </w:r>
      <w:r w:rsidRPr="005641B2">
        <w:rPr>
          <w:rFonts w:asciiTheme="minorHAnsi" w:hAnsiTheme="minorHAnsi" w:cstheme="minorHAnsi"/>
        </w:rPr>
        <w:t xml:space="preserve"> </w:t>
      </w:r>
      <w:r w:rsidRPr="005641B2">
        <w:rPr>
          <w:rFonts w:asciiTheme="minorHAnsi" w:hAnsiTheme="minorHAnsi" w:cstheme="minorHAnsi"/>
          <w:i/>
          <w:iCs/>
        </w:rPr>
        <w:t>Report on Government Services 2021. Part F. Section 15 Services for people with disability.</w:t>
      </w:r>
      <w:r w:rsidRPr="005641B2">
        <w:rPr>
          <w:rFonts w:asciiTheme="minorHAnsi" w:hAnsiTheme="minorHAnsi" w:cstheme="minorHAnsi"/>
        </w:rPr>
        <w:t xml:space="preserve"> </w:t>
      </w:r>
      <w:hyperlink r:id="rId39" w:history="1">
        <w:r w:rsidR="004667E3" w:rsidRPr="00F80395">
          <w:rPr>
            <w:rStyle w:val="Hyperlink"/>
            <w:rFonts w:asciiTheme="minorHAnsi" w:hAnsiTheme="minorHAnsi" w:cstheme="minorHAnsi"/>
          </w:rPr>
          <w:t>https://www.pc.gov.au/ongoing/report-on-government-services/2021/community-services/services-for-people-with-disability</w:t>
        </w:r>
      </w:hyperlink>
      <w:r w:rsidR="004667E3">
        <w:rPr>
          <w:rFonts w:asciiTheme="minorHAnsi" w:hAnsiTheme="minorHAnsi" w:cstheme="minorHAnsi"/>
        </w:rPr>
        <w:t xml:space="preserve"> </w:t>
      </w:r>
    </w:p>
    <w:bookmarkEnd w:id="6"/>
    <w:p w14:paraId="57EC3CA5" w14:textId="635FA18C" w:rsidR="003A5C4A" w:rsidRPr="005641B2" w:rsidRDefault="003A5C4A" w:rsidP="00966488">
      <w:pPr>
        <w:spacing w:before="120" w:line="276" w:lineRule="auto"/>
        <w:ind w:left="510" w:hanging="510"/>
        <w:rPr>
          <w:rFonts w:asciiTheme="minorHAnsi" w:hAnsiTheme="minorHAnsi" w:cstheme="minorHAnsi"/>
          <w:i/>
          <w:iCs/>
        </w:rPr>
      </w:pPr>
      <w:r w:rsidRPr="005641B2">
        <w:rPr>
          <w:rFonts w:asciiTheme="minorHAnsi" w:hAnsiTheme="minorHAnsi" w:cstheme="minorHAnsi"/>
        </w:rPr>
        <w:t>Productivity Commission</w:t>
      </w:r>
      <w:r w:rsidR="004667E3">
        <w:rPr>
          <w:rFonts w:asciiTheme="minorHAnsi" w:hAnsiTheme="minorHAnsi" w:cstheme="minorHAnsi"/>
        </w:rPr>
        <w:t>.</w:t>
      </w:r>
      <w:r w:rsidRPr="005641B2">
        <w:rPr>
          <w:rFonts w:asciiTheme="minorHAnsi" w:hAnsiTheme="minorHAnsi" w:cstheme="minorHAnsi"/>
        </w:rPr>
        <w:t xml:space="preserve"> (2022)</w:t>
      </w:r>
      <w:r w:rsidR="004667E3">
        <w:rPr>
          <w:rFonts w:asciiTheme="minorHAnsi" w:hAnsiTheme="minorHAnsi" w:cstheme="minorHAnsi"/>
        </w:rPr>
        <w:t>.</w:t>
      </w:r>
      <w:r w:rsidRPr="005641B2">
        <w:rPr>
          <w:rFonts w:asciiTheme="minorHAnsi" w:hAnsiTheme="minorHAnsi" w:cstheme="minorHAnsi"/>
        </w:rPr>
        <w:t xml:space="preserve"> </w:t>
      </w:r>
      <w:r w:rsidRPr="005641B2">
        <w:rPr>
          <w:rFonts w:asciiTheme="minorHAnsi" w:hAnsiTheme="minorHAnsi" w:cstheme="minorHAnsi"/>
          <w:i/>
          <w:iCs/>
        </w:rPr>
        <w:t>Report on Government Services 2022. Part F. Section 15 Services for people with disability.</w:t>
      </w:r>
      <w:r w:rsidRPr="005641B2">
        <w:rPr>
          <w:rFonts w:asciiTheme="minorHAnsi" w:hAnsiTheme="minorHAnsi" w:cstheme="minorHAnsi"/>
        </w:rPr>
        <w:t xml:space="preserve"> </w:t>
      </w:r>
      <w:hyperlink r:id="rId40" w:history="1">
        <w:r w:rsidR="004667E3" w:rsidRPr="004667E3">
          <w:rPr>
            <w:rStyle w:val="Hyperlink"/>
            <w:rFonts w:asciiTheme="minorHAnsi" w:hAnsiTheme="minorHAnsi" w:cstheme="minorHAnsi"/>
          </w:rPr>
          <w:t>https://www.pc.gov.au/ongoing/report-on-government-services/2022/community-services/services-for-people-with-disability</w:t>
        </w:r>
      </w:hyperlink>
      <w:r w:rsidR="004667E3">
        <w:rPr>
          <w:rFonts w:asciiTheme="minorHAnsi" w:hAnsiTheme="minorHAnsi" w:cstheme="minorHAnsi"/>
          <w:i/>
          <w:iCs/>
        </w:rPr>
        <w:t xml:space="preserve"> </w:t>
      </w:r>
    </w:p>
    <w:p w14:paraId="1AB0BF34" w14:textId="4780E842" w:rsidR="001C5139" w:rsidRPr="005641B2" w:rsidRDefault="001C5139" w:rsidP="00966488">
      <w:pPr>
        <w:spacing w:before="120" w:line="276" w:lineRule="auto"/>
        <w:ind w:left="510" w:hanging="510"/>
        <w:rPr>
          <w:rFonts w:asciiTheme="minorHAnsi" w:eastAsiaTheme="minorEastAsia" w:hAnsiTheme="minorHAnsi" w:cstheme="minorHAnsi"/>
          <w:lang w:val="en-US"/>
        </w:rPr>
      </w:pPr>
      <w:r w:rsidRPr="005641B2">
        <w:rPr>
          <w:rFonts w:asciiTheme="minorHAnsi" w:eastAsiaTheme="minorEastAsia" w:hAnsiTheme="minorHAnsi" w:cstheme="minorHAnsi"/>
          <w:lang w:val="en-US"/>
        </w:rPr>
        <w:t>Qian-Khoo, J., Wilson, E., Campain, R., Kamstra, P.</w:t>
      </w:r>
      <w:r w:rsidR="004667E3">
        <w:rPr>
          <w:rFonts w:asciiTheme="minorHAnsi" w:eastAsiaTheme="minorEastAsia" w:hAnsiTheme="minorHAnsi" w:cstheme="minorHAnsi"/>
          <w:lang w:val="en-US"/>
        </w:rPr>
        <w:t>,</w:t>
      </w:r>
      <w:r w:rsidRPr="005641B2">
        <w:rPr>
          <w:rFonts w:asciiTheme="minorHAnsi" w:eastAsiaTheme="minorEastAsia" w:hAnsiTheme="minorHAnsi" w:cstheme="minorHAnsi"/>
          <w:lang w:val="en-US"/>
        </w:rPr>
        <w:t xml:space="preserve"> &amp; Kelly, J. (2021). </w:t>
      </w:r>
      <w:r w:rsidRPr="005641B2">
        <w:rPr>
          <w:rFonts w:asciiTheme="minorHAnsi" w:eastAsiaTheme="minorEastAsia" w:hAnsiTheme="minorHAnsi" w:cstheme="minorHAnsi"/>
          <w:i/>
          <w:iCs/>
          <w:lang w:val="en-US"/>
        </w:rPr>
        <w:t xml:space="preserve">EP DSS </w:t>
      </w:r>
      <w:r w:rsidR="003B1267" w:rsidRPr="005641B2">
        <w:rPr>
          <w:rFonts w:asciiTheme="minorHAnsi" w:eastAsiaTheme="minorEastAsia" w:hAnsiTheme="minorHAnsi" w:cstheme="minorHAnsi"/>
          <w:i/>
          <w:iCs/>
          <w:lang w:val="en-US"/>
        </w:rPr>
        <w:t>data analysis report</w:t>
      </w:r>
      <w:r w:rsidR="004667E3">
        <w:rPr>
          <w:rFonts w:asciiTheme="minorHAnsi" w:eastAsiaTheme="minorEastAsia" w:hAnsiTheme="minorHAnsi" w:cstheme="minorHAnsi"/>
          <w:lang w:val="en-US"/>
        </w:rPr>
        <w:t>.</w:t>
      </w:r>
      <w:r w:rsidRPr="005641B2">
        <w:rPr>
          <w:rFonts w:asciiTheme="minorHAnsi" w:eastAsiaTheme="minorEastAsia" w:hAnsiTheme="minorHAnsi" w:cstheme="minorHAnsi"/>
          <w:lang w:val="en-US"/>
        </w:rPr>
        <w:t xml:space="preserve"> </w:t>
      </w:r>
      <w:r w:rsidRPr="005641B2">
        <w:rPr>
          <w:rFonts w:asciiTheme="minorHAnsi" w:hAnsiTheme="minorHAnsi" w:cstheme="minorHAnsi"/>
          <w:lang w:val="en-US"/>
        </w:rPr>
        <w:t>Hawthorn: Centre for Social Impact, Swinburne University of Technology</w:t>
      </w:r>
      <w:r w:rsidRPr="005641B2">
        <w:rPr>
          <w:rFonts w:asciiTheme="minorHAnsi" w:eastAsiaTheme="minorEastAsia" w:hAnsiTheme="minorHAnsi" w:cstheme="minorHAnsi"/>
          <w:lang w:val="en-US"/>
        </w:rPr>
        <w:t xml:space="preserve"> </w:t>
      </w:r>
    </w:p>
    <w:p w14:paraId="3F093344" w14:textId="271E760B" w:rsidR="008D4732" w:rsidRPr="005641B2" w:rsidRDefault="008D4732" w:rsidP="00966488">
      <w:pPr>
        <w:pStyle w:val="Normal4"/>
        <w:spacing w:after="0"/>
        <w:ind w:left="510" w:hanging="510"/>
        <w:rPr>
          <w:rFonts w:cstheme="minorHAnsi"/>
          <w:u w:val="single"/>
        </w:rPr>
      </w:pPr>
      <w:bookmarkStart w:id="7" w:name="_Hlk120458545"/>
      <w:r w:rsidRPr="005641B2">
        <w:rPr>
          <w:rFonts w:cstheme="minorHAnsi"/>
        </w:rPr>
        <w:t xml:space="preserve">Wakeford, M., &amp; Waugh, F. (2014). </w:t>
      </w:r>
      <w:r w:rsidRPr="005641B2">
        <w:rPr>
          <w:rFonts w:cstheme="minorHAnsi"/>
          <w:i/>
        </w:rPr>
        <w:t>Transitions to employment of Australian young people with disability and the Ticket to Work initiative</w:t>
      </w:r>
      <w:r w:rsidRPr="005641B2">
        <w:rPr>
          <w:rFonts w:cstheme="minorHAnsi"/>
        </w:rPr>
        <w:t xml:space="preserve">. </w:t>
      </w:r>
      <w:hyperlink r:id="rId41" w:history="1">
        <w:r w:rsidR="00363BF8" w:rsidRPr="00F80395">
          <w:rPr>
            <w:rStyle w:val="Hyperlink"/>
            <w:rFonts w:cstheme="minorHAnsi"/>
          </w:rPr>
          <w:t>http://www.tickettowork.org.au/wp-content/uploads/2016/03/Transitions-to-Employment-of-Australian-Young-People-with-Disability-Full-Report.pdf</w:t>
        </w:r>
      </w:hyperlink>
      <w:r w:rsidR="00363BF8">
        <w:rPr>
          <w:rFonts w:cstheme="minorHAnsi"/>
        </w:rPr>
        <w:t xml:space="preserve"> </w:t>
      </w:r>
    </w:p>
    <w:bookmarkEnd w:id="7"/>
    <w:p w14:paraId="2EC9A22F" w14:textId="0D6F1F70" w:rsidR="002534AC" w:rsidRPr="005641B2" w:rsidRDefault="002534AC" w:rsidP="00966488">
      <w:pPr>
        <w:pStyle w:val="Normal4"/>
        <w:spacing w:after="0"/>
        <w:ind w:left="510" w:hanging="510"/>
        <w:rPr>
          <w:rFonts w:cstheme="minorHAnsi"/>
        </w:rPr>
      </w:pPr>
      <w:r w:rsidRPr="005641B2">
        <w:rPr>
          <w:rFonts w:cstheme="minorHAnsi"/>
        </w:rPr>
        <w:t xml:space="preserve">White, G., </w:t>
      </w:r>
      <w:proofErr w:type="spellStart"/>
      <w:r w:rsidRPr="005641B2">
        <w:rPr>
          <w:rFonts w:cstheme="minorHAnsi"/>
        </w:rPr>
        <w:t>Kiegaldie</w:t>
      </w:r>
      <w:proofErr w:type="spellEnd"/>
      <w:r w:rsidRPr="005641B2">
        <w:rPr>
          <w:rFonts w:cstheme="minorHAnsi"/>
        </w:rPr>
        <w:t xml:space="preserve">, D., &amp; Hunter, S. (2019). </w:t>
      </w:r>
      <w:r w:rsidRPr="00F35BAC">
        <w:rPr>
          <w:rFonts w:cstheme="minorHAnsi"/>
          <w:i/>
          <w:iCs/>
        </w:rPr>
        <w:t>The integrated practical placement program: A program of social inclusion in the workplace for people with disability</w:t>
      </w:r>
      <w:r w:rsidRPr="005641B2">
        <w:rPr>
          <w:rFonts w:cstheme="minorHAnsi"/>
        </w:rPr>
        <w:t>. Holm</w:t>
      </w:r>
      <w:r w:rsidR="004C7E74">
        <w:rPr>
          <w:rFonts w:cstheme="minorHAnsi"/>
        </w:rPr>
        <w:t>e</w:t>
      </w:r>
      <w:r w:rsidRPr="005641B2">
        <w:rPr>
          <w:rFonts w:cstheme="minorHAnsi"/>
        </w:rPr>
        <w:t>sglen and the Royal Children’s Hospital.</w:t>
      </w:r>
    </w:p>
    <w:p w14:paraId="7B284BE7" w14:textId="39BBB772" w:rsidR="003A5C4A" w:rsidRPr="003E5E09" w:rsidRDefault="003A5C4A" w:rsidP="00966488">
      <w:pPr>
        <w:spacing w:before="120" w:line="276" w:lineRule="auto"/>
        <w:ind w:left="510" w:hanging="510"/>
        <w:rPr>
          <w:rFonts w:asciiTheme="minorHAnsi" w:eastAsiaTheme="minorEastAsia" w:hAnsiTheme="minorHAnsi" w:cstheme="minorHAnsi"/>
          <w:lang w:val="en-US"/>
        </w:rPr>
      </w:pPr>
      <w:r w:rsidRPr="005641B2">
        <w:rPr>
          <w:rFonts w:asciiTheme="minorHAnsi" w:eastAsiaTheme="minorEastAsia" w:hAnsiTheme="minorHAnsi" w:cstheme="minorHAnsi"/>
          <w:lang w:val="en-US"/>
        </w:rPr>
        <w:t>Wilson, E., Qian-Khoo, J., Campain, R., Joyce, A.</w:t>
      </w:r>
      <w:r w:rsidR="00F35BAC">
        <w:rPr>
          <w:rFonts w:asciiTheme="minorHAnsi" w:eastAsiaTheme="minorEastAsia" w:hAnsiTheme="minorHAnsi" w:cstheme="minorHAnsi"/>
          <w:lang w:val="en-US"/>
        </w:rPr>
        <w:t>,</w:t>
      </w:r>
      <w:r w:rsidRPr="005641B2">
        <w:rPr>
          <w:rFonts w:asciiTheme="minorHAnsi" w:eastAsiaTheme="minorEastAsia" w:hAnsiTheme="minorHAnsi" w:cstheme="minorHAnsi"/>
          <w:lang w:val="en-US"/>
        </w:rPr>
        <w:t xml:space="preserve"> &amp; Kelly, J. (2021). </w:t>
      </w:r>
      <w:r w:rsidRPr="00F35BAC">
        <w:rPr>
          <w:rFonts w:asciiTheme="minorHAnsi" w:eastAsiaTheme="minorEastAsia" w:hAnsiTheme="minorHAnsi" w:cstheme="minorHAnsi"/>
          <w:i/>
          <w:iCs/>
          <w:lang w:val="en-US"/>
        </w:rPr>
        <w:t xml:space="preserve">Summary </w:t>
      </w:r>
      <w:r w:rsidR="003B1267">
        <w:rPr>
          <w:rFonts w:asciiTheme="minorHAnsi" w:eastAsiaTheme="minorEastAsia" w:hAnsiTheme="minorHAnsi" w:cstheme="minorHAnsi"/>
          <w:i/>
          <w:iCs/>
          <w:lang w:val="en-US"/>
        </w:rPr>
        <w:t>r</w:t>
      </w:r>
      <w:r w:rsidRPr="00F35BAC">
        <w:rPr>
          <w:rFonts w:asciiTheme="minorHAnsi" w:eastAsiaTheme="minorEastAsia" w:hAnsiTheme="minorHAnsi" w:cstheme="minorHAnsi"/>
          <w:i/>
          <w:iCs/>
          <w:lang w:val="en-US"/>
        </w:rPr>
        <w:t xml:space="preserve">eport. </w:t>
      </w:r>
      <w:r w:rsidRPr="00F35BAC">
        <w:rPr>
          <w:rFonts w:asciiTheme="minorHAnsi" w:hAnsiTheme="minorHAnsi" w:cstheme="minorHAnsi"/>
          <w:i/>
          <w:iCs/>
          <w:lang w:val="en-US"/>
        </w:rPr>
        <w:t>Mapping the employment support interventions for people with work restrictions in Australia</w:t>
      </w:r>
      <w:r w:rsidR="0087045B">
        <w:rPr>
          <w:rFonts w:asciiTheme="minorHAnsi" w:hAnsiTheme="minorHAnsi" w:cstheme="minorHAnsi"/>
          <w:lang w:val="en-US"/>
        </w:rPr>
        <w:t>.</w:t>
      </w:r>
      <w:r w:rsidRPr="005641B2">
        <w:rPr>
          <w:rFonts w:asciiTheme="minorHAnsi" w:hAnsiTheme="minorHAnsi" w:cstheme="minorHAnsi"/>
          <w:lang w:val="en-US"/>
        </w:rPr>
        <w:t xml:space="preserve"> Hawthorn: Centre for Social Impact, Swinburne University of Technology. </w:t>
      </w:r>
      <w:hyperlink r:id="rId42" w:history="1">
        <w:r w:rsidR="003E5E09" w:rsidRPr="00F80395">
          <w:rPr>
            <w:rStyle w:val="Hyperlink"/>
            <w:rFonts w:asciiTheme="minorHAnsi" w:hAnsiTheme="minorHAnsi" w:cstheme="minorHAnsi"/>
            <w:lang w:val="en-US"/>
          </w:rPr>
          <w:t>https://apo.org.au/node/317659</w:t>
        </w:r>
      </w:hyperlink>
      <w:r w:rsidR="003E5E09">
        <w:rPr>
          <w:rFonts w:asciiTheme="minorHAnsi" w:hAnsiTheme="minorHAnsi" w:cstheme="minorHAnsi"/>
          <w:lang w:val="en-US"/>
        </w:rPr>
        <w:t xml:space="preserve"> </w:t>
      </w:r>
    </w:p>
    <w:sectPr w:rsidR="003A5C4A" w:rsidRPr="003E5E09" w:rsidSect="003A5C4A">
      <w:footerReference w:type="default" r:id="rId43"/>
      <w:type w:val="continuous"/>
      <w:pgSz w:w="11906" w:h="16838"/>
      <w:pgMar w:top="826" w:right="1418" w:bottom="1295" w:left="1418" w:header="850" w:footer="850"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ED1D0" w14:textId="77777777" w:rsidR="00E654CA" w:rsidRDefault="00E654CA" w:rsidP="003C0EFA">
      <w:r>
        <w:separator/>
      </w:r>
    </w:p>
  </w:endnote>
  <w:endnote w:type="continuationSeparator" w:id="0">
    <w:p w14:paraId="31A55AAF" w14:textId="77777777" w:rsidR="00E654CA" w:rsidRDefault="00E654CA" w:rsidP="003C0EFA">
      <w:r>
        <w:continuationSeparator/>
      </w:r>
    </w:p>
  </w:endnote>
  <w:endnote w:type="continuationNotice" w:id="1">
    <w:p w14:paraId="76A324FE" w14:textId="77777777" w:rsidR="00E654CA" w:rsidRDefault="00E654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3F143D1-8A44-4B93-981F-F39BB4C041EE}"/>
    <w:embedBold r:id="rId2" w:fontKey="{9987B62A-1F1E-4C0C-9888-A580A9141E85}"/>
    <w:embedItalic r:id="rId3" w:fontKey="{7505393F-0EB1-491E-AC65-5D891D9C8443}"/>
    <w:embedBoldItalic r:id="rId4" w:fontKey="{F5CB18E8-BB89-4E85-A8C6-A59121EC767F}"/>
  </w:font>
  <w:font w:name="Arial">
    <w:panose1 w:val="020B0604020202020204"/>
    <w:charset w:val="00"/>
    <w:family w:val="swiss"/>
    <w:pitch w:val="variable"/>
    <w:sig w:usb0="E0002EFF" w:usb1="C000785B" w:usb2="00000009" w:usb3="00000000" w:csb0="000001FF" w:csb1="00000000"/>
  </w:font>
  <w:font w:name="Arial Nova Cond">
    <w:charset w:val="00"/>
    <w:family w:val="swiss"/>
    <w:pitch w:val="variable"/>
    <w:sig w:usb0="0000028F" w:usb1="00000002" w:usb2="00000000" w:usb3="00000000" w:csb0="0000019F" w:csb1="00000000"/>
    <w:embedRegular r:id="rId5" w:fontKey="{435261CF-A355-405C-9BDB-F192B2F2E8ED}"/>
    <w:embedBold r:id="rId6" w:fontKey="{55EBC950-FB34-413D-968C-3AEB8428EECD}"/>
  </w:font>
  <w:font w:name="Cambria">
    <w:panose1 w:val="02040503050406030204"/>
    <w:charset w:val="00"/>
    <w:family w:val="roman"/>
    <w:pitch w:val="variable"/>
    <w:sig w:usb0="E00006FF" w:usb1="420024FF" w:usb2="02000000" w:usb3="00000000" w:csb0="0000019F" w:csb1="00000000"/>
    <w:embedRegular r:id="rId7" w:fontKey="{4F1A637C-1C70-4F43-9B65-344BB0873BC4}"/>
  </w:font>
  <w:font w:name="Source Sans Pro">
    <w:charset w:val="00"/>
    <w:family w:val="swiss"/>
    <w:pitch w:val="variable"/>
    <w:sig w:usb0="600002F7" w:usb1="02000001" w:usb2="00000000" w:usb3="00000000" w:csb0="0000019F" w:csb1="00000000"/>
    <w:embedRegular r:id="rId8" w:fontKey="{BD77DE6F-9A55-4804-BC2B-CD1952C75B68}"/>
  </w:font>
  <w:font w:name="Calibri Light">
    <w:panose1 w:val="020F0302020204030204"/>
    <w:charset w:val="00"/>
    <w:family w:val="swiss"/>
    <w:pitch w:val="variable"/>
    <w:sig w:usb0="E4002EFF" w:usb1="C000247B" w:usb2="00000009" w:usb3="00000000" w:csb0="000001FF" w:csb1="00000000"/>
    <w:embedRegular r:id="rId9" w:fontKey="{0389848E-28CE-4C51-97F9-6EFAF6DC367E}"/>
  </w:font>
  <w:font w:name="Arial Nova Cond Light">
    <w:charset w:val="00"/>
    <w:family w:val="swiss"/>
    <w:pitch w:val="variable"/>
    <w:sig w:usb0="0000028F" w:usb1="00000002" w:usb2="00000000" w:usb3="00000000" w:csb0="0000019F" w:csb1="00000000"/>
    <w:embedRegular r:id="rId10" w:fontKey="{9EB956BD-A35D-4344-854E-04FF15FB68BB}"/>
    <w:embedItalic r:id="rId11" w:fontKey="{302C3B4F-4E90-4E26-8EEA-4704184B5A69}"/>
  </w:font>
  <w:font w:name="Open Sans">
    <w:panose1 w:val="020B0606030504020204"/>
    <w:charset w:val="00"/>
    <w:family w:val="swiss"/>
    <w:pitch w:val="variable"/>
    <w:sig w:usb0="E00002EF" w:usb1="4000205B" w:usb2="00000028" w:usb3="00000000" w:csb0="0000019F" w:csb1="00000000"/>
    <w:embedRegular r:id="rId12" w:fontKey="{76CE5B3A-A449-4192-A792-5422D3B9A3A2}"/>
    <w:embedBoldItalic r:id="rId13" w:fontKey="{838D4183-0E7C-4BC0-873E-7F96078EAD01}"/>
  </w:font>
  <w:font w:name="AdvOT46dcae81">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9770214"/>
      <w:docPartObj>
        <w:docPartGallery w:val="Page Numbers (Bottom of Page)"/>
        <w:docPartUnique/>
      </w:docPartObj>
    </w:sdtPr>
    <w:sdtEndPr>
      <w:rPr>
        <w:noProof/>
      </w:rPr>
    </w:sdtEndPr>
    <w:sdtContent>
      <w:p w14:paraId="490EF08F" w14:textId="7FC3012F" w:rsidR="001C5139" w:rsidRDefault="001C513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F15B9C" w14:textId="77777777" w:rsidR="001C5139" w:rsidRDefault="001C51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31DB5" w14:textId="77777777" w:rsidR="00E654CA" w:rsidRDefault="00E654CA" w:rsidP="003C0EFA">
      <w:r>
        <w:separator/>
      </w:r>
    </w:p>
  </w:footnote>
  <w:footnote w:type="continuationSeparator" w:id="0">
    <w:p w14:paraId="08291460" w14:textId="77777777" w:rsidR="00E654CA" w:rsidRDefault="00E654CA" w:rsidP="003C0EFA">
      <w:r>
        <w:continuationSeparator/>
      </w:r>
    </w:p>
  </w:footnote>
  <w:footnote w:type="continuationNotice" w:id="1">
    <w:p w14:paraId="223F949A" w14:textId="77777777" w:rsidR="00E654CA" w:rsidRDefault="00E654C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A5E79"/>
    <w:multiLevelType w:val="hybridMultilevel"/>
    <w:tmpl w:val="98022582"/>
    <w:lvl w:ilvl="0" w:tplc="602AB81A">
      <w:start w:val="1"/>
      <w:numFmt w:val="bullet"/>
      <w:pStyle w:val="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8E2FD2"/>
    <w:multiLevelType w:val="hybridMultilevel"/>
    <w:tmpl w:val="4D8A2AE4"/>
    <w:lvl w:ilvl="0" w:tplc="0C090001">
      <w:start w:val="1"/>
      <w:numFmt w:val="bullet"/>
      <w:lvlText w:val=""/>
      <w:lvlJc w:val="left"/>
      <w:pPr>
        <w:ind w:left="903" w:hanging="360"/>
      </w:pPr>
      <w:rPr>
        <w:rFonts w:ascii="Symbol" w:hAnsi="Symbol" w:hint="default"/>
      </w:rPr>
    </w:lvl>
    <w:lvl w:ilvl="1" w:tplc="08090003">
      <w:start w:val="1"/>
      <w:numFmt w:val="bullet"/>
      <w:lvlText w:val="o"/>
      <w:lvlJc w:val="left"/>
      <w:pPr>
        <w:ind w:left="1623" w:hanging="360"/>
      </w:pPr>
      <w:rPr>
        <w:rFonts w:ascii="Courier New" w:hAnsi="Courier New" w:cs="Wingdings" w:hint="default"/>
      </w:rPr>
    </w:lvl>
    <w:lvl w:ilvl="2" w:tplc="08090005">
      <w:start w:val="1"/>
      <w:numFmt w:val="bullet"/>
      <w:lvlText w:val=""/>
      <w:lvlJc w:val="left"/>
      <w:pPr>
        <w:ind w:left="2343" w:hanging="360"/>
      </w:pPr>
      <w:rPr>
        <w:rFonts w:ascii="Wingdings" w:hAnsi="Wingdings" w:hint="default"/>
      </w:rPr>
    </w:lvl>
    <w:lvl w:ilvl="3" w:tplc="08090001">
      <w:start w:val="1"/>
      <w:numFmt w:val="bullet"/>
      <w:lvlText w:val=""/>
      <w:lvlJc w:val="left"/>
      <w:pPr>
        <w:ind w:left="3063" w:hanging="360"/>
      </w:pPr>
      <w:rPr>
        <w:rFonts w:ascii="Symbol" w:hAnsi="Symbol" w:hint="default"/>
      </w:rPr>
    </w:lvl>
    <w:lvl w:ilvl="4" w:tplc="08090003">
      <w:start w:val="1"/>
      <w:numFmt w:val="bullet"/>
      <w:lvlText w:val="o"/>
      <w:lvlJc w:val="left"/>
      <w:pPr>
        <w:ind w:left="3783" w:hanging="360"/>
      </w:pPr>
      <w:rPr>
        <w:rFonts w:ascii="Courier New" w:hAnsi="Courier New" w:cs="Wingdings" w:hint="default"/>
      </w:rPr>
    </w:lvl>
    <w:lvl w:ilvl="5" w:tplc="08090005">
      <w:start w:val="1"/>
      <w:numFmt w:val="bullet"/>
      <w:lvlText w:val=""/>
      <w:lvlJc w:val="left"/>
      <w:pPr>
        <w:ind w:left="4503" w:hanging="360"/>
      </w:pPr>
      <w:rPr>
        <w:rFonts w:ascii="Wingdings" w:hAnsi="Wingdings" w:hint="default"/>
      </w:rPr>
    </w:lvl>
    <w:lvl w:ilvl="6" w:tplc="08090001">
      <w:start w:val="1"/>
      <w:numFmt w:val="bullet"/>
      <w:lvlText w:val=""/>
      <w:lvlJc w:val="left"/>
      <w:pPr>
        <w:ind w:left="5223" w:hanging="360"/>
      </w:pPr>
      <w:rPr>
        <w:rFonts w:ascii="Symbol" w:hAnsi="Symbol" w:hint="default"/>
      </w:rPr>
    </w:lvl>
    <w:lvl w:ilvl="7" w:tplc="08090003">
      <w:start w:val="1"/>
      <w:numFmt w:val="bullet"/>
      <w:lvlText w:val="o"/>
      <w:lvlJc w:val="left"/>
      <w:pPr>
        <w:ind w:left="5943" w:hanging="360"/>
      </w:pPr>
      <w:rPr>
        <w:rFonts w:ascii="Courier New" w:hAnsi="Courier New" w:cs="Wingdings" w:hint="default"/>
      </w:rPr>
    </w:lvl>
    <w:lvl w:ilvl="8" w:tplc="08090005">
      <w:start w:val="1"/>
      <w:numFmt w:val="bullet"/>
      <w:lvlText w:val=""/>
      <w:lvlJc w:val="left"/>
      <w:pPr>
        <w:ind w:left="6663" w:hanging="360"/>
      </w:pPr>
      <w:rPr>
        <w:rFonts w:ascii="Wingdings" w:hAnsi="Wingdings" w:hint="default"/>
      </w:rPr>
    </w:lvl>
  </w:abstractNum>
  <w:abstractNum w:abstractNumId="2" w15:restartNumberingAfterBreak="0">
    <w:nsid w:val="069B2832"/>
    <w:multiLevelType w:val="hybridMultilevel"/>
    <w:tmpl w:val="5FF0E676"/>
    <w:lvl w:ilvl="0" w:tplc="B3FC76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E3798"/>
    <w:multiLevelType w:val="hybridMultilevel"/>
    <w:tmpl w:val="03F4282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442B7F"/>
    <w:multiLevelType w:val="multilevel"/>
    <w:tmpl w:val="837A80A6"/>
    <w:lvl w:ilvl="0">
      <w:start w:val="1"/>
      <w:numFmt w:val="decimal"/>
      <w:pStyle w:val="NumberedList1"/>
      <w:lvlText w:val="%1)"/>
      <w:lvlJc w:val="left"/>
      <w:pPr>
        <w:tabs>
          <w:tab w:val="num" w:pos="850"/>
        </w:tabs>
        <w:ind w:left="850" w:hanging="425"/>
      </w:pPr>
    </w:lvl>
    <w:lvl w:ilvl="1">
      <w:start w:val="1"/>
      <w:numFmt w:val="decimal"/>
      <w:pStyle w:val="NumberedList11"/>
      <w:lvlText w:val="%2)"/>
      <w:lvlJc w:val="left"/>
      <w:pPr>
        <w:tabs>
          <w:tab w:val="num" w:pos="850"/>
        </w:tabs>
        <w:ind w:left="850" w:hanging="425"/>
      </w:pPr>
    </w:lvl>
    <w:lvl w:ilvl="2">
      <w:start w:val="1"/>
      <w:numFmt w:val="decimal"/>
      <w:pStyle w:val="NumberedList12"/>
      <w:lvlText w:val="%3)"/>
      <w:lvlJc w:val="left"/>
      <w:pPr>
        <w:tabs>
          <w:tab w:val="num" w:pos="1276"/>
        </w:tabs>
        <w:ind w:left="1276" w:hanging="426"/>
      </w:pPr>
    </w:lvl>
    <w:lvl w:ilvl="3">
      <w:start w:val="1"/>
      <w:numFmt w:val="decimal"/>
      <w:pStyle w:val="NumberedList13"/>
      <w:lvlText w:val="%4)"/>
      <w:lvlJc w:val="left"/>
      <w:pPr>
        <w:tabs>
          <w:tab w:val="num" w:pos="1701"/>
        </w:tabs>
        <w:ind w:left="1701" w:hanging="425"/>
      </w:pPr>
    </w:lvl>
    <w:lvl w:ilvl="4">
      <w:start w:val="1"/>
      <w:numFmt w:val="decimal"/>
      <w:pStyle w:val="NumberedList14"/>
      <w:lvlText w:val="%5)"/>
      <w:lvlJc w:val="left"/>
      <w:pPr>
        <w:tabs>
          <w:tab w:val="num" w:pos="2126"/>
        </w:tabs>
        <w:ind w:left="2126" w:hanging="425"/>
      </w:pPr>
    </w:lvl>
    <w:lvl w:ilvl="5">
      <w:start w:val="1"/>
      <w:numFmt w:val="decimal"/>
      <w:pStyle w:val="NumberedList15"/>
      <w:lvlText w:val="%6)"/>
      <w:lvlJc w:val="left"/>
      <w:pPr>
        <w:tabs>
          <w:tab w:val="num" w:pos="2551"/>
        </w:tabs>
        <w:ind w:left="2551" w:hanging="425"/>
      </w:pPr>
    </w:lvl>
    <w:lvl w:ilvl="6">
      <w:start w:val="1"/>
      <w:numFmt w:val="decimal"/>
      <w:pStyle w:val="NumberedList16"/>
      <w:lvlText w:val="%7)"/>
      <w:lvlJc w:val="left"/>
      <w:pPr>
        <w:tabs>
          <w:tab w:val="num" w:pos="2976"/>
        </w:tabs>
        <w:ind w:left="2976" w:hanging="425"/>
      </w:pPr>
    </w:lvl>
    <w:lvl w:ilvl="7">
      <w:start w:val="1"/>
      <w:numFmt w:val="decimal"/>
      <w:pStyle w:val="NumberedList17"/>
      <w:lvlText w:val="%8)"/>
      <w:lvlJc w:val="left"/>
      <w:pPr>
        <w:tabs>
          <w:tab w:val="num" w:pos="3402"/>
        </w:tabs>
        <w:ind w:left="3402" w:hanging="426"/>
      </w:pPr>
    </w:lvl>
    <w:lvl w:ilvl="8">
      <w:start w:val="1"/>
      <w:numFmt w:val="decimal"/>
      <w:pStyle w:val="NumberedList18"/>
      <w:lvlText w:val="%9)"/>
      <w:lvlJc w:val="left"/>
      <w:pPr>
        <w:tabs>
          <w:tab w:val="num" w:pos="3827"/>
        </w:tabs>
        <w:ind w:left="3827" w:hanging="425"/>
      </w:pPr>
    </w:lvl>
  </w:abstractNum>
  <w:abstractNum w:abstractNumId="5" w15:restartNumberingAfterBreak="0">
    <w:nsid w:val="0F7C395B"/>
    <w:multiLevelType w:val="hybridMultilevel"/>
    <w:tmpl w:val="2730A28C"/>
    <w:lvl w:ilvl="0" w:tplc="FA9A7CFA">
      <w:start w:val="1"/>
      <w:numFmt w:val="decimal"/>
      <w:lvlText w:val="%1."/>
      <w:lvlJc w:val="left"/>
      <w:pPr>
        <w:ind w:left="378" w:hanging="360"/>
      </w:pPr>
      <w:rPr>
        <w:rFonts w:hint="default"/>
      </w:rPr>
    </w:lvl>
    <w:lvl w:ilvl="1" w:tplc="0C090019">
      <w:start w:val="1"/>
      <w:numFmt w:val="lowerLetter"/>
      <w:lvlText w:val="%2."/>
      <w:lvlJc w:val="left"/>
      <w:pPr>
        <w:ind w:left="1098" w:hanging="360"/>
      </w:pPr>
    </w:lvl>
    <w:lvl w:ilvl="2" w:tplc="0C09001B" w:tentative="1">
      <w:start w:val="1"/>
      <w:numFmt w:val="lowerRoman"/>
      <w:lvlText w:val="%3."/>
      <w:lvlJc w:val="right"/>
      <w:pPr>
        <w:ind w:left="1818" w:hanging="180"/>
      </w:pPr>
    </w:lvl>
    <w:lvl w:ilvl="3" w:tplc="0C09000F" w:tentative="1">
      <w:start w:val="1"/>
      <w:numFmt w:val="decimal"/>
      <w:lvlText w:val="%4."/>
      <w:lvlJc w:val="left"/>
      <w:pPr>
        <w:ind w:left="2538" w:hanging="360"/>
      </w:pPr>
    </w:lvl>
    <w:lvl w:ilvl="4" w:tplc="0C090019" w:tentative="1">
      <w:start w:val="1"/>
      <w:numFmt w:val="lowerLetter"/>
      <w:lvlText w:val="%5."/>
      <w:lvlJc w:val="left"/>
      <w:pPr>
        <w:ind w:left="3258" w:hanging="360"/>
      </w:pPr>
    </w:lvl>
    <w:lvl w:ilvl="5" w:tplc="0C09001B" w:tentative="1">
      <w:start w:val="1"/>
      <w:numFmt w:val="lowerRoman"/>
      <w:lvlText w:val="%6."/>
      <w:lvlJc w:val="right"/>
      <w:pPr>
        <w:ind w:left="3978" w:hanging="180"/>
      </w:pPr>
    </w:lvl>
    <w:lvl w:ilvl="6" w:tplc="0C09000F" w:tentative="1">
      <w:start w:val="1"/>
      <w:numFmt w:val="decimal"/>
      <w:lvlText w:val="%7."/>
      <w:lvlJc w:val="left"/>
      <w:pPr>
        <w:ind w:left="4698" w:hanging="360"/>
      </w:pPr>
    </w:lvl>
    <w:lvl w:ilvl="7" w:tplc="0C090019" w:tentative="1">
      <w:start w:val="1"/>
      <w:numFmt w:val="lowerLetter"/>
      <w:lvlText w:val="%8."/>
      <w:lvlJc w:val="left"/>
      <w:pPr>
        <w:ind w:left="5418" w:hanging="360"/>
      </w:pPr>
    </w:lvl>
    <w:lvl w:ilvl="8" w:tplc="0C09001B" w:tentative="1">
      <w:start w:val="1"/>
      <w:numFmt w:val="lowerRoman"/>
      <w:lvlText w:val="%9."/>
      <w:lvlJc w:val="right"/>
      <w:pPr>
        <w:ind w:left="6138" w:hanging="180"/>
      </w:pPr>
    </w:lvl>
  </w:abstractNum>
  <w:abstractNum w:abstractNumId="6" w15:restartNumberingAfterBreak="0">
    <w:nsid w:val="10F951E9"/>
    <w:multiLevelType w:val="hybridMultilevel"/>
    <w:tmpl w:val="46803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3537A5"/>
    <w:multiLevelType w:val="hybridMultilevel"/>
    <w:tmpl w:val="C66E1FAA"/>
    <w:lvl w:ilvl="0" w:tplc="7A54813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6E33F0"/>
    <w:multiLevelType w:val="hybridMultilevel"/>
    <w:tmpl w:val="5FF0FD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F36E5E"/>
    <w:multiLevelType w:val="hybridMultilevel"/>
    <w:tmpl w:val="9710BA1E"/>
    <w:lvl w:ilvl="0" w:tplc="180490A4">
      <w:start w:val="1"/>
      <w:numFmt w:val="bullet"/>
      <w:lvlText w:val="»"/>
      <w:lvlJc w:val="left"/>
      <w:pPr>
        <w:ind w:left="740" w:hanging="360"/>
      </w:pPr>
      <w:rPr>
        <w:rFonts w:ascii="Times New Roman" w:hAnsi="Times New Roman" w:cs="Times New Roman" w:hint="default"/>
        <w:sz w:val="21"/>
      </w:rPr>
    </w:lvl>
    <w:lvl w:ilvl="1" w:tplc="0C090003">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10" w15:restartNumberingAfterBreak="0">
    <w:nsid w:val="22C214BB"/>
    <w:multiLevelType w:val="hybridMultilevel"/>
    <w:tmpl w:val="D7B60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A65684"/>
    <w:multiLevelType w:val="hybridMultilevel"/>
    <w:tmpl w:val="91169AEC"/>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2" w15:restartNumberingAfterBreak="0">
    <w:nsid w:val="251B3DFB"/>
    <w:multiLevelType w:val="hybridMultilevel"/>
    <w:tmpl w:val="F8C89598"/>
    <w:lvl w:ilvl="0" w:tplc="180490A4">
      <w:start w:val="1"/>
      <w:numFmt w:val="bullet"/>
      <w:lvlText w:val="»"/>
      <w:lvlJc w:val="left"/>
      <w:pPr>
        <w:ind w:left="740" w:hanging="360"/>
      </w:pPr>
      <w:rPr>
        <w:rFonts w:ascii="Times New Roman" w:hAnsi="Times New Roman" w:cs="Times New Roman" w:hint="default"/>
        <w:sz w:val="21"/>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13" w15:restartNumberingAfterBreak="0">
    <w:nsid w:val="29584246"/>
    <w:multiLevelType w:val="hybridMultilevel"/>
    <w:tmpl w:val="C43CBA24"/>
    <w:lvl w:ilvl="0" w:tplc="CC743C2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CAD2D6F"/>
    <w:multiLevelType w:val="hybridMultilevel"/>
    <w:tmpl w:val="C810A986"/>
    <w:lvl w:ilvl="0" w:tplc="7B1A2624">
      <w:start w:val="1"/>
      <w:numFmt w:val="bullet"/>
      <w:lvlText w:val="»"/>
      <w:lvlJc w:val="left"/>
      <w:pPr>
        <w:ind w:left="360" w:hanging="360"/>
      </w:pPr>
      <w:rPr>
        <w:rFonts w:ascii="Times New Roman" w:hAnsi="Times New Roman" w:cs="Times New Roman" w:hint="default"/>
        <w:color w:val="FF6A40" w:themeColor="accent1"/>
        <w:sz w:val="21"/>
      </w:rPr>
    </w:lvl>
    <w:lvl w:ilvl="1" w:tplc="47EA68FC">
      <w:start w:val="1"/>
      <w:numFmt w:val="bullet"/>
      <w:lvlText w:val=""/>
      <w:lvlJc w:val="left"/>
      <w:pPr>
        <w:ind w:left="1080" w:hanging="360"/>
      </w:pPr>
      <w:rPr>
        <w:rFonts w:ascii="Symbol" w:hAnsi="Symbol" w:hint="default"/>
        <w:color w:val="FF6A40" w:themeColor="accent1"/>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2E37C9E"/>
    <w:multiLevelType w:val="hybridMultilevel"/>
    <w:tmpl w:val="241CD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7510BE"/>
    <w:multiLevelType w:val="hybridMultilevel"/>
    <w:tmpl w:val="B4C2F18C"/>
    <w:lvl w:ilvl="0" w:tplc="0809000F">
      <w:start w:val="1"/>
      <w:numFmt w:val="decimal"/>
      <w:lvlText w:val="%1."/>
      <w:lvlJc w:val="left"/>
      <w:pPr>
        <w:ind w:left="363" w:hanging="360"/>
      </w:pPr>
      <w:rPr>
        <w:rFonts w:hint="default"/>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17" w15:restartNumberingAfterBreak="0">
    <w:nsid w:val="36EF3A56"/>
    <w:multiLevelType w:val="hybridMultilevel"/>
    <w:tmpl w:val="3C6E91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A2D0886"/>
    <w:multiLevelType w:val="hybridMultilevel"/>
    <w:tmpl w:val="232828B6"/>
    <w:lvl w:ilvl="0" w:tplc="23D616AE">
      <w:start w:val="1"/>
      <w:numFmt w:val="decimal"/>
      <w:lvlText w:val="%1."/>
      <w:lvlJc w:val="left"/>
      <w:pPr>
        <w:ind w:left="740" w:hanging="360"/>
      </w:pPr>
      <w:rPr>
        <w:rFonts w:ascii="Times New Roman" w:hAnsi="Times New Roman" w:hint="default"/>
        <w:b/>
        <w:bCs/>
        <w:color w:val="auto"/>
        <w:sz w:val="24"/>
        <w:szCs w:val="28"/>
      </w:rPr>
    </w:lvl>
    <w:lvl w:ilvl="1" w:tplc="0C090019" w:tentative="1">
      <w:start w:val="1"/>
      <w:numFmt w:val="lowerLetter"/>
      <w:lvlText w:val="%2."/>
      <w:lvlJc w:val="left"/>
      <w:pPr>
        <w:ind w:left="1460" w:hanging="360"/>
      </w:pPr>
    </w:lvl>
    <w:lvl w:ilvl="2" w:tplc="0C09001B" w:tentative="1">
      <w:start w:val="1"/>
      <w:numFmt w:val="lowerRoman"/>
      <w:lvlText w:val="%3."/>
      <w:lvlJc w:val="right"/>
      <w:pPr>
        <w:ind w:left="2180" w:hanging="180"/>
      </w:pPr>
    </w:lvl>
    <w:lvl w:ilvl="3" w:tplc="0C09000F" w:tentative="1">
      <w:start w:val="1"/>
      <w:numFmt w:val="decimal"/>
      <w:lvlText w:val="%4."/>
      <w:lvlJc w:val="left"/>
      <w:pPr>
        <w:ind w:left="2900" w:hanging="360"/>
      </w:pPr>
    </w:lvl>
    <w:lvl w:ilvl="4" w:tplc="0C090019" w:tentative="1">
      <w:start w:val="1"/>
      <w:numFmt w:val="lowerLetter"/>
      <w:lvlText w:val="%5."/>
      <w:lvlJc w:val="left"/>
      <w:pPr>
        <w:ind w:left="3620" w:hanging="360"/>
      </w:pPr>
    </w:lvl>
    <w:lvl w:ilvl="5" w:tplc="0C09001B" w:tentative="1">
      <w:start w:val="1"/>
      <w:numFmt w:val="lowerRoman"/>
      <w:lvlText w:val="%6."/>
      <w:lvlJc w:val="right"/>
      <w:pPr>
        <w:ind w:left="4340" w:hanging="180"/>
      </w:pPr>
    </w:lvl>
    <w:lvl w:ilvl="6" w:tplc="0C09000F" w:tentative="1">
      <w:start w:val="1"/>
      <w:numFmt w:val="decimal"/>
      <w:lvlText w:val="%7."/>
      <w:lvlJc w:val="left"/>
      <w:pPr>
        <w:ind w:left="5060" w:hanging="360"/>
      </w:pPr>
    </w:lvl>
    <w:lvl w:ilvl="7" w:tplc="0C090019" w:tentative="1">
      <w:start w:val="1"/>
      <w:numFmt w:val="lowerLetter"/>
      <w:lvlText w:val="%8."/>
      <w:lvlJc w:val="left"/>
      <w:pPr>
        <w:ind w:left="5780" w:hanging="360"/>
      </w:pPr>
    </w:lvl>
    <w:lvl w:ilvl="8" w:tplc="0C09001B" w:tentative="1">
      <w:start w:val="1"/>
      <w:numFmt w:val="lowerRoman"/>
      <w:lvlText w:val="%9."/>
      <w:lvlJc w:val="right"/>
      <w:pPr>
        <w:ind w:left="6500" w:hanging="180"/>
      </w:pPr>
    </w:lvl>
  </w:abstractNum>
  <w:abstractNum w:abstractNumId="19" w15:restartNumberingAfterBreak="0">
    <w:nsid w:val="3E044F6F"/>
    <w:multiLevelType w:val="hybridMultilevel"/>
    <w:tmpl w:val="1860735A"/>
    <w:lvl w:ilvl="0" w:tplc="9266D522">
      <w:start w:val="1"/>
      <w:numFmt w:val="decimal"/>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AA3760"/>
    <w:multiLevelType w:val="hybridMultilevel"/>
    <w:tmpl w:val="2D2AFCDC"/>
    <w:lvl w:ilvl="0" w:tplc="3340A240">
      <w:start w:val="1"/>
      <w:numFmt w:val="bullet"/>
      <w:lvlText w:val="•"/>
      <w:lvlJc w:val="left"/>
      <w:pPr>
        <w:tabs>
          <w:tab w:val="num" w:pos="720"/>
        </w:tabs>
        <w:ind w:left="720" w:hanging="360"/>
      </w:pPr>
      <w:rPr>
        <w:rFonts w:ascii="Arial" w:hAnsi="Arial" w:hint="default"/>
      </w:rPr>
    </w:lvl>
    <w:lvl w:ilvl="1" w:tplc="E7E6E640">
      <w:start w:val="1"/>
      <w:numFmt w:val="bullet"/>
      <w:lvlText w:val="•"/>
      <w:lvlJc w:val="left"/>
      <w:pPr>
        <w:tabs>
          <w:tab w:val="num" w:pos="1440"/>
        </w:tabs>
        <w:ind w:left="1440" w:hanging="360"/>
      </w:pPr>
      <w:rPr>
        <w:rFonts w:ascii="Arial" w:hAnsi="Arial" w:hint="default"/>
      </w:rPr>
    </w:lvl>
    <w:lvl w:ilvl="2" w:tplc="AD5C0CE8" w:tentative="1">
      <w:start w:val="1"/>
      <w:numFmt w:val="bullet"/>
      <w:lvlText w:val="•"/>
      <w:lvlJc w:val="left"/>
      <w:pPr>
        <w:tabs>
          <w:tab w:val="num" w:pos="2160"/>
        </w:tabs>
        <w:ind w:left="2160" w:hanging="360"/>
      </w:pPr>
      <w:rPr>
        <w:rFonts w:ascii="Arial" w:hAnsi="Arial" w:hint="default"/>
      </w:rPr>
    </w:lvl>
    <w:lvl w:ilvl="3" w:tplc="8928538C" w:tentative="1">
      <w:start w:val="1"/>
      <w:numFmt w:val="bullet"/>
      <w:lvlText w:val="•"/>
      <w:lvlJc w:val="left"/>
      <w:pPr>
        <w:tabs>
          <w:tab w:val="num" w:pos="2880"/>
        </w:tabs>
        <w:ind w:left="2880" w:hanging="360"/>
      </w:pPr>
      <w:rPr>
        <w:rFonts w:ascii="Arial" w:hAnsi="Arial" w:hint="default"/>
      </w:rPr>
    </w:lvl>
    <w:lvl w:ilvl="4" w:tplc="7C24D2D0" w:tentative="1">
      <w:start w:val="1"/>
      <w:numFmt w:val="bullet"/>
      <w:lvlText w:val="•"/>
      <w:lvlJc w:val="left"/>
      <w:pPr>
        <w:tabs>
          <w:tab w:val="num" w:pos="3600"/>
        </w:tabs>
        <w:ind w:left="3600" w:hanging="360"/>
      </w:pPr>
      <w:rPr>
        <w:rFonts w:ascii="Arial" w:hAnsi="Arial" w:hint="default"/>
      </w:rPr>
    </w:lvl>
    <w:lvl w:ilvl="5" w:tplc="18C0D84A" w:tentative="1">
      <w:start w:val="1"/>
      <w:numFmt w:val="bullet"/>
      <w:lvlText w:val="•"/>
      <w:lvlJc w:val="left"/>
      <w:pPr>
        <w:tabs>
          <w:tab w:val="num" w:pos="4320"/>
        </w:tabs>
        <w:ind w:left="4320" w:hanging="360"/>
      </w:pPr>
      <w:rPr>
        <w:rFonts w:ascii="Arial" w:hAnsi="Arial" w:hint="default"/>
      </w:rPr>
    </w:lvl>
    <w:lvl w:ilvl="6" w:tplc="2C34499C" w:tentative="1">
      <w:start w:val="1"/>
      <w:numFmt w:val="bullet"/>
      <w:lvlText w:val="•"/>
      <w:lvlJc w:val="left"/>
      <w:pPr>
        <w:tabs>
          <w:tab w:val="num" w:pos="5040"/>
        </w:tabs>
        <w:ind w:left="5040" w:hanging="360"/>
      </w:pPr>
      <w:rPr>
        <w:rFonts w:ascii="Arial" w:hAnsi="Arial" w:hint="default"/>
      </w:rPr>
    </w:lvl>
    <w:lvl w:ilvl="7" w:tplc="3B8CCB12" w:tentative="1">
      <w:start w:val="1"/>
      <w:numFmt w:val="bullet"/>
      <w:lvlText w:val="•"/>
      <w:lvlJc w:val="left"/>
      <w:pPr>
        <w:tabs>
          <w:tab w:val="num" w:pos="5760"/>
        </w:tabs>
        <w:ind w:left="5760" w:hanging="360"/>
      </w:pPr>
      <w:rPr>
        <w:rFonts w:ascii="Arial" w:hAnsi="Arial" w:hint="default"/>
      </w:rPr>
    </w:lvl>
    <w:lvl w:ilvl="8" w:tplc="FF7AAEF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ED6673E"/>
    <w:multiLevelType w:val="hybridMultilevel"/>
    <w:tmpl w:val="F9CA848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C93DE4"/>
    <w:multiLevelType w:val="hybridMultilevel"/>
    <w:tmpl w:val="29282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1E6FB3"/>
    <w:multiLevelType w:val="hybridMultilevel"/>
    <w:tmpl w:val="DCC29CBC"/>
    <w:lvl w:ilvl="0" w:tplc="C9540E9A">
      <w:start w:val="1"/>
      <w:numFmt w:val="bullet"/>
      <w:pStyle w:val="Bullet1"/>
      <w:lvlText w:val="»"/>
      <w:lvlJc w:val="left"/>
      <w:pPr>
        <w:ind w:left="740" w:hanging="360"/>
      </w:pPr>
      <w:rPr>
        <w:rFonts w:ascii="Times New Roman" w:hAnsi="Times New Roman" w:hint="default"/>
        <w:sz w:val="21"/>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24" w15:restartNumberingAfterBreak="0">
    <w:nsid w:val="436705DE"/>
    <w:multiLevelType w:val="hybridMultilevel"/>
    <w:tmpl w:val="92180DFC"/>
    <w:lvl w:ilvl="0" w:tplc="0C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5" w15:restartNumberingAfterBreak="0">
    <w:nsid w:val="44B05BD4"/>
    <w:multiLevelType w:val="hybridMultilevel"/>
    <w:tmpl w:val="3D3EBE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84D04A6"/>
    <w:multiLevelType w:val="hybridMultilevel"/>
    <w:tmpl w:val="5E3A4BF4"/>
    <w:lvl w:ilvl="0" w:tplc="7A54813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9D423A"/>
    <w:multiLevelType w:val="hybridMultilevel"/>
    <w:tmpl w:val="7C3460B6"/>
    <w:lvl w:ilvl="0" w:tplc="8A1AB2CA">
      <w:start w:val="1"/>
      <w:numFmt w:val="bullet"/>
      <w:lvlText w:val=""/>
      <w:lvlJc w:val="left"/>
      <w:pPr>
        <w:ind w:left="340" w:hanging="340"/>
      </w:pPr>
      <w:rPr>
        <w:rFonts w:ascii="Symbol" w:hAnsi="Symbol" w:hint="default"/>
      </w:rPr>
    </w:lvl>
    <w:lvl w:ilvl="1" w:tplc="71F2F0F6">
      <w:start w:val="1"/>
      <w:numFmt w:val="bullet"/>
      <w:lvlText w:val="–"/>
      <w:lvlJc w:val="left"/>
      <w:pPr>
        <w:ind w:left="680" w:hanging="340"/>
      </w:pPr>
      <w:rPr>
        <w:rFonts w:ascii="Calibri" w:hAnsi="Calibri" w:hint="default"/>
      </w:rPr>
    </w:lvl>
    <w:lvl w:ilvl="2" w:tplc="9320A9D0">
      <w:start w:val="1"/>
      <w:numFmt w:val="bullet"/>
      <w:lvlText w:val=""/>
      <w:lvlJc w:val="left"/>
      <w:pPr>
        <w:ind w:left="1021" w:hanging="341"/>
      </w:pPr>
      <w:rPr>
        <w:rFonts w:ascii="Symbol" w:hAnsi="Symbol" w:hint="default"/>
      </w:rPr>
    </w:lvl>
    <w:lvl w:ilvl="3" w:tplc="0226EF34">
      <w:start w:val="1"/>
      <w:numFmt w:val="bullet"/>
      <w:lvlText w:val="–"/>
      <w:lvlJc w:val="left"/>
      <w:pPr>
        <w:ind w:left="1361" w:hanging="340"/>
      </w:pPr>
      <w:rPr>
        <w:rFonts w:ascii="Times New Roman" w:hAnsi="Times New Roman" w:cs="Times New Roman" w:hint="default"/>
      </w:rPr>
    </w:lvl>
    <w:lvl w:ilvl="4" w:tplc="5BD221DC">
      <w:start w:val="1"/>
      <w:numFmt w:val="bullet"/>
      <w:lvlText w:val="o"/>
      <w:lvlJc w:val="left"/>
      <w:pPr>
        <w:ind w:left="3600" w:hanging="360"/>
      </w:pPr>
      <w:rPr>
        <w:rFonts w:ascii="Courier New" w:hAnsi="Courier New" w:cs="Courier New" w:hint="default"/>
      </w:rPr>
    </w:lvl>
    <w:lvl w:ilvl="5" w:tplc="5A74704C">
      <w:start w:val="1"/>
      <w:numFmt w:val="bullet"/>
      <w:lvlText w:val=""/>
      <w:lvlJc w:val="left"/>
      <w:pPr>
        <w:ind w:left="4320" w:hanging="360"/>
      </w:pPr>
      <w:rPr>
        <w:rFonts w:ascii="Wingdings" w:hAnsi="Wingdings" w:hint="default"/>
      </w:rPr>
    </w:lvl>
    <w:lvl w:ilvl="6" w:tplc="9F2E46AE">
      <w:start w:val="1"/>
      <w:numFmt w:val="bullet"/>
      <w:lvlText w:val=""/>
      <w:lvlJc w:val="left"/>
      <w:pPr>
        <w:ind w:left="5040" w:hanging="360"/>
      </w:pPr>
      <w:rPr>
        <w:rFonts w:ascii="Symbol" w:hAnsi="Symbol" w:hint="default"/>
      </w:rPr>
    </w:lvl>
    <w:lvl w:ilvl="7" w:tplc="DCE60B5C">
      <w:start w:val="1"/>
      <w:numFmt w:val="bullet"/>
      <w:lvlText w:val="o"/>
      <w:lvlJc w:val="left"/>
      <w:pPr>
        <w:ind w:left="5760" w:hanging="360"/>
      </w:pPr>
      <w:rPr>
        <w:rFonts w:ascii="Courier New" w:hAnsi="Courier New" w:cs="Courier New" w:hint="default"/>
      </w:rPr>
    </w:lvl>
    <w:lvl w:ilvl="8" w:tplc="31A86F94">
      <w:start w:val="1"/>
      <w:numFmt w:val="bullet"/>
      <w:lvlText w:val=""/>
      <w:lvlJc w:val="left"/>
      <w:pPr>
        <w:ind w:left="6480" w:hanging="360"/>
      </w:pPr>
      <w:rPr>
        <w:rFonts w:ascii="Wingdings" w:hAnsi="Wingdings" w:hint="default"/>
      </w:rPr>
    </w:lvl>
  </w:abstractNum>
  <w:abstractNum w:abstractNumId="28" w15:restartNumberingAfterBreak="0">
    <w:nsid w:val="4A9E485E"/>
    <w:multiLevelType w:val="hybridMultilevel"/>
    <w:tmpl w:val="03E4B7F8"/>
    <w:lvl w:ilvl="0" w:tplc="751E8818">
      <w:start w:val="5"/>
      <w:numFmt w:val="decimal"/>
      <w:lvlText w:val="%1."/>
      <w:lvlJc w:val="left"/>
      <w:pPr>
        <w:ind w:left="380" w:hanging="360"/>
      </w:pPr>
      <w:rPr>
        <w:rFonts w:hint="default"/>
      </w:rPr>
    </w:lvl>
    <w:lvl w:ilvl="1" w:tplc="0C090019" w:tentative="1">
      <w:start w:val="1"/>
      <w:numFmt w:val="lowerLetter"/>
      <w:lvlText w:val="%2."/>
      <w:lvlJc w:val="left"/>
      <w:pPr>
        <w:ind w:left="1100" w:hanging="360"/>
      </w:pPr>
    </w:lvl>
    <w:lvl w:ilvl="2" w:tplc="0C09001B" w:tentative="1">
      <w:start w:val="1"/>
      <w:numFmt w:val="lowerRoman"/>
      <w:lvlText w:val="%3."/>
      <w:lvlJc w:val="right"/>
      <w:pPr>
        <w:ind w:left="1820" w:hanging="180"/>
      </w:pPr>
    </w:lvl>
    <w:lvl w:ilvl="3" w:tplc="0C09000F" w:tentative="1">
      <w:start w:val="1"/>
      <w:numFmt w:val="decimal"/>
      <w:lvlText w:val="%4."/>
      <w:lvlJc w:val="left"/>
      <w:pPr>
        <w:ind w:left="2540" w:hanging="360"/>
      </w:pPr>
    </w:lvl>
    <w:lvl w:ilvl="4" w:tplc="0C090019" w:tentative="1">
      <w:start w:val="1"/>
      <w:numFmt w:val="lowerLetter"/>
      <w:lvlText w:val="%5."/>
      <w:lvlJc w:val="left"/>
      <w:pPr>
        <w:ind w:left="3260" w:hanging="360"/>
      </w:pPr>
    </w:lvl>
    <w:lvl w:ilvl="5" w:tplc="0C09001B" w:tentative="1">
      <w:start w:val="1"/>
      <w:numFmt w:val="lowerRoman"/>
      <w:lvlText w:val="%6."/>
      <w:lvlJc w:val="right"/>
      <w:pPr>
        <w:ind w:left="3980" w:hanging="180"/>
      </w:pPr>
    </w:lvl>
    <w:lvl w:ilvl="6" w:tplc="0C09000F" w:tentative="1">
      <w:start w:val="1"/>
      <w:numFmt w:val="decimal"/>
      <w:lvlText w:val="%7."/>
      <w:lvlJc w:val="left"/>
      <w:pPr>
        <w:ind w:left="4700" w:hanging="360"/>
      </w:pPr>
    </w:lvl>
    <w:lvl w:ilvl="7" w:tplc="0C090019" w:tentative="1">
      <w:start w:val="1"/>
      <w:numFmt w:val="lowerLetter"/>
      <w:lvlText w:val="%8."/>
      <w:lvlJc w:val="left"/>
      <w:pPr>
        <w:ind w:left="5420" w:hanging="360"/>
      </w:pPr>
    </w:lvl>
    <w:lvl w:ilvl="8" w:tplc="0C09001B" w:tentative="1">
      <w:start w:val="1"/>
      <w:numFmt w:val="lowerRoman"/>
      <w:lvlText w:val="%9."/>
      <w:lvlJc w:val="right"/>
      <w:pPr>
        <w:ind w:left="6140" w:hanging="180"/>
      </w:pPr>
    </w:lvl>
  </w:abstractNum>
  <w:abstractNum w:abstractNumId="29" w15:restartNumberingAfterBreak="0">
    <w:nsid w:val="4D23014F"/>
    <w:multiLevelType w:val="hybridMultilevel"/>
    <w:tmpl w:val="A546F7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EAD7ACF"/>
    <w:multiLevelType w:val="hybridMultilevel"/>
    <w:tmpl w:val="5FDCF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2F3744"/>
    <w:multiLevelType w:val="hybridMultilevel"/>
    <w:tmpl w:val="BDB8D16C"/>
    <w:lvl w:ilvl="0" w:tplc="7B1A2624">
      <w:start w:val="1"/>
      <w:numFmt w:val="bullet"/>
      <w:lvlText w:val="»"/>
      <w:lvlJc w:val="left"/>
      <w:pPr>
        <w:ind w:left="380" w:hanging="360"/>
      </w:pPr>
      <w:rPr>
        <w:rFonts w:ascii="Times New Roman" w:hAnsi="Times New Roman" w:cs="Times New Roman" w:hint="default"/>
        <w:color w:val="FF6A40" w:themeColor="accent1"/>
        <w:sz w:val="21"/>
      </w:rPr>
    </w:lvl>
    <w:lvl w:ilvl="1" w:tplc="0C090003" w:tentative="1">
      <w:start w:val="1"/>
      <w:numFmt w:val="bullet"/>
      <w:lvlText w:val="o"/>
      <w:lvlJc w:val="left"/>
      <w:pPr>
        <w:ind w:left="1100" w:hanging="360"/>
      </w:pPr>
      <w:rPr>
        <w:rFonts w:ascii="Courier New" w:hAnsi="Courier New" w:cs="Courier New" w:hint="default"/>
      </w:rPr>
    </w:lvl>
    <w:lvl w:ilvl="2" w:tplc="0C090005" w:tentative="1">
      <w:start w:val="1"/>
      <w:numFmt w:val="bullet"/>
      <w:lvlText w:val=""/>
      <w:lvlJc w:val="left"/>
      <w:pPr>
        <w:ind w:left="1820" w:hanging="360"/>
      </w:pPr>
      <w:rPr>
        <w:rFonts w:ascii="Wingdings" w:hAnsi="Wingdings" w:hint="default"/>
      </w:rPr>
    </w:lvl>
    <w:lvl w:ilvl="3" w:tplc="0C090001" w:tentative="1">
      <w:start w:val="1"/>
      <w:numFmt w:val="bullet"/>
      <w:lvlText w:val=""/>
      <w:lvlJc w:val="left"/>
      <w:pPr>
        <w:ind w:left="2540" w:hanging="360"/>
      </w:pPr>
      <w:rPr>
        <w:rFonts w:ascii="Symbol" w:hAnsi="Symbol" w:hint="default"/>
      </w:rPr>
    </w:lvl>
    <w:lvl w:ilvl="4" w:tplc="0C090003" w:tentative="1">
      <w:start w:val="1"/>
      <w:numFmt w:val="bullet"/>
      <w:lvlText w:val="o"/>
      <w:lvlJc w:val="left"/>
      <w:pPr>
        <w:ind w:left="3260" w:hanging="360"/>
      </w:pPr>
      <w:rPr>
        <w:rFonts w:ascii="Courier New" w:hAnsi="Courier New" w:cs="Courier New" w:hint="default"/>
      </w:rPr>
    </w:lvl>
    <w:lvl w:ilvl="5" w:tplc="0C090005" w:tentative="1">
      <w:start w:val="1"/>
      <w:numFmt w:val="bullet"/>
      <w:lvlText w:val=""/>
      <w:lvlJc w:val="left"/>
      <w:pPr>
        <w:ind w:left="3980" w:hanging="360"/>
      </w:pPr>
      <w:rPr>
        <w:rFonts w:ascii="Wingdings" w:hAnsi="Wingdings" w:hint="default"/>
      </w:rPr>
    </w:lvl>
    <w:lvl w:ilvl="6" w:tplc="0C090001" w:tentative="1">
      <w:start w:val="1"/>
      <w:numFmt w:val="bullet"/>
      <w:lvlText w:val=""/>
      <w:lvlJc w:val="left"/>
      <w:pPr>
        <w:ind w:left="4700" w:hanging="360"/>
      </w:pPr>
      <w:rPr>
        <w:rFonts w:ascii="Symbol" w:hAnsi="Symbol" w:hint="default"/>
      </w:rPr>
    </w:lvl>
    <w:lvl w:ilvl="7" w:tplc="0C090003" w:tentative="1">
      <w:start w:val="1"/>
      <w:numFmt w:val="bullet"/>
      <w:lvlText w:val="o"/>
      <w:lvlJc w:val="left"/>
      <w:pPr>
        <w:ind w:left="5420" w:hanging="360"/>
      </w:pPr>
      <w:rPr>
        <w:rFonts w:ascii="Courier New" w:hAnsi="Courier New" w:cs="Courier New" w:hint="default"/>
      </w:rPr>
    </w:lvl>
    <w:lvl w:ilvl="8" w:tplc="0C090005" w:tentative="1">
      <w:start w:val="1"/>
      <w:numFmt w:val="bullet"/>
      <w:lvlText w:val=""/>
      <w:lvlJc w:val="left"/>
      <w:pPr>
        <w:ind w:left="6140" w:hanging="360"/>
      </w:pPr>
      <w:rPr>
        <w:rFonts w:ascii="Wingdings" w:hAnsi="Wingdings" w:hint="default"/>
      </w:rPr>
    </w:lvl>
  </w:abstractNum>
  <w:abstractNum w:abstractNumId="32" w15:restartNumberingAfterBreak="0">
    <w:nsid w:val="52776DF7"/>
    <w:multiLevelType w:val="hybridMultilevel"/>
    <w:tmpl w:val="D6BA5BB0"/>
    <w:lvl w:ilvl="0" w:tplc="180490A4">
      <w:start w:val="1"/>
      <w:numFmt w:val="bullet"/>
      <w:lvlText w:val="»"/>
      <w:lvlJc w:val="left"/>
      <w:pPr>
        <w:ind w:left="740" w:hanging="360"/>
      </w:pPr>
      <w:rPr>
        <w:rFonts w:ascii="Times New Roman" w:hAnsi="Times New Roman" w:cs="Times New Roman" w:hint="default"/>
        <w:sz w:val="21"/>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33" w15:restartNumberingAfterBreak="0">
    <w:nsid w:val="53482739"/>
    <w:multiLevelType w:val="hybridMultilevel"/>
    <w:tmpl w:val="E9C490E8"/>
    <w:lvl w:ilvl="0" w:tplc="7B1A2624">
      <w:start w:val="1"/>
      <w:numFmt w:val="bullet"/>
      <w:lvlText w:val="»"/>
      <w:lvlJc w:val="left"/>
      <w:pPr>
        <w:ind w:left="380" w:hanging="360"/>
      </w:pPr>
      <w:rPr>
        <w:rFonts w:ascii="Times New Roman" w:hAnsi="Times New Roman" w:cs="Times New Roman" w:hint="default"/>
        <w:color w:val="FF6A40" w:themeColor="accent1"/>
        <w:sz w:val="21"/>
      </w:rPr>
    </w:lvl>
    <w:lvl w:ilvl="1" w:tplc="0C090003" w:tentative="1">
      <w:start w:val="1"/>
      <w:numFmt w:val="bullet"/>
      <w:lvlText w:val="o"/>
      <w:lvlJc w:val="left"/>
      <w:pPr>
        <w:ind w:left="1100" w:hanging="360"/>
      </w:pPr>
      <w:rPr>
        <w:rFonts w:ascii="Courier New" w:hAnsi="Courier New" w:cs="Courier New" w:hint="default"/>
      </w:rPr>
    </w:lvl>
    <w:lvl w:ilvl="2" w:tplc="0C090005" w:tentative="1">
      <w:start w:val="1"/>
      <w:numFmt w:val="bullet"/>
      <w:lvlText w:val=""/>
      <w:lvlJc w:val="left"/>
      <w:pPr>
        <w:ind w:left="1820" w:hanging="360"/>
      </w:pPr>
      <w:rPr>
        <w:rFonts w:ascii="Wingdings" w:hAnsi="Wingdings" w:hint="default"/>
      </w:rPr>
    </w:lvl>
    <w:lvl w:ilvl="3" w:tplc="0C090001" w:tentative="1">
      <w:start w:val="1"/>
      <w:numFmt w:val="bullet"/>
      <w:lvlText w:val=""/>
      <w:lvlJc w:val="left"/>
      <w:pPr>
        <w:ind w:left="2540" w:hanging="360"/>
      </w:pPr>
      <w:rPr>
        <w:rFonts w:ascii="Symbol" w:hAnsi="Symbol" w:hint="default"/>
      </w:rPr>
    </w:lvl>
    <w:lvl w:ilvl="4" w:tplc="0C090003" w:tentative="1">
      <w:start w:val="1"/>
      <w:numFmt w:val="bullet"/>
      <w:lvlText w:val="o"/>
      <w:lvlJc w:val="left"/>
      <w:pPr>
        <w:ind w:left="3260" w:hanging="360"/>
      </w:pPr>
      <w:rPr>
        <w:rFonts w:ascii="Courier New" w:hAnsi="Courier New" w:cs="Courier New" w:hint="default"/>
      </w:rPr>
    </w:lvl>
    <w:lvl w:ilvl="5" w:tplc="0C090005" w:tentative="1">
      <w:start w:val="1"/>
      <w:numFmt w:val="bullet"/>
      <w:lvlText w:val=""/>
      <w:lvlJc w:val="left"/>
      <w:pPr>
        <w:ind w:left="3980" w:hanging="360"/>
      </w:pPr>
      <w:rPr>
        <w:rFonts w:ascii="Wingdings" w:hAnsi="Wingdings" w:hint="default"/>
      </w:rPr>
    </w:lvl>
    <w:lvl w:ilvl="6" w:tplc="0C090001" w:tentative="1">
      <w:start w:val="1"/>
      <w:numFmt w:val="bullet"/>
      <w:lvlText w:val=""/>
      <w:lvlJc w:val="left"/>
      <w:pPr>
        <w:ind w:left="4700" w:hanging="360"/>
      </w:pPr>
      <w:rPr>
        <w:rFonts w:ascii="Symbol" w:hAnsi="Symbol" w:hint="default"/>
      </w:rPr>
    </w:lvl>
    <w:lvl w:ilvl="7" w:tplc="0C090003" w:tentative="1">
      <w:start w:val="1"/>
      <w:numFmt w:val="bullet"/>
      <w:lvlText w:val="o"/>
      <w:lvlJc w:val="left"/>
      <w:pPr>
        <w:ind w:left="5420" w:hanging="360"/>
      </w:pPr>
      <w:rPr>
        <w:rFonts w:ascii="Courier New" w:hAnsi="Courier New" w:cs="Courier New" w:hint="default"/>
      </w:rPr>
    </w:lvl>
    <w:lvl w:ilvl="8" w:tplc="0C090005" w:tentative="1">
      <w:start w:val="1"/>
      <w:numFmt w:val="bullet"/>
      <w:lvlText w:val=""/>
      <w:lvlJc w:val="left"/>
      <w:pPr>
        <w:ind w:left="6140" w:hanging="360"/>
      </w:pPr>
      <w:rPr>
        <w:rFonts w:ascii="Wingdings" w:hAnsi="Wingdings" w:hint="default"/>
      </w:rPr>
    </w:lvl>
  </w:abstractNum>
  <w:abstractNum w:abstractNumId="34" w15:restartNumberingAfterBreak="0">
    <w:nsid w:val="55F55261"/>
    <w:multiLevelType w:val="hybridMultilevel"/>
    <w:tmpl w:val="DDA489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8602663"/>
    <w:multiLevelType w:val="hybridMultilevel"/>
    <w:tmpl w:val="CE44923E"/>
    <w:lvl w:ilvl="0" w:tplc="C366B750">
      <w:start w:val="1"/>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92F2DA3"/>
    <w:multiLevelType w:val="hybridMultilevel"/>
    <w:tmpl w:val="1FD454A4"/>
    <w:lvl w:ilvl="0" w:tplc="9BEE8A50">
      <w:start w:val="1"/>
      <w:numFmt w:val="bullet"/>
      <w:lvlText w:val="•"/>
      <w:lvlJc w:val="left"/>
      <w:pPr>
        <w:tabs>
          <w:tab w:val="num" w:pos="720"/>
        </w:tabs>
        <w:ind w:left="720" w:hanging="360"/>
      </w:pPr>
      <w:rPr>
        <w:rFonts w:ascii="Arial" w:hAnsi="Arial" w:hint="default"/>
      </w:rPr>
    </w:lvl>
    <w:lvl w:ilvl="1" w:tplc="C868BF5A">
      <w:numFmt w:val="bullet"/>
      <w:lvlText w:val="•"/>
      <w:lvlJc w:val="left"/>
      <w:pPr>
        <w:tabs>
          <w:tab w:val="num" w:pos="1440"/>
        </w:tabs>
        <w:ind w:left="1440" w:hanging="360"/>
      </w:pPr>
      <w:rPr>
        <w:rFonts w:ascii="Arial" w:hAnsi="Arial" w:hint="default"/>
      </w:rPr>
    </w:lvl>
    <w:lvl w:ilvl="2" w:tplc="6324C2C0" w:tentative="1">
      <w:start w:val="1"/>
      <w:numFmt w:val="bullet"/>
      <w:lvlText w:val="•"/>
      <w:lvlJc w:val="left"/>
      <w:pPr>
        <w:tabs>
          <w:tab w:val="num" w:pos="2160"/>
        </w:tabs>
        <w:ind w:left="2160" w:hanging="360"/>
      </w:pPr>
      <w:rPr>
        <w:rFonts w:ascii="Arial" w:hAnsi="Arial" w:hint="default"/>
      </w:rPr>
    </w:lvl>
    <w:lvl w:ilvl="3" w:tplc="CF56CFAC" w:tentative="1">
      <w:start w:val="1"/>
      <w:numFmt w:val="bullet"/>
      <w:lvlText w:val="•"/>
      <w:lvlJc w:val="left"/>
      <w:pPr>
        <w:tabs>
          <w:tab w:val="num" w:pos="2880"/>
        </w:tabs>
        <w:ind w:left="2880" w:hanging="360"/>
      </w:pPr>
      <w:rPr>
        <w:rFonts w:ascii="Arial" w:hAnsi="Arial" w:hint="default"/>
      </w:rPr>
    </w:lvl>
    <w:lvl w:ilvl="4" w:tplc="716C9AA6" w:tentative="1">
      <w:start w:val="1"/>
      <w:numFmt w:val="bullet"/>
      <w:lvlText w:val="•"/>
      <w:lvlJc w:val="left"/>
      <w:pPr>
        <w:tabs>
          <w:tab w:val="num" w:pos="3600"/>
        </w:tabs>
        <w:ind w:left="3600" w:hanging="360"/>
      </w:pPr>
      <w:rPr>
        <w:rFonts w:ascii="Arial" w:hAnsi="Arial" w:hint="default"/>
      </w:rPr>
    </w:lvl>
    <w:lvl w:ilvl="5" w:tplc="67CC5634" w:tentative="1">
      <w:start w:val="1"/>
      <w:numFmt w:val="bullet"/>
      <w:lvlText w:val="•"/>
      <w:lvlJc w:val="left"/>
      <w:pPr>
        <w:tabs>
          <w:tab w:val="num" w:pos="4320"/>
        </w:tabs>
        <w:ind w:left="4320" w:hanging="360"/>
      </w:pPr>
      <w:rPr>
        <w:rFonts w:ascii="Arial" w:hAnsi="Arial" w:hint="default"/>
      </w:rPr>
    </w:lvl>
    <w:lvl w:ilvl="6" w:tplc="729C2E50" w:tentative="1">
      <w:start w:val="1"/>
      <w:numFmt w:val="bullet"/>
      <w:lvlText w:val="•"/>
      <w:lvlJc w:val="left"/>
      <w:pPr>
        <w:tabs>
          <w:tab w:val="num" w:pos="5040"/>
        </w:tabs>
        <w:ind w:left="5040" w:hanging="360"/>
      </w:pPr>
      <w:rPr>
        <w:rFonts w:ascii="Arial" w:hAnsi="Arial" w:hint="default"/>
      </w:rPr>
    </w:lvl>
    <w:lvl w:ilvl="7" w:tplc="3112F282" w:tentative="1">
      <w:start w:val="1"/>
      <w:numFmt w:val="bullet"/>
      <w:lvlText w:val="•"/>
      <w:lvlJc w:val="left"/>
      <w:pPr>
        <w:tabs>
          <w:tab w:val="num" w:pos="5760"/>
        </w:tabs>
        <w:ind w:left="5760" w:hanging="360"/>
      </w:pPr>
      <w:rPr>
        <w:rFonts w:ascii="Arial" w:hAnsi="Arial" w:hint="default"/>
      </w:rPr>
    </w:lvl>
    <w:lvl w:ilvl="8" w:tplc="2F9830C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C143293"/>
    <w:multiLevelType w:val="hybridMultilevel"/>
    <w:tmpl w:val="7C3460B6"/>
    <w:lvl w:ilvl="0" w:tplc="591CE110">
      <w:start w:val="1"/>
      <w:numFmt w:val="bullet"/>
      <w:pStyle w:val="ListBullet"/>
      <w:lvlText w:val=""/>
      <w:lvlJc w:val="left"/>
      <w:pPr>
        <w:ind w:left="340" w:hanging="340"/>
      </w:pPr>
      <w:rPr>
        <w:rFonts w:ascii="Symbol" w:hAnsi="Symbol" w:hint="default"/>
      </w:rPr>
    </w:lvl>
    <w:lvl w:ilvl="1" w:tplc="A93E50BC">
      <w:start w:val="1"/>
      <w:numFmt w:val="bullet"/>
      <w:pStyle w:val="ListBullet2"/>
      <w:lvlText w:val="–"/>
      <w:lvlJc w:val="left"/>
      <w:pPr>
        <w:ind w:left="680" w:hanging="340"/>
      </w:pPr>
      <w:rPr>
        <w:rFonts w:ascii="Calibri" w:hAnsi="Calibri" w:hint="default"/>
      </w:rPr>
    </w:lvl>
    <w:lvl w:ilvl="2" w:tplc="C0A06004">
      <w:start w:val="1"/>
      <w:numFmt w:val="bullet"/>
      <w:pStyle w:val="ListBullet3"/>
      <w:lvlText w:val=""/>
      <w:lvlJc w:val="left"/>
      <w:pPr>
        <w:ind w:left="1021" w:hanging="341"/>
      </w:pPr>
      <w:rPr>
        <w:rFonts w:ascii="Symbol" w:hAnsi="Symbol" w:hint="default"/>
      </w:rPr>
    </w:lvl>
    <w:lvl w:ilvl="3" w:tplc="15BC4090">
      <w:start w:val="1"/>
      <w:numFmt w:val="bullet"/>
      <w:pStyle w:val="ListBullet4"/>
      <w:lvlText w:val="–"/>
      <w:lvlJc w:val="left"/>
      <w:pPr>
        <w:ind w:left="1361" w:hanging="340"/>
      </w:pPr>
      <w:rPr>
        <w:rFonts w:ascii="Times New Roman" w:hAnsi="Times New Roman" w:cs="Times New Roman" w:hint="default"/>
      </w:rPr>
    </w:lvl>
    <w:lvl w:ilvl="4" w:tplc="22E640C8">
      <w:start w:val="1"/>
      <w:numFmt w:val="bullet"/>
      <w:lvlText w:val="o"/>
      <w:lvlJc w:val="left"/>
      <w:pPr>
        <w:ind w:left="3600" w:hanging="360"/>
      </w:pPr>
      <w:rPr>
        <w:rFonts w:ascii="Courier New" w:hAnsi="Courier New" w:cs="Courier New" w:hint="default"/>
      </w:rPr>
    </w:lvl>
    <w:lvl w:ilvl="5" w:tplc="C98A5040">
      <w:start w:val="1"/>
      <w:numFmt w:val="bullet"/>
      <w:lvlText w:val=""/>
      <w:lvlJc w:val="left"/>
      <w:pPr>
        <w:ind w:left="4320" w:hanging="360"/>
      </w:pPr>
      <w:rPr>
        <w:rFonts w:ascii="Wingdings" w:hAnsi="Wingdings" w:hint="default"/>
      </w:rPr>
    </w:lvl>
    <w:lvl w:ilvl="6" w:tplc="321CCA6A">
      <w:start w:val="1"/>
      <w:numFmt w:val="bullet"/>
      <w:lvlText w:val=""/>
      <w:lvlJc w:val="left"/>
      <w:pPr>
        <w:ind w:left="5040" w:hanging="360"/>
      </w:pPr>
      <w:rPr>
        <w:rFonts w:ascii="Symbol" w:hAnsi="Symbol" w:hint="default"/>
      </w:rPr>
    </w:lvl>
    <w:lvl w:ilvl="7" w:tplc="F9501C06">
      <w:start w:val="1"/>
      <w:numFmt w:val="bullet"/>
      <w:lvlText w:val="o"/>
      <w:lvlJc w:val="left"/>
      <w:pPr>
        <w:ind w:left="5760" w:hanging="360"/>
      </w:pPr>
      <w:rPr>
        <w:rFonts w:ascii="Courier New" w:hAnsi="Courier New" w:cs="Courier New" w:hint="default"/>
      </w:rPr>
    </w:lvl>
    <w:lvl w:ilvl="8" w:tplc="56D00188">
      <w:start w:val="1"/>
      <w:numFmt w:val="bullet"/>
      <w:lvlText w:val=""/>
      <w:lvlJc w:val="left"/>
      <w:pPr>
        <w:ind w:left="6480" w:hanging="360"/>
      </w:pPr>
      <w:rPr>
        <w:rFonts w:ascii="Wingdings" w:hAnsi="Wingdings" w:hint="default"/>
      </w:rPr>
    </w:lvl>
  </w:abstractNum>
  <w:abstractNum w:abstractNumId="38" w15:restartNumberingAfterBreak="0">
    <w:nsid w:val="60A02ABF"/>
    <w:multiLevelType w:val="hybridMultilevel"/>
    <w:tmpl w:val="7666883E"/>
    <w:lvl w:ilvl="0" w:tplc="2DA6919C">
      <w:start w:val="1"/>
      <w:numFmt w:val="decimal"/>
      <w:lvlText w:val="%1"/>
      <w:lvlJc w:val="left"/>
      <w:pPr>
        <w:ind w:left="644" w:hanging="360"/>
      </w:pPr>
      <w:rPr>
        <w:rFonts w:ascii="Arial Nova Cond" w:hAnsi="Arial Nova Cond" w:hint="default"/>
        <w:b/>
        <w:bCs/>
        <w:color w:val="FF6A40" w:themeColor="accent1"/>
      </w:rPr>
    </w:lvl>
    <w:lvl w:ilvl="1" w:tplc="0C090019" w:tentative="1">
      <w:start w:val="1"/>
      <w:numFmt w:val="lowerLetter"/>
      <w:lvlText w:val="%2."/>
      <w:lvlJc w:val="left"/>
      <w:pPr>
        <w:ind w:left="1460" w:hanging="360"/>
      </w:pPr>
    </w:lvl>
    <w:lvl w:ilvl="2" w:tplc="0C09001B" w:tentative="1">
      <w:start w:val="1"/>
      <w:numFmt w:val="lowerRoman"/>
      <w:lvlText w:val="%3."/>
      <w:lvlJc w:val="right"/>
      <w:pPr>
        <w:ind w:left="2180" w:hanging="180"/>
      </w:pPr>
    </w:lvl>
    <w:lvl w:ilvl="3" w:tplc="0C09000F" w:tentative="1">
      <w:start w:val="1"/>
      <w:numFmt w:val="decimal"/>
      <w:lvlText w:val="%4."/>
      <w:lvlJc w:val="left"/>
      <w:pPr>
        <w:ind w:left="2900" w:hanging="360"/>
      </w:pPr>
    </w:lvl>
    <w:lvl w:ilvl="4" w:tplc="0C090019" w:tentative="1">
      <w:start w:val="1"/>
      <w:numFmt w:val="lowerLetter"/>
      <w:lvlText w:val="%5."/>
      <w:lvlJc w:val="left"/>
      <w:pPr>
        <w:ind w:left="3620" w:hanging="360"/>
      </w:pPr>
    </w:lvl>
    <w:lvl w:ilvl="5" w:tplc="0C09001B" w:tentative="1">
      <w:start w:val="1"/>
      <w:numFmt w:val="lowerRoman"/>
      <w:lvlText w:val="%6."/>
      <w:lvlJc w:val="right"/>
      <w:pPr>
        <w:ind w:left="4340" w:hanging="180"/>
      </w:pPr>
    </w:lvl>
    <w:lvl w:ilvl="6" w:tplc="0C09000F" w:tentative="1">
      <w:start w:val="1"/>
      <w:numFmt w:val="decimal"/>
      <w:lvlText w:val="%7."/>
      <w:lvlJc w:val="left"/>
      <w:pPr>
        <w:ind w:left="5060" w:hanging="360"/>
      </w:pPr>
    </w:lvl>
    <w:lvl w:ilvl="7" w:tplc="0C090019" w:tentative="1">
      <w:start w:val="1"/>
      <w:numFmt w:val="lowerLetter"/>
      <w:lvlText w:val="%8."/>
      <w:lvlJc w:val="left"/>
      <w:pPr>
        <w:ind w:left="5780" w:hanging="360"/>
      </w:pPr>
    </w:lvl>
    <w:lvl w:ilvl="8" w:tplc="0C09001B" w:tentative="1">
      <w:start w:val="1"/>
      <w:numFmt w:val="lowerRoman"/>
      <w:lvlText w:val="%9."/>
      <w:lvlJc w:val="right"/>
      <w:pPr>
        <w:ind w:left="6500" w:hanging="180"/>
      </w:pPr>
    </w:lvl>
  </w:abstractNum>
  <w:abstractNum w:abstractNumId="39" w15:restartNumberingAfterBreak="0">
    <w:nsid w:val="62A21B49"/>
    <w:multiLevelType w:val="hybridMultilevel"/>
    <w:tmpl w:val="CCC415CC"/>
    <w:lvl w:ilvl="0" w:tplc="08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812420"/>
    <w:multiLevelType w:val="hybridMultilevel"/>
    <w:tmpl w:val="4F967F50"/>
    <w:lvl w:ilvl="0" w:tplc="7B1A2624">
      <w:start w:val="1"/>
      <w:numFmt w:val="bullet"/>
      <w:lvlText w:val="»"/>
      <w:lvlJc w:val="left"/>
      <w:pPr>
        <w:ind w:left="380" w:hanging="360"/>
      </w:pPr>
      <w:rPr>
        <w:rFonts w:ascii="Times New Roman" w:hAnsi="Times New Roman" w:cs="Times New Roman" w:hint="default"/>
        <w:color w:val="FF6A40" w:themeColor="accent1"/>
        <w:sz w:val="21"/>
      </w:rPr>
    </w:lvl>
    <w:lvl w:ilvl="1" w:tplc="0C090003" w:tentative="1">
      <w:start w:val="1"/>
      <w:numFmt w:val="bullet"/>
      <w:lvlText w:val="o"/>
      <w:lvlJc w:val="left"/>
      <w:pPr>
        <w:ind w:left="1100" w:hanging="360"/>
      </w:pPr>
      <w:rPr>
        <w:rFonts w:ascii="Courier New" w:hAnsi="Courier New" w:cs="Courier New" w:hint="default"/>
      </w:rPr>
    </w:lvl>
    <w:lvl w:ilvl="2" w:tplc="0C090005" w:tentative="1">
      <w:start w:val="1"/>
      <w:numFmt w:val="bullet"/>
      <w:lvlText w:val=""/>
      <w:lvlJc w:val="left"/>
      <w:pPr>
        <w:ind w:left="1820" w:hanging="360"/>
      </w:pPr>
      <w:rPr>
        <w:rFonts w:ascii="Wingdings" w:hAnsi="Wingdings" w:hint="default"/>
      </w:rPr>
    </w:lvl>
    <w:lvl w:ilvl="3" w:tplc="0C090001" w:tentative="1">
      <w:start w:val="1"/>
      <w:numFmt w:val="bullet"/>
      <w:lvlText w:val=""/>
      <w:lvlJc w:val="left"/>
      <w:pPr>
        <w:ind w:left="2540" w:hanging="360"/>
      </w:pPr>
      <w:rPr>
        <w:rFonts w:ascii="Symbol" w:hAnsi="Symbol" w:hint="default"/>
      </w:rPr>
    </w:lvl>
    <w:lvl w:ilvl="4" w:tplc="0C090003" w:tentative="1">
      <w:start w:val="1"/>
      <w:numFmt w:val="bullet"/>
      <w:lvlText w:val="o"/>
      <w:lvlJc w:val="left"/>
      <w:pPr>
        <w:ind w:left="3260" w:hanging="360"/>
      </w:pPr>
      <w:rPr>
        <w:rFonts w:ascii="Courier New" w:hAnsi="Courier New" w:cs="Courier New" w:hint="default"/>
      </w:rPr>
    </w:lvl>
    <w:lvl w:ilvl="5" w:tplc="0C090005" w:tentative="1">
      <w:start w:val="1"/>
      <w:numFmt w:val="bullet"/>
      <w:lvlText w:val=""/>
      <w:lvlJc w:val="left"/>
      <w:pPr>
        <w:ind w:left="3980" w:hanging="360"/>
      </w:pPr>
      <w:rPr>
        <w:rFonts w:ascii="Wingdings" w:hAnsi="Wingdings" w:hint="default"/>
      </w:rPr>
    </w:lvl>
    <w:lvl w:ilvl="6" w:tplc="0C090001" w:tentative="1">
      <w:start w:val="1"/>
      <w:numFmt w:val="bullet"/>
      <w:lvlText w:val=""/>
      <w:lvlJc w:val="left"/>
      <w:pPr>
        <w:ind w:left="4700" w:hanging="360"/>
      </w:pPr>
      <w:rPr>
        <w:rFonts w:ascii="Symbol" w:hAnsi="Symbol" w:hint="default"/>
      </w:rPr>
    </w:lvl>
    <w:lvl w:ilvl="7" w:tplc="0C090003" w:tentative="1">
      <w:start w:val="1"/>
      <w:numFmt w:val="bullet"/>
      <w:lvlText w:val="o"/>
      <w:lvlJc w:val="left"/>
      <w:pPr>
        <w:ind w:left="5420" w:hanging="360"/>
      </w:pPr>
      <w:rPr>
        <w:rFonts w:ascii="Courier New" w:hAnsi="Courier New" w:cs="Courier New" w:hint="default"/>
      </w:rPr>
    </w:lvl>
    <w:lvl w:ilvl="8" w:tplc="0C090005" w:tentative="1">
      <w:start w:val="1"/>
      <w:numFmt w:val="bullet"/>
      <w:lvlText w:val=""/>
      <w:lvlJc w:val="left"/>
      <w:pPr>
        <w:ind w:left="6140" w:hanging="360"/>
      </w:pPr>
      <w:rPr>
        <w:rFonts w:ascii="Wingdings" w:hAnsi="Wingdings" w:hint="default"/>
      </w:rPr>
    </w:lvl>
  </w:abstractNum>
  <w:abstractNum w:abstractNumId="41" w15:restartNumberingAfterBreak="0">
    <w:nsid w:val="67876402"/>
    <w:multiLevelType w:val="hybridMultilevel"/>
    <w:tmpl w:val="DDE655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D7F656E"/>
    <w:multiLevelType w:val="hybridMultilevel"/>
    <w:tmpl w:val="F918A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E14471A"/>
    <w:multiLevelType w:val="hybridMultilevel"/>
    <w:tmpl w:val="C5F4AC0A"/>
    <w:lvl w:ilvl="0" w:tplc="2FB239E8">
      <w:start w:val="1"/>
      <w:numFmt w:val="decimal"/>
      <w:lvlText w:val="%1."/>
      <w:lvlJc w:val="left"/>
      <w:pPr>
        <w:ind w:left="720" w:hanging="360"/>
      </w:pPr>
      <w:rPr>
        <w:rFonts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26D129D"/>
    <w:multiLevelType w:val="hybridMultilevel"/>
    <w:tmpl w:val="CACCAAD6"/>
    <w:lvl w:ilvl="0" w:tplc="E71262C8">
      <w:start w:val="1"/>
      <w:numFmt w:val="decimal"/>
      <w:lvlText w:val="%1"/>
      <w:lvlJc w:val="left"/>
      <w:pPr>
        <w:ind w:left="740" w:hanging="360"/>
      </w:pPr>
      <w:rPr>
        <w:rFonts w:ascii="Arial Nova Cond" w:hAnsi="Arial Nova Cond" w:hint="default"/>
        <w:color w:val="FF6A40" w:themeColor="accent1"/>
        <w:sz w:val="21"/>
      </w:rPr>
    </w:lvl>
    <w:lvl w:ilvl="1" w:tplc="0C090003">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45" w15:restartNumberingAfterBreak="0">
    <w:nsid w:val="72712044"/>
    <w:multiLevelType w:val="hybridMultilevel"/>
    <w:tmpl w:val="EDAA3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37810F1"/>
    <w:multiLevelType w:val="hybridMultilevel"/>
    <w:tmpl w:val="82F8EF3C"/>
    <w:lvl w:ilvl="0" w:tplc="751E8818">
      <w:start w:val="4"/>
      <w:numFmt w:val="decimal"/>
      <w:lvlText w:val="%1."/>
      <w:lvlJc w:val="left"/>
      <w:pPr>
        <w:ind w:left="380" w:hanging="360"/>
      </w:pPr>
      <w:rPr>
        <w:rFonts w:hint="default"/>
      </w:rPr>
    </w:lvl>
    <w:lvl w:ilvl="1" w:tplc="0C090019" w:tentative="1">
      <w:start w:val="1"/>
      <w:numFmt w:val="lowerLetter"/>
      <w:lvlText w:val="%2."/>
      <w:lvlJc w:val="left"/>
      <w:pPr>
        <w:ind w:left="1100" w:hanging="360"/>
      </w:pPr>
    </w:lvl>
    <w:lvl w:ilvl="2" w:tplc="0C09001B" w:tentative="1">
      <w:start w:val="1"/>
      <w:numFmt w:val="lowerRoman"/>
      <w:lvlText w:val="%3."/>
      <w:lvlJc w:val="right"/>
      <w:pPr>
        <w:ind w:left="1820" w:hanging="180"/>
      </w:pPr>
    </w:lvl>
    <w:lvl w:ilvl="3" w:tplc="0C09000F" w:tentative="1">
      <w:start w:val="1"/>
      <w:numFmt w:val="decimal"/>
      <w:lvlText w:val="%4."/>
      <w:lvlJc w:val="left"/>
      <w:pPr>
        <w:ind w:left="2540" w:hanging="360"/>
      </w:pPr>
    </w:lvl>
    <w:lvl w:ilvl="4" w:tplc="0C090019" w:tentative="1">
      <w:start w:val="1"/>
      <w:numFmt w:val="lowerLetter"/>
      <w:lvlText w:val="%5."/>
      <w:lvlJc w:val="left"/>
      <w:pPr>
        <w:ind w:left="3260" w:hanging="360"/>
      </w:pPr>
    </w:lvl>
    <w:lvl w:ilvl="5" w:tplc="0C09001B" w:tentative="1">
      <w:start w:val="1"/>
      <w:numFmt w:val="lowerRoman"/>
      <w:lvlText w:val="%6."/>
      <w:lvlJc w:val="right"/>
      <w:pPr>
        <w:ind w:left="3980" w:hanging="180"/>
      </w:pPr>
    </w:lvl>
    <w:lvl w:ilvl="6" w:tplc="0C09000F" w:tentative="1">
      <w:start w:val="1"/>
      <w:numFmt w:val="decimal"/>
      <w:lvlText w:val="%7."/>
      <w:lvlJc w:val="left"/>
      <w:pPr>
        <w:ind w:left="4700" w:hanging="360"/>
      </w:pPr>
    </w:lvl>
    <w:lvl w:ilvl="7" w:tplc="0C090019" w:tentative="1">
      <w:start w:val="1"/>
      <w:numFmt w:val="lowerLetter"/>
      <w:lvlText w:val="%8."/>
      <w:lvlJc w:val="left"/>
      <w:pPr>
        <w:ind w:left="5420" w:hanging="360"/>
      </w:pPr>
    </w:lvl>
    <w:lvl w:ilvl="8" w:tplc="0C09001B" w:tentative="1">
      <w:start w:val="1"/>
      <w:numFmt w:val="lowerRoman"/>
      <w:lvlText w:val="%9."/>
      <w:lvlJc w:val="right"/>
      <w:pPr>
        <w:ind w:left="6140" w:hanging="180"/>
      </w:pPr>
    </w:lvl>
  </w:abstractNum>
  <w:abstractNum w:abstractNumId="47" w15:restartNumberingAfterBreak="0">
    <w:nsid w:val="77F24408"/>
    <w:multiLevelType w:val="hybridMultilevel"/>
    <w:tmpl w:val="FF587C66"/>
    <w:lvl w:ilvl="0" w:tplc="2FB239E8">
      <w:start w:val="1"/>
      <w:numFmt w:val="decimal"/>
      <w:lvlText w:val="%1."/>
      <w:lvlJc w:val="left"/>
      <w:pPr>
        <w:ind w:left="720" w:hanging="360"/>
      </w:pPr>
      <w:rPr>
        <w:rFonts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D4E5BF3"/>
    <w:multiLevelType w:val="hybridMultilevel"/>
    <w:tmpl w:val="8F5419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1"/>
  </w:num>
  <w:num w:numId="2">
    <w:abstractNumId w:val="23"/>
  </w:num>
  <w:num w:numId="3">
    <w:abstractNumId w:val="13"/>
  </w:num>
  <w:num w:numId="4">
    <w:abstractNumId w:val="38"/>
  </w:num>
  <w:num w:numId="5">
    <w:abstractNumId w:val="18"/>
  </w:num>
  <w:num w:numId="6">
    <w:abstractNumId w:val="9"/>
  </w:num>
  <w:num w:numId="7">
    <w:abstractNumId w:val="44"/>
  </w:num>
  <w:num w:numId="8">
    <w:abstractNumId w:val="12"/>
  </w:num>
  <w:num w:numId="9">
    <w:abstractNumId w:val="46"/>
  </w:num>
  <w:num w:numId="10">
    <w:abstractNumId w:val="32"/>
  </w:num>
  <w:num w:numId="11">
    <w:abstractNumId w:val="28"/>
  </w:num>
  <w:num w:numId="12">
    <w:abstractNumId w:val="40"/>
  </w:num>
  <w:num w:numId="13">
    <w:abstractNumId w:val="31"/>
  </w:num>
  <w:num w:numId="14">
    <w:abstractNumId w:val="33"/>
  </w:num>
  <w:num w:numId="15">
    <w:abstractNumId w:val="14"/>
  </w:num>
  <w:num w:numId="16">
    <w:abstractNumId w:val="47"/>
  </w:num>
  <w:num w:numId="17">
    <w:abstractNumId w:val="29"/>
  </w:num>
  <w:num w:numId="18">
    <w:abstractNumId w:val="43"/>
  </w:num>
  <w:num w:numId="19">
    <w:abstractNumId w:val="42"/>
  </w:num>
  <w:num w:numId="20">
    <w:abstractNumId w:val="1"/>
  </w:num>
  <w:num w:numId="21">
    <w:abstractNumId w:val="4"/>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4"/>
  </w:num>
  <w:num w:numId="25">
    <w:abstractNumId w:val="17"/>
  </w:num>
  <w:num w:numId="26">
    <w:abstractNumId w:val="19"/>
  </w:num>
  <w:num w:numId="27">
    <w:abstractNumId w:val="11"/>
  </w:num>
  <w:num w:numId="28">
    <w:abstractNumId w:val="16"/>
  </w:num>
  <w:num w:numId="29">
    <w:abstractNumId w:val="26"/>
  </w:num>
  <w:num w:numId="30">
    <w:abstractNumId w:val="15"/>
  </w:num>
  <w:num w:numId="31">
    <w:abstractNumId w:val="39"/>
  </w:num>
  <w:num w:numId="32">
    <w:abstractNumId w:val="30"/>
  </w:num>
  <w:num w:numId="33">
    <w:abstractNumId w:val="7"/>
  </w:num>
  <w:num w:numId="34">
    <w:abstractNumId w:val="2"/>
  </w:num>
  <w:num w:numId="35">
    <w:abstractNumId w:val="36"/>
  </w:num>
  <w:num w:numId="36">
    <w:abstractNumId w:val="22"/>
  </w:num>
  <w:num w:numId="37">
    <w:abstractNumId w:val="10"/>
  </w:num>
  <w:num w:numId="38">
    <w:abstractNumId w:val="20"/>
  </w:num>
  <w:num w:numId="39">
    <w:abstractNumId w:val="35"/>
  </w:num>
  <w:num w:numId="40">
    <w:abstractNumId w:val="45"/>
  </w:num>
  <w:num w:numId="41">
    <w:abstractNumId w:val="6"/>
  </w:num>
  <w:num w:numId="42">
    <w:abstractNumId w:val="8"/>
  </w:num>
  <w:num w:numId="43">
    <w:abstractNumId w:val="25"/>
  </w:num>
  <w:num w:numId="44">
    <w:abstractNumId w:val="3"/>
  </w:num>
  <w:num w:numId="45">
    <w:abstractNumId w:val="0"/>
  </w:num>
  <w:num w:numId="46">
    <w:abstractNumId w:val="21"/>
  </w:num>
  <w:num w:numId="47">
    <w:abstractNumId w:val="48"/>
  </w:num>
  <w:num w:numId="48">
    <w:abstractNumId w:val="24"/>
  </w:num>
  <w:num w:numId="49">
    <w:abstractNumId w:val="27"/>
  </w:num>
  <w:num w:numId="50">
    <w:abstractNumId w:val="3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embedTrueTypeFonts/>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33F"/>
    <w:rsid w:val="00001854"/>
    <w:rsid w:val="000023DD"/>
    <w:rsid w:val="000024BC"/>
    <w:rsid w:val="00002E40"/>
    <w:rsid w:val="00004C68"/>
    <w:rsid w:val="000056F9"/>
    <w:rsid w:val="0000622C"/>
    <w:rsid w:val="0000688E"/>
    <w:rsid w:val="0000696F"/>
    <w:rsid w:val="00007480"/>
    <w:rsid w:val="00007780"/>
    <w:rsid w:val="00010A29"/>
    <w:rsid w:val="00013454"/>
    <w:rsid w:val="000236E6"/>
    <w:rsid w:val="00023868"/>
    <w:rsid w:val="0002501D"/>
    <w:rsid w:val="00025CA2"/>
    <w:rsid w:val="0002632B"/>
    <w:rsid w:val="00026DD6"/>
    <w:rsid w:val="00026DFB"/>
    <w:rsid w:val="00032986"/>
    <w:rsid w:val="00032B27"/>
    <w:rsid w:val="00032E55"/>
    <w:rsid w:val="000357A0"/>
    <w:rsid w:val="00037389"/>
    <w:rsid w:val="0003784D"/>
    <w:rsid w:val="000410D3"/>
    <w:rsid w:val="00042107"/>
    <w:rsid w:val="00043555"/>
    <w:rsid w:val="00044243"/>
    <w:rsid w:val="000446EE"/>
    <w:rsid w:val="00044DC6"/>
    <w:rsid w:val="000460EF"/>
    <w:rsid w:val="00047196"/>
    <w:rsid w:val="00047C48"/>
    <w:rsid w:val="000512BC"/>
    <w:rsid w:val="000521D5"/>
    <w:rsid w:val="00053964"/>
    <w:rsid w:val="00061839"/>
    <w:rsid w:val="000645E3"/>
    <w:rsid w:val="000657A5"/>
    <w:rsid w:val="00065912"/>
    <w:rsid w:val="00070C76"/>
    <w:rsid w:val="00072D34"/>
    <w:rsid w:val="000753CE"/>
    <w:rsid w:val="00075998"/>
    <w:rsid w:val="000760EB"/>
    <w:rsid w:val="000761C9"/>
    <w:rsid w:val="000763D5"/>
    <w:rsid w:val="0007704E"/>
    <w:rsid w:val="00081B23"/>
    <w:rsid w:val="0008390D"/>
    <w:rsid w:val="00083C45"/>
    <w:rsid w:val="000843CE"/>
    <w:rsid w:val="0008440E"/>
    <w:rsid w:val="00087F05"/>
    <w:rsid w:val="00091C19"/>
    <w:rsid w:val="00092E0C"/>
    <w:rsid w:val="000930E8"/>
    <w:rsid w:val="00095294"/>
    <w:rsid w:val="00097D80"/>
    <w:rsid w:val="000A1FCD"/>
    <w:rsid w:val="000A5340"/>
    <w:rsid w:val="000A6219"/>
    <w:rsid w:val="000A6EBE"/>
    <w:rsid w:val="000B0F94"/>
    <w:rsid w:val="000B3720"/>
    <w:rsid w:val="000B6B66"/>
    <w:rsid w:val="000B7196"/>
    <w:rsid w:val="000C11B8"/>
    <w:rsid w:val="000C13E4"/>
    <w:rsid w:val="000C15F5"/>
    <w:rsid w:val="000C3AE6"/>
    <w:rsid w:val="000C6CAA"/>
    <w:rsid w:val="000D63A9"/>
    <w:rsid w:val="000D7D14"/>
    <w:rsid w:val="000E2983"/>
    <w:rsid w:val="000E34A0"/>
    <w:rsid w:val="000E3929"/>
    <w:rsid w:val="000E3EE0"/>
    <w:rsid w:val="000E3F32"/>
    <w:rsid w:val="000F1434"/>
    <w:rsid w:val="000F18E6"/>
    <w:rsid w:val="000F2152"/>
    <w:rsid w:val="000F23DE"/>
    <w:rsid w:val="000F32D0"/>
    <w:rsid w:val="000F36EE"/>
    <w:rsid w:val="000F54D7"/>
    <w:rsid w:val="000F6ADD"/>
    <w:rsid w:val="00101625"/>
    <w:rsid w:val="00102086"/>
    <w:rsid w:val="00102356"/>
    <w:rsid w:val="00103A6F"/>
    <w:rsid w:val="00103A89"/>
    <w:rsid w:val="00105C98"/>
    <w:rsid w:val="0010609D"/>
    <w:rsid w:val="001100CA"/>
    <w:rsid w:val="00110D9B"/>
    <w:rsid w:val="001122CB"/>
    <w:rsid w:val="00115D89"/>
    <w:rsid w:val="00116CA7"/>
    <w:rsid w:val="00116F68"/>
    <w:rsid w:val="0011777C"/>
    <w:rsid w:val="001205E4"/>
    <w:rsid w:val="00120C48"/>
    <w:rsid w:val="001217CE"/>
    <w:rsid w:val="00123A6B"/>
    <w:rsid w:val="00123B82"/>
    <w:rsid w:val="00125ACD"/>
    <w:rsid w:val="00125DE4"/>
    <w:rsid w:val="00126253"/>
    <w:rsid w:val="00127A6C"/>
    <w:rsid w:val="0013010F"/>
    <w:rsid w:val="001306AA"/>
    <w:rsid w:val="00131A01"/>
    <w:rsid w:val="00135203"/>
    <w:rsid w:val="00140115"/>
    <w:rsid w:val="001418E3"/>
    <w:rsid w:val="00142169"/>
    <w:rsid w:val="001430F0"/>
    <w:rsid w:val="00143733"/>
    <w:rsid w:val="00144256"/>
    <w:rsid w:val="001445FA"/>
    <w:rsid w:val="00145071"/>
    <w:rsid w:val="00145B61"/>
    <w:rsid w:val="001468D0"/>
    <w:rsid w:val="001501FA"/>
    <w:rsid w:val="00150575"/>
    <w:rsid w:val="001520CC"/>
    <w:rsid w:val="00153805"/>
    <w:rsid w:val="00154F5A"/>
    <w:rsid w:val="001562FF"/>
    <w:rsid w:val="0015660A"/>
    <w:rsid w:val="00160382"/>
    <w:rsid w:val="001611A8"/>
    <w:rsid w:val="00161750"/>
    <w:rsid w:val="001625FE"/>
    <w:rsid w:val="00166D3B"/>
    <w:rsid w:val="00170AE0"/>
    <w:rsid w:val="00174D7E"/>
    <w:rsid w:val="00176D86"/>
    <w:rsid w:val="00181578"/>
    <w:rsid w:val="00181A8E"/>
    <w:rsid w:val="00181F97"/>
    <w:rsid w:val="00182372"/>
    <w:rsid w:val="001829F1"/>
    <w:rsid w:val="00183F1B"/>
    <w:rsid w:val="001840C9"/>
    <w:rsid w:val="0018428D"/>
    <w:rsid w:val="0018695B"/>
    <w:rsid w:val="00186A4D"/>
    <w:rsid w:val="001A1605"/>
    <w:rsid w:val="001A1616"/>
    <w:rsid w:val="001A177F"/>
    <w:rsid w:val="001A2B33"/>
    <w:rsid w:val="001A2C66"/>
    <w:rsid w:val="001A3547"/>
    <w:rsid w:val="001A3755"/>
    <w:rsid w:val="001A4720"/>
    <w:rsid w:val="001A5177"/>
    <w:rsid w:val="001A719A"/>
    <w:rsid w:val="001B10CB"/>
    <w:rsid w:val="001B3772"/>
    <w:rsid w:val="001B420F"/>
    <w:rsid w:val="001B58A4"/>
    <w:rsid w:val="001B5EB8"/>
    <w:rsid w:val="001B662C"/>
    <w:rsid w:val="001B6D56"/>
    <w:rsid w:val="001B6D98"/>
    <w:rsid w:val="001B6DFC"/>
    <w:rsid w:val="001B71D7"/>
    <w:rsid w:val="001B78A6"/>
    <w:rsid w:val="001C1EC5"/>
    <w:rsid w:val="001C329E"/>
    <w:rsid w:val="001C3845"/>
    <w:rsid w:val="001C5139"/>
    <w:rsid w:val="001C682F"/>
    <w:rsid w:val="001D0C71"/>
    <w:rsid w:val="001D389C"/>
    <w:rsid w:val="001D4371"/>
    <w:rsid w:val="001D6791"/>
    <w:rsid w:val="001D78EF"/>
    <w:rsid w:val="001D7A8A"/>
    <w:rsid w:val="001E0865"/>
    <w:rsid w:val="001E0C85"/>
    <w:rsid w:val="001E0DA8"/>
    <w:rsid w:val="001E1002"/>
    <w:rsid w:val="001E1343"/>
    <w:rsid w:val="001E2965"/>
    <w:rsid w:val="001E2C6E"/>
    <w:rsid w:val="001E32A0"/>
    <w:rsid w:val="001E3B58"/>
    <w:rsid w:val="001E40C3"/>
    <w:rsid w:val="001E411F"/>
    <w:rsid w:val="001E48B0"/>
    <w:rsid w:val="001E4A57"/>
    <w:rsid w:val="001E4F9E"/>
    <w:rsid w:val="001E5F17"/>
    <w:rsid w:val="001E6567"/>
    <w:rsid w:val="001E7173"/>
    <w:rsid w:val="001E765C"/>
    <w:rsid w:val="001E7FD5"/>
    <w:rsid w:val="001F102E"/>
    <w:rsid w:val="001F2123"/>
    <w:rsid w:val="001F3145"/>
    <w:rsid w:val="001F365C"/>
    <w:rsid w:val="001F428F"/>
    <w:rsid w:val="001F49AD"/>
    <w:rsid w:val="001F56B9"/>
    <w:rsid w:val="001F7116"/>
    <w:rsid w:val="00200919"/>
    <w:rsid w:val="00200D93"/>
    <w:rsid w:val="002011C9"/>
    <w:rsid w:val="0020689E"/>
    <w:rsid w:val="00206C0C"/>
    <w:rsid w:val="0020738C"/>
    <w:rsid w:val="00210A40"/>
    <w:rsid w:val="00211BC0"/>
    <w:rsid w:val="00213D12"/>
    <w:rsid w:val="00215531"/>
    <w:rsid w:val="002177F0"/>
    <w:rsid w:val="002231D7"/>
    <w:rsid w:val="00227577"/>
    <w:rsid w:val="002301C1"/>
    <w:rsid w:val="0023513F"/>
    <w:rsid w:val="00235665"/>
    <w:rsid w:val="00240C1D"/>
    <w:rsid w:val="0024148D"/>
    <w:rsid w:val="002430EC"/>
    <w:rsid w:val="00243C96"/>
    <w:rsid w:val="00243F79"/>
    <w:rsid w:val="002444DE"/>
    <w:rsid w:val="002473D5"/>
    <w:rsid w:val="00247829"/>
    <w:rsid w:val="00250DF4"/>
    <w:rsid w:val="00251306"/>
    <w:rsid w:val="00251FAF"/>
    <w:rsid w:val="002534AC"/>
    <w:rsid w:val="00254A6A"/>
    <w:rsid w:val="00254AC1"/>
    <w:rsid w:val="0025590B"/>
    <w:rsid w:val="0025631F"/>
    <w:rsid w:val="00257637"/>
    <w:rsid w:val="002604AF"/>
    <w:rsid w:val="002609F3"/>
    <w:rsid w:val="00261A65"/>
    <w:rsid w:val="00263367"/>
    <w:rsid w:val="00264533"/>
    <w:rsid w:val="0027140E"/>
    <w:rsid w:val="00276F3B"/>
    <w:rsid w:val="002779A7"/>
    <w:rsid w:val="00277C9B"/>
    <w:rsid w:val="0028205E"/>
    <w:rsid w:val="0028210D"/>
    <w:rsid w:val="002851A8"/>
    <w:rsid w:val="00285F02"/>
    <w:rsid w:val="00286371"/>
    <w:rsid w:val="00286AAE"/>
    <w:rsid w:val="00286BCE"/>
    <w:rsid w:val="00290BF0"/>
    <w:rsid w:val="002948EB"/>
    <w:rsid w:val="002A0141"/>
    <w:rsid w:val="002A0D46"/>
    <w:rsid w:val="002A313A"/>
    <w:rsid w:val="002A31F1"/>
    <w:rsid w:val="002A33E8"/>
    <w:rsid w:val="002A42D9"/>
    <w:rsid w:val="002A572E"/>
    <w:rsid w:val="002A6049"/>
    <w:rsid w:val="002B0A98"/>
    <w:rsid w:val="002B0AD1"/>
    <w:rsid w:val="002B0CD9"/>
    <w:rsid w:val="002B0D0A"/>
    <w:rsid w:val="002B1C71"/>
    <w:rsid w:val="002B3A02"/>
    <w:rsid w:val="002B5654"/>
    <w:rsid w:val="002B785A"/>
    <w:rsid w:val="002B7E66"/>
    <w:rsid w:val="002C1B56"/>
    <w:rsid w:val="002C1C07"/>
    <w:rsid w:val="002C5DDE"/>
    <w:rsid w:val="002D0E43"/>
    <w:rsid w:val="002D2088"/>
    <w:rsid w:val="002D500E"/>
    <w:rsid w:val="002D7D6C"/>
    <w:rsid w:val="002E1A32"/>
    <w:rsid w:val="002E1FEC"/>
    <w:rsid w:val="002E4148"/>
    <w:rsid w:val="002E6056"/>
    <w:rsid w:val="002F0166"/>
    <w:rsid w:val="002F3013"/>
    <w:rsid w:val="002F46C2"/>
    <w:rsid w:val="002F4873"/>
    <w:rsid w:val="00300434"/>
    <w:rsid w:val="0030129D"/>
    <w:rsid w:val="00301979"/>
    <w:rsid w:val="00302504"/>
    <w:rsid w:val="003025A4"/>
    <w:rsid w:val="003029A6"/>
    <w:rsid w:val="00303109"/>
    <w:rsid w:val="00307596"/>
    <w:rsid w:val="0031127F"/>
    <w:rsid w:val="00311D0A"/>
    <w:rsid w:val="00311D1D"/>
    <w:rsid w:val="0031237B"/>
    <w:rsid w:val="00312D5B"/>
    <w:rsid w:val="00313737"/>
    <w:rsid w:val="00313FBD"/>
    <w:rsid w:val="003141C1"/>
    <w:rsid w:val="003141D9"/>
    <w:rsid w:val="00314B80"/>
    <w:rsid w:val="00315DC2"/>
    <w:rsid w:val="0031657D"/>
    <w:rsid w:val="00317450"/>
    <w:rsid w:val="00317B68"/>
    <w:rsid w:val="00323664"/>
    <w:rsid w:val="00323931"/>
    <w:rsid w:val="00324643"/>
    <w:rsid w:val="0032479A"/>
    <w:rsid w:val="00326441"/>
    <w:rsid w:val="003267CA"/>
    <w:rsid w:val="0033163D"/>
    <w:rsid w:val="00332868"/>
    <w:rsid w:val="00332DF3"/>
    <w:rsid w:val="003335EA"/>
    <w:rsid w:val="00333D35"/>
    <w:rsid w:val="00334782"/>
    <w:rsid w:val="003347B0"/>
    <w:rsid w:val="00334B17"/>
    <w:rsid w:val="00334C92"/>
    <w:rsid w:val="00334EF3"/>
    <w:rsid w:val="00335072"/>
    <w:rsid w:val="003353EA"/>
    <w:rsid w:val="00336A8B"/>
    <w:rsid w:val="003372CA"/>
    <w:rsid w:val="00337E4A"/>
    <w:rsid w:val="00340A58"/>
    <w:rsid w:val="00340E84"/>
    <w:rsid w:val="00341047"/>
    <w:rsid w:val="003412D9"/>
    <w:rsid w:val="00344EF9"/>
    <w:rsid w:val="003512FB"/>
    <w:rsid w:val="003517CF"/>
    <w:rsid w:val="003520B9"/>
    <w:rsid w:val="00353227"/>
    <w:rsid w:val="00354291"/>
    <w:rsid w:val="003544CC"/>
    <w:rsid w:val="00360941"/>
    <w:rsid w:val="00361A91"/>
    <w:rsid w:val="00363BF8"/>
    <w:rsid w:val="00363DAD"/>
    <w:rsid w:val="0036400D"/>
    <w:rsid w:val="00364D27"/>
    <w:rsid w:val="00366CEB"/>
    <w:rsid w:val="00373056"/>
    <w:rsid w:val="0037308E"/>
    <w:rsid w:val="0037596E"/>
    <w:rsid w:val="003764E4"/>
    <w:rsid w:val="00376D05"/>
    <w:rsid w:val="003802D7"/>
    <w:rsid w:val="0038057A"/>
    <w:rsid w:val="003819BA"/>
    <w:rsid w:val="00384DF6"/>
    <w:rsid w:val="00384EAB"/>
    <w:rsid w:val="00387BE6"/>
    <w:rsid w:val="003914B1"/>
    <w:rsid w:val="003931FE"/>
    <w:rsid w:val="00393EF2"/>
    <w:rsid w:val="00394729"/>
    <w:rsid w:val="00395A14"/>
    <w:rsid w:val="003A0CDD"/>
    <w:rsid w:val="003A11EE"/>
    <w:rsid w:val="003A409E"/>
    <w:rsid w:val="003A40C5"/>
    <w:rsid w:val="003A4219"/>
    <w:rsid w:val="003A563C"/>
    <w:rsid w:val="003A5C4A"/>
    <w:rsid w:val="003B1267"/>
    <w:rsid w:val="003B165A"/>
    <w:rsid w:val="003B2CD8"/>
    <w:rsid w:val="003B34EF"/>
    <w:rsid w:val="003B37ED"/>
    <w:rsid w:val="003B4404"/>
    <w:rsid w:val="003B45F3"/>
    <w:rsid w:val="003B7A70"/>
    <w:rsid w:val="003B7BFC"/>
    <w:rsid w:val="003C0EFA"/>
    <w:rsid w:val="003C387E"/>
    <w:rsid w:val="003C4B54"/>
    <w:rsid w:val="003C4CCA"/>
    <w:rsid w:val="003C53F7"/>
    <w:rsid w:val="003C688B"/>
    <w:rsid w:val="003C7452"/>
    <w:rsid w:val="003D246B"/>
    <w:rsid w:val="003D3D3A"/>
    <w:rsid w:val="003D4E18"/>
    <w:rsid w:val="003D5B70"/>
    <w:rsid w:val="003D6289"/>
    <w:rsid w:val="003D66A3"/>
    <w:rsid w:val="003D797B"/>
    <w:rsid w:val="003E0B10"/>
    <w:rsid w:val="003E0F75"/>
    <w:rsid w:val="003E2428"/>
    <w:rsid w:val="003E3D30"/>
    <w:rsid w:val="003E4F51"/>
    <w:rsid w:val="003E5E09"/>
    <w:rsid w:val="003E6168"/>
    <w:rsid w:val="003E64B3"/>
    <w:rsid w:val="003E66BE"/>
    <w:rsid w:val="003E6CA3"/>
    <w:rsid w:val="003F37F3"/>
    <w:rsid w:val="003F6499"/>
    <w:rsid w:val="003F7DE5"/>
    <w:rsid w:val="004009C0"/>
    <w:rsid w:val="00402F1C"/>
    <w:rsid w:val="00405456"/>
    <w:rsid w:val="00405710"/>
    <w:rsid w:val="00406447"/>
    <w:rsid w:val="00407132"/>
    <w:rsid w:val="00407E93"/>
    <w:rsid w:val="00413D27"/>
    <w:rsid w:val="00414F7E"/>
    <w:rsid w:val="00415169"/>
    <w:rsid w:val="004152DA"/>
    <w:rsid w:val="00415B66"/>
    <w:rsid w:val="00417B33"/>
    <w:rsid w:val="00417CE9"/>
    <w:rsid w:val="00417F44"/>
    <w:rsid w:val="004238FF"/>
    <w:rsid w:val="00424662"/>
    <w:rsid w:val="00425084"/>
    <w:rsid w:val="004258C5"/>
    <w:rsid w:val="004266CC"/>
    <w:rsid w:val="00427FCE"/>
    <w:rsid w:val="00431147"/>
    <w:rsid w:val="00435115"/>
    <w:rsid w:val="00435844"/>
    <w:rsid w:val="00435A8B"/>
    <w:rsid w:val="00437CDE"/>
    <w:rsid w:val="004424D3"/>
    <w:rsid w:val="0044261C"/>
    <w:rsid w:val="004459DD"/>
    <w:rsid w:val="00451286"/>
    <w:rsid w:val="004540B7"/>
    <w:rsid w:val="004542AB"/>
    <w:rsid w:val="0045537E"/>
    <w:rsid w:val="004579EB"/>
    <w:rsid w:val="004606C5"/>
    <w:rsid w:val="0046198C"/>
    <w:rsid w:val="00462B65"/>
    <w:rsid w:val="0046313A"/>
    <w:rsid w:val="00463765"/>
    <w:rsid w:val="004649F7"/>
    <w:rsid w:val="004656E2"/>
    <w:rsid w:val="0046650D"/>
    <w:rsid w:val="004667E3"/>
    <w:rsid w:val="004709FF"/>
    <w:rsid w:val="00470E91"/>
    <w:rsid w:val="004719F4"/>
    <w:rsid w:val="004744EF"/>
    <w:rsid w:val="00474681"/>
    <w:rsid w:val="00474C15"/>
    <w:rsid w:val="00475563"/>
    <w:rsid w:val="004777F7"/>
    <w:rsid w:val="00477F7D"/>
    <w:rsid w:val="004811AE"/>
    <w:rsid w:val="004824DE"/>
    <w:rsid w:val="00483251"/>
    <w:rsid w:val="00484A4F"/>
    <w:rsid w:val="00485162"/>
    <w:rsid w:val="00487C58"/>
    <w:rsid w:val="00490958"/>
    <w:rsid w:val="0049133D"/>
    <w:rsid w:val="00492509"/>
    <w:rsid w:val="00493ED0"/>
    <w:rsid w:val="00496834"/>
    <w:rsid w:val="004978C9"/>
    <w:rsid w:val="004A0700"/>
    <w:rsid w:val="004A0E68"/>
    <w:rsid w:val="004A14CC"/>
    <w:rsid w:val="004A1862"/>
    <w:rsid w:val="004A1905"/>
    <w:rsid w:val="004A1D85"/>
    <w:rsid w:val="004A234E"/>
    <w:rsid w:val="004A2461"/>
    <w:rsid w:val="004A3CCD"/>
    <w:rsid w:val="004A46D4"/>
    <w:rsid w:val="004A5EB8"/>
    <w:rsid w:val="004A695C"/>
    <w:rsid w:val="004B1B6B"/>
    <w:rsid w:val="004B2ECC"/>
    <w:rsid w:val="004B3B58"/>
    <w:rsid w:val="004B5091"/>
    <w:rsid w:val="004B60DE"/>
    <w:rsid w:val="004B67F3"/>
    <w:rsid w:val="004C1461"/>
    <w:rsid w:val="004C371E"/>
    <w:rsid w:val="004C50DB"/>
    <w:rsid w:val="004C5D89"/>
    <w:rsid w:val="004C6C66"/>
    <w:rsid w:val="004C7E74"/>
    <w:rsid w:val="004D08C1"/>
    <w:rsid w:val="004D0C51"/>
    <w:rsid w:val="004D1ECB"/>
    <w:rsid w:val="004D314C"/>
    <w:rsid w:val="004D499B"/>
    <w:rsid w:val="004D5610"/>
    <w:rsid w:val="004E2031"/>
    <w:rsid w:val="004E2A94"/>
    <w:rsid w:val="004E4D3F"/>
    <w:rsid w:val="004E535C"/>
    <w:rsid w:val="004E62B9"/>
    <w:rsid w:val="004E7742"/>
    <w:rsid w:val="004F042A"/>
    <w:rsid w:val="004F1382"/>
    <w:rsid w:val="004F491D"/>
    <w:rsid w:val="004F4A5A"/>
    <w:rsid w:val="004F4CE0"/>
    <w:rsid w:val="004F52D1"/>
    <w:rsid w:val="004F6BDB"/>
    <w:rsid w:val="00500381"/>
    <w:rsid w:val="00506925"/>
    <w:rsid w:val="005076F5"/>
    <w:rsid w:val="005103F8"/>
    <w:rsid w:val="00510A99"/>
    <w:rsid w:val="0051282B"/>
    <w:rsid w:val="00516755"/>
    <w:rsid w:val="005171FD"/>
    <w:rsid w:val="005209A0"/>
    <w:rsid w:val="005211C4"/>
    <w:rsid w:val="005216D8"/>
    <w:rsid w:val="00524489"/>
    <w:rsid w:val="00524791"/>
    <w:rsid w:val="005248F6"/>
    <w:rsid w:val="005251DE"/>
    <w:rsid w:val="00531F48"/>
    <w:rsid w:val="00533847"/>
    <w:rsid w:val="005338AE"/>
    <w:rsid w:val="00535681"/>
    <w:rsid w:val="00536377"/>
    <w:rsid w:val="0053759A"/>
    <w:rsid w:val="00540431"/>
    <w:rsid w:val="00540C1D"/>
    <w:rsid w:val="00541247"/>
    <w:rsid w:val="005429F5"/>
    <w:rsid w:val="00543387"/>
    <w:rsid w:val="00546D3C"/>
    <w:rsid w:val="00550041"/>
    <w:rsid w:val="005503A6"/>
    <w:rsid w:val="0055171A"/>
    <w:rsid w:val="0055310B"/>
    <w:rsid w:val="00553119"/>
    <w:rsid w:val="00554D62"/>
    <w:rsid w:val="005567A0"/>
    <w:rsid w:val="0055754B"/>
    <w:rsid w:val="0056200E"/>
    <w:rsid w:val="00563C5B"/>
    <w:rsid w:val="005641B2"/>
    <w:rsid w:val="0056433F"/>
    <w:rsid w:val="00565524"/>
    <w:rsid w:val="00566206"/>
    <w:rsid w:val="00567FE9"/>
    <w:rsid w:val="0057115D"/>
    <w:rsid w:val="005716E7"/>
    <w:rsid w:val="005777EC"/>
    <w:rsid w:val="00577D47"/>
    <w:rsid w:val="0058132D"/>
    <w:rsid w:val="00583E32"/>
    <w:rsid w:val="005859FC"/>
    <w:rsid w:val="005865BC"/>
    <w:rsid w:val="005869BF"/>
    <w:rsid w:val="00586B79"/>
    <w:rsid w:val="005873A9"/>
    <w:rsid w:val="00587E58"/>
    <w:rsid w:val="00590946"/>
    <w:rsid w:val="00591147"/>
    <w:rsid w:val="00595B07"/>
    <w:rsid w:val="005A13EA"/>
    <w:rsid w:val="005A45B9"/>
    <w:rsid w:val="005A4B06"/>
    <w:rsid w:val="005A5BE3"/>
    <w:rsid w:val="005A6DE0"/>
    <w:rsid w:val="005A79EA"/>
    <w:rsid w:val="005A7AB4"/>
    <w:rsid w:val="005A7CF7"/>
    <w:rsid w:val="005A7F55"/>
    <w:rsid w:val="005B25E0"/>
    <w:rsid w:val="005B2885"/>
    <w:rsid w:val="005B4429"/>
    <w:rsid w:val="005B51A9"/>
    <w:rsid w:val="005B63BE"/>
    <w:rsid w:val="005C0840"/>
    <w:rsid w:val="005C17D6"/>
    <w:rsid w:val="005C34F1"/>
    <w:rsid w:val="005C3F76"/>
    <w:rsid w:val="005C5581"/>
    <w:rsid w:val="005C5713"/>
    <w:rsid w:val="005C6720"/>
    <w:rsid w:val="005C6DC8"/>
    <w:rsid w:val="005D1394"/>
    <w:rsid w:val="005D165F"/>
    <w:rsid w:val="005D20F9"/>
    <w:rsid w:val="005D2614"/>
    <w:rsid w:val="005D2B4A"/>
    <w:rsid w:val="005D3B35"/>
    <w:rsid w:val="005D3C2E"/>
    <w:rsid w:val="005D3E08"/>
    <w:rsid w:val="005D4361"/>
    <w:rsid w:val="005D5AE4"/>
    <w:rsid w:val="005D739A"/>
    <w:rsid w:val="005E0291"/>
    <w:rsid w:val="005E3FBD"/>
    <w:rsid w:val="005E44F2"/>
    <w:rsid w:val="005E6EA1"/>
    <w:rsid w:val="005F02DC"/>
    <w:rsid w:val="005F226B"/>
    <w:rsid w:val="005F4561"/>
    <w:rsid w:val="005F4C46"/>
    <w:rsid w:val="005F52D8"/>
    <w:rsid w:val="005F592B"/>
    <w:rsid w:val="005F5CEC"/>
    <w:rsid w:val="006002AF"/>
    <w:rsid w:val="0060136D"/>
    <w:rsid w:val="00605A18"/>
    <w:rsid w:val="006060FD"/>
    <w:rsid w:val="00607771"/>
    <w:rsid w:val="00610500"/>
    <w:rsid w:val="00610C89"/>
    <w:rsid w:val="006116F6"/>
    <w:rsid w:val="00611BB7"/>
    <w:rsid w:val="00611C01"/>
    <w:rsid w:val="00613D4A"/>
    <w:rsid w:val="00617CB8"/>
    <w:rsid w:val="00620375"/>
    <w:rsid w:val="006207ED"/>
    <w:rsid w:val="00621269"/>
    <w:rsid w:val="006223DA"/>
    <w:rsid w:val="00622CA8"/>
    <w:rsid w:val="00622FEF"/>
    <w:rsid w:val="00623981"/>
    <w:rsid w:val="00624412"/>
    <w:rsid w:val="00624A76"/>
    <w:rsid w:val="006250EC"/>
    <w:rsid w:val="00625B5B"/>
    <w:rsid w:val="00625F89"/>
    <w:rsid w:val="00627321"/>
    <w:rsid w:val="0063146C"/>
    <w:rsid w:val="0063366B"/>
    <w:rsid w:val="00633978"/>
    <w:rsid w:val="00635149"/>
    <w:rsid w:val="00635644"/>
    <w:rsid w:val="006356AB"/>
    <w:rsid w:val="00642F64"/>
    <w:rsid w:val="00645743"/>
    <w:rsid w:val="00645EF9"/>
    <w:rsid w:val="006471CF"/>
    <w:rsid w:val="00647AD3"/>
    <w:rsid w:val="00647E4B"/>
    <w:rsid w:val="0065020D"/>
    <w:rsid w:val="006507A6"/>
    <w:rsid w:val="006517AE"/>
    <w:rsid w:val="00654C60"/>
    <w:rsid w:val="00655727"/>
    <w:rsid w:val="0065665B"/>
    <w:rsid w:val="00656DD1"/>
    <w:rsid w:val="006624CD"/>
    <w:rsid w:val="00663BA7"/>
    <w:rsid w:val="00667EC4"/>
    <w:rsid w:val="00671135"/>
    <w:rsid w:val="00672224"/>
    <w:rsid w:val="00674E7C"/>
    <w:rsid w:val="00676534"/>
    <w:rsid w:val="00681037"/>
    <w:rsid w:val="00681141"/>
    <w:rsid w:val="00685AE8"/>
    <w:rsid w:val="00685B9C"/>
    <w:rsid w:val="00687C2D"/>
    <w:rsid w:val="006900E6"/>
    <w:rsid w:val="00690358"/>
    <w:rsid w:val="006904A8"/>
    <w:rsid w:val="00690FCD"/>
    <w:rsid w:val="00691E9A"/>
    <w:rsid w:val="006936C9"/>
    <w:rsid w:val="0069571D"/>
    <w:rsid w:val="00695B15"/>
    <w:rsid w:val="006A0461"/>
    <w:rsid w:val="006A139B"/>
    <w:rsid w:val="006A16CF"/>
    <w:rsid w:val="006A25B6"/>
    <w:rsid w:val="006A2723"/>
    <w:rsid w:val="006A2C16"/>
    <w:rsid w:val="006A39ED"/>
    <w:rsid w:val="006A4CB6"/>
    <w:rsid w:val="006A5BF4"/>
    <w:rsid w:val="006A79A8"/>
    <w:rsid w:val="006B0234"/>
    <w:rsid w:val="006B0D2F"/>
    <w:rsid w:val="006B0DFE"/>
    <w:rsid w:val="006B2AD9"/>
    <w:rsid w:val="006B2F25"/>
    <w:rsid w:val="006B31BC"/>
    <w:rsid w:val="006C3283"/>
    <w:rsid w:val="006C349B"/>
    <w:rsid w:val="006C4BD7"/>
    <w:rsid w:val="006C51E0"/>
    <w:rsid w:val="006C626B"/>
    <w:rsid w:val="006C78BF"/>
    <w:rsid w:val="006D0C37"/>
    <w:rsid w:val="006D37C0"/>
    <w:rsid w:val="006D65D9"/>
    <w:rsid w:val="006E03F4"/>
    <w:rsid w:val="006E05DE"/>
    <w:rsid w:val="006E0737"/>
    <w:rsid w:val="006E1A4A"/>
    <w:rsid w:val="006E3AA7"/>
    <w:rsid w:val="006E6CF5"/>
    <w:rsid w:val="006E7269"/>
    <w:rsid w:val="006F2638"/>
    <w:rsid w:val="006F27B5"/>
    <w:rsid w:val="006F2B53"/>
    <w:rsid w:val="006F34A7"/>
    <w:rsid w:val="006F3F5F"/>
    <w:rsid w:val="006F6DD4"/>
    <w:rsid w:val="00700ECE"/>
    <w:rsid w:val="0070281F"/>
    <w:rsid w:val="00702D53"/>
    <w:rsid w:val="00704FB5"/>
    <w:rsid w:val="0070579E"/>
    <w:rsid w:val="00705AB6"/>
    <w:rsid w:val="00710D6C"/>
    <w:rsid w:val="00712B49"/>
    <w:rsid w:val="0071355F"/>
    <w:rsid w:val="00713A0E"/>
    <w:rsid w:val="0071456B"/>
    <w:rsid w:val="00714600"/>
    <w:rsid w:val="00715096"/>
    <w:rsid w:val="0071590A"/>
    <w:rsid w:val="00717378"/>
    <w:rsid w:val="00720585"/>
    <w:rsid w:val="0072354E"/>
    <w:rsid w:val="0072420C"/>
    <w:rsid w:val="00724478"/>
    <w:rsid w:val="0072542E"/>
    <w:rsid w:val="00725497"/>
    <w:rsid w:val="00725D1A"/>
    <w:rsid w:val="007273BD"/>
    <w:rsid w:val="007311AD"/>
    <w:rsid w:val="00731D42"/>
    <w:rsid w:val="00731E16"/>
    <w:rsid w:val="00731F9D"/>
    <w:rsid w:val="007321C9"/>
    <w:rsid w:val="00733405"/>
    <w:rsid w:val="00734041"/>
    <w:rsid w:val="00735B2C"/>
    <w:rsid w:val="00735D1A"/>
    <w:rsid w:val="00736232"/>
    <w:rsid w:val="00736818"/>
    <w:rsid w:val="00740BCF"/>
    <w:rsid w:val="00740D27"/>
    <w:rsid w:val="00741F21"/>
    <w:rsid w:val="00742248"/>
    <w:rsid w:val="00745447"/>
    <w:rsid w:val="00750930"/>
    <w:rsid w:val="0075156C"/>
    <w:rsid w:val="007530E5"/>
    <w:rsid w:val="007562E9"/>
    <w:rsid w:val="00757EE9"/>
    <w:rsid w:val="007601BF"/>
    <w:rsid w:val="00761AF5"/>
    <w:rsid w:val="00762CDB"/>
    <w:rsid w:val="00763003"/>
    <w:rsid w:val="00763452"/>
    <w:rsid w:val="00766E12"/>
    <w:rsid w:val="00766EFB"/>
    <w:rsid w:val="0077035B"/>
    <w:rsid w:val="007708B2"/>
    <w:rsid w:val="00770A81"/>
    <w:rsid w:val="007719F5"/>
    <w:rsid w:val="007742AB"/>
    <w:rsid w:val="00775066"/>
    <w:rsid w:val="00775A30"/>
    <w:rsid w:val="00776A77"/>
    <w:rsid w:val="0077782D"/>
    <w:rsid w:val="00781758"/>
    <w:rsid w:val="00781856"/>
    <w:rsid w:val="00782753"/>
    <w:rsid w:val="00782761"/>
    <w:rsid w:val="00782D1E"/>
    <w:rsid w:val="00784518"/>
    <w:rsid w:val="0078455D"/>
    <w:rsid w:val="00784634"/>
    <w:rsid w:val="007862D8"/>
    <w:rsid w:val="00786B8E"/>
    <w:rsid w:val="00790028"/>
    <w:rsid w:val="0079046D"/>
    <w:rsid w:val="00794632"/>
    <w:rsid w:val="00794650"/>
    <w:rsid w:val="00794B35"/>
    <w:rsid w:val="00795A7C"/>
    <w:rsid w:val="007A4885"/>
    <w:rsid w:val="007A563E"/>
    <w:rsid w:val="007A67EE"/>
    <w:rsid w:val="007B19EE"/>
    <w:rsid w:val="007B2F19"/>
    <w:rsid w:val="007B4540"/>
    <w:rsid w:val="007B60A3"/>
    <w:rsid w:val="007B667C"/>
    <w:rsid w:val="007B70CA"/>
    <w:rsid w:val="007B7BFC"/>
    <w:rsid w:val="007D0860"/>
    <w:rsid w:val="007D2421"/>
    <w:rsid w:val="007D32D9"/>
    <w:rsid w:val="007D3EBB"/>
    <w:rsid w:val="007D5936"/>
    <w:rsid w:val="007D73FE"/>
    <w:rsid w:val="007D7F1D"/>
    <w:rsid w:val="007E1D62"/>
    <w:rsid w:val="007E2D23"/>
    <w:rsid w:val="007E315A"/>
    <w:rsid w:val="007E3982"/>
    <w:rsid w:val="007E6A6E"/>
    <w:rsid w:val="007E6B0B"/>
    <w:rsid w:val="007F0E4F"/>
    <w:rsid w:val="007F2A29"/>
    <w:rsid w:val="007F2EC0"/>
    <w:rsid w:val="007F4CFC"/>
    <w:rsid w:val="007F65A7"/>
    <w:rsid w:val="007F6C36"/>
    <w:rsid w:val="008009E7"/>
    <w:rsid w:val="00801400"/>
    <w:rsid w:val="008035FA"/>
    <w:rsid w:val="00804089"/>
    <w:rsid w:val="008045D4"/>
    <w:rsid w:val="008069CE"/>
    <w:rsid w:val="008112C0"/>
    <w:rsid w:val="0082159F"/>
    <w:rsid w:val="0082336F"/>
    <w:rsid w:val="00823B97"/>
    <w:rsid w:val="00824709"/>
    <w:rsid w:val="008260DD"/>
    <w:rsid w:val="008262E2"/>
    <w:rsid w:val="008301AC"/>
    <w:rsid w:val="00831065"/>
    <w:rsid w:val="00832870"/>
    <w:rsid w:val="008364E7"/>
    <w:rsid w:val="00836D83"/>
    <w:rsid w:val="0084029B"/>
    <w:rsid w:val="008405DC"/>
    <w:rsid w:val="00844D33"/>
    <w:rsid w:val="00846743"/>
    <w:rsid w:val="00852CB7"/>
    <w:rsid w:val="0086079B"/>
    <w:rsid w:val="008640E3"/>
    <w:rsid w:val="00864F5D"/>
    <w:rsid w:val="00865143"/>
    <w:rsid w:val="008666CF"/>
    <w:rsid w:val="0086757C"/>
    <w:rsid w:val="008677D7"/>
    <w:rsid w:val="0087025C"/>
    <w:rsid w:val="0087045B"/>
    <w:rsid w:val="00872B73"/>
    <w:rsid w:val="00873014"/>
    <w:rsid w:val="00874B4F"/>
    <w:rsid w:val="00874E78"/>
    <w:rsid w:val="0087740E"/>
    <w:rsid w:val="00877EF0"/>
    <w:rsid w:val="00880C71"/>
    <w:rsid w:val="008811BA"/>
    <w:rsid w:val="00881CA3"/>
    <w:rsid w:val="00882B67"/>
    <w:rsid w:val="00884CF9"/>
    <w:rsid w:val="008870E8"/>
    <w:rsid w:val="00887450"/>
    <w:rsid w:val="00887C14"/>
    <w:rsid w:val="00892481"/>
    <w:rsid w:val="0089291B"/>
    <w:rsid w:val="00892A3F"/>
    <w:rsid w:val="00893E32"/>
    <w:rsid w:val="0089405B"/>
    <w:rsid w:val="008947F5"/>
    <w:rsid w:val="00897279"/>
    <w:rsid w:val="00897884"/>
    <w:rsid w:val="008A355F"/>
    <w:rsid w:val="008A394C"/>
    <w:rsid w:val="008A5A85"/>
    <w:rsid w:val="008A6FD9"/>
    <w:rsid w:val="008B13B1"/>
    <w:rsid w:val="008B2AD5"/>
    <w:rsid w:val="008B4C62"/>
    <w:rsid w:val="008B4E73"/>
    <w:rsid w:val="008C1292"/>
    <w:rsid w:val="008C233F"/>
    <w:rsid w:val="008C2E0E"/>
    <w:rsid w:val="008C3159"/>
    <w:rsid w:val="008C4679"/>
    <w:rsid w:val="008C52F2"/>
    <w:rsid w:val="008D1041"/>
    <w:rsid w:val="008D17FD"/>
    <w:rsid w:val="008D2CCC"/>
    <w:rsid w:val="008D45DD"/>
    <w:rsid w:val="008D4732"/>
    <w:rsid w:val="008D5272"/>
    <w:rsid w:val="008D534D"/>
    <w:rsid w:val="008D53D4"/>
    <w:rsid w:val="008D6927"/>
    <w:rsid w:val="008D6D69"/>
    <w:rsid w:val="008D7203"/>
    <w:rsid w:val="008D7862"/>
    <w:rsid w:val="008E1309"/>
    <w:rsid w:val="008E1397"/>
    <w:rsid w:val="008E2462"/>
    <w:rsid w:val="008E2DC2"/>
    <w:rsid w:val="008E4458"/>
    <w:rsid w:val="008E46DB"/>
    <w:rsid w:val="008F0767"/>
    <w:rsid w:val="008F0799"/>
    <w:rsid w:val="008F13F4"/>
    <w:rsid w:val="008F5333"/>
    <w:rsid w:val="008F726B"/>
    <w:rsid w:val="008F73D1"/>
    <w:rsid w:val="009007D0"/>
    <w:rsid w:val="00902C2E"/>
    <w:rsid w:val="00903D8E"/>
    <w:rsid w:val="0090556F"/>
    <w:rsid w:val="00906216"/>
    <w:rsid w:val="009103B5"/>
    <w:rsid w:val="00913C5B"/>
    <w:rsid w:val="0091575C"/>
    <w:rsid w:val="0091788F"/>
    <w:rsid w:val="00920584"/>
    <w:rsid w:val="00922033"/>
    <w:rsid w:val="00922A31"/>
    <w:rsid w:val="00923212"/>
    <w:rsid w:val="009234A6"/>
    <w:rsid w:val="00924A40"/>
    <w:rsid w:val="0092778E"/>
    <w:rsid w:val="00932424"/>
    <w:rsid w:val="0093501E"/>
    <w:rsid w:val="00936EF9"/>
    <w:rsid w:val="0093795F"/>
    <w:rsid w:val="0094180A"/>
    <w:rsid w:val="00941F42"/>
    <w:rsid w:val="009422A1"/>
    <w:rsid w:val="00942DA6"/>
    <w:rsid w:val="009436D3"/>
    <w:rsid w:val="009456BC"/>
    <w:rsid w:val="009468C9"/>
    <w:rsid w:val="00947953"/>
    <w:rsid w:val="0095089C"/>
    <w:rsid w:val="00950ED3"/>
    <w:rsid w:val="009519D1"/>
    <w:rsid w:val="0095255C"/>
    <w:rsid w:val="00952B2E"/>
    <w:rsid w:val="0095346D"/>
    <w:rsid w:val="0095513C"/>
    <w:rsid w:val="009554B3"/>
    <w:rsid w:val="00956867"/>
    <w:rsid w:val="0095723A"/>
    <w:rsid w:val="009579AD"/>
    <w:rsid w:val="00957C64"/>
    <w:rsid w:val="009617F9"/>
    <w:rsid w:val="00961A2A"/>
    <w:rsid w:val="00962757"/>
    <w:rsid w:val="00964EBB"/>
    <w:rsid w:val="009656A3"/>
    <w:rsid w:val="00966488"/>
    <w:rsid w:val="00966855"/>
    <w:rsid w:val="0096701D"/>
    <w:rsid w:val="009707F2"/>
    <w:rsid w:val="00973A80"/>
    <w:rsid w:val="00974E19"/>
    <w:rsid w:val="00975205"/>
    <w:rsid w:val="009774D9"/>
    <w:rsid w:val="009806B9"/>
    <w:rsid w:val="00981660"/>
    <w:rsid w:val="00982E90"/>
    <w:rsid w:val="009855B7"/>
    <w:rsid w:val="00985796"/>
    <w:rsid w:val="00987683"/>
    <w:rsid w:val="00990895"/>
    <w:rsid w:val="00991562"/>
    <w:rsid w:val="009916D8"/>
    <w:rsid w:val="009918BB"/>
    <w:rsid w:val="00991C63"/>
    <w:rsid w:val="0099283A"/>
    <w:rsid w:val="00993549"/>
    <w:rsid w:val="00994301"/>
    <w:rsid w:val="00994A36"/>
    <w:rsid w:val="00994F38"/>
    <w:rsid w:val="00996A07"/>
    <w:rsid w:val="00997D70"/>
    <w:rsid w:val="00997F31"/>
    <w:rsid w:val="009A0218"/>
    <w:rsid w:val="009A266D"/>
    <w:rsid w:val="009A3BD6"/>
    <w:rsid w:val="009A431A"/>
    <w:rsid w:val="009A4856"/>
    <w:rsid w:val="009A6156"/>
    <w:rsid w:val="009A61EC"/>
    <w:rsid w:val="009A68AE"/>
    <w:rsid w:val="009A7765"/>
    <w:rsid w:val="009B0618"/>
    <w:rsid w:val="009B0D0D"/>
    <w:rsid w:val="009B0F1D"/>
    <w:rsid w:val="009B1714"/>
    <w:rsid w:val="009B37F0"/>
    <w:rsid w:val="009B6DA6"/>
    <w:rsid w:val="009B748E"/>
    <w:rsid w:val="009B7ADB"/>
    <w:rsid w:val="009B7BA8"/>
    <w:rsid w:val="009C03D7"/>
    <w:rsid w:val="009C0CF6"/>
    <w:rsid w:val="009C1D64"/>
    <w:rsid w:val="009C1F69"/>
    <w:rsid w:val="009C22C6"/>
    <w:rsid w:val="009C4AFB"/>
    <w:rsid w:val="009C6738"/>
    <w:rsid w:val="009C676E"/>
    <w:rsid w:val="009C6DF5"/>
    <w:rsid w:val="009C7569"/>
    <w:rsid w:val="009D1F1D"/>
    <w:rsid w:val="009D3767"/>
    <w:rsid w:val="009D3844"/>
    <w:rsid w:val="009D3A68"/>
    <w:rsid w:val="009D42D3"/>
    <w:rsid w:val="009D52EC"/>
    <w:rsid w:val="009D6358"/>
    <w:rsid w:val="009D73AC"/>
    <w:rsid w:val="009E0C85"/>
    <w:rsid w:val="009E3265"/>
    <w:rsid w:val="009E349A"/>
    <w:rsid w:val="009E3952"/>
    <w:rsid w:val="009E407C"/>
    <w:rsid w:val="009E49D4"/>
    <w:rsid w:val="009E533B"/>
    <w:rsid w:val="009E745F"/>
    <w:rsid w:val="009F0BD1"/>
    <w:rsid w:val="009F0D2F"/>
    <w:rsid w:val="009F4412"/>
    <w:rsid w:val="009F6FF9"/>
    <w:rsid w:val="00A01E13"/>
    <w:rsid w:val="00A01F35"/>
    <w:rsid w:val="00A025E6"/>
    <w:rsid w:val="00A04B41"/>
    <w:rsid w:val="00A04CA1"/>
    <w:rsid w:val="00A050DC"/>
    <w:rsid w:val="00A105DD"/>
    <w:rsid w:val="00A116F1"/>
    <w:rsid w:val="00A12485"/>
    <w:rsid w:val="00A14B00"/>
    <w:rsid w:val="00A15223"/>
    <w:rsid w:val="00A15C1D"/>
    <w:rsid w:val="00A15C5F"/>
    <w:rsid w:val="00A174EE"/>
    <w:rsid w:val="00A2045D"/>
    <w:rsid w:val="00A2080F"/>
    <w:rsid w:val="00A211B2"/>
    <w:rsid w:val="00A21A21"/>
    <w:rsid w:val="00A221D7"/>
    <w:rsid w:val="00A252FB"/>
    <w:rsid w:val="00A2735B"/>
    <w:rsid w:val="00A306EA"/>
    <w:rsid w:val="00A3119B"/>
    <w:rsid w:val="00A32003"/>
    <w:rsid w:val="00A3399F"/>
    <w:rsid w:val="00A33A6F"/>
    <w:rsid w:val="00A33C51"/>
    <w:rsid w:val="00A353C9"/>
    <w:rsid w:val="00A3552C"/>
    <w:rsid w:val="00A35F08"/>
    <w:rsid w:val="00A40242"/>
    <w:rsid w:val="00A4084D"/>
    <w:rsid w:val="00A43CCA"/>
    <w:rsid w:val="00A44BAD"/>
    <w:rsid w:val="00A45910"/>
    <w:rsid w:val="00A46E47"/>
    <w:rsid w:val="00A51AC7"/>
    <w:rsid w:val="00A51BE2"/>
    <w:rsid w:val="00A529DB"/>
    <w:rsid w:val="00A53BA6"/>
    <w:rsid w:val="00A53CC9"/>
    <w:rsid w:val="00A55F81"/>
    <w:rsid w:val="00A573F6"/>
    <w:rsid w:val="00A60923"/>
    <w:rsid w:val="00A61341"/>
    <w:rsid w:val="00A62E35"/>
    <w:rsid w:val="00A62E52"/>
    <w:rsid w:val="00A63BF7"/>
    <w:rsid w:val="00A63C11"/>
    <w:rsid w:val="00A671C7"/>
    <w:rsid w:val="00A67282"/>
    <w:rsid w:val="00A678D0"/>
    <w:rsid w:val="00A70232"/>
    <w:rsid w:val="00A71EED"/>
    <w:rsid w:val="00A74B41"/>
    <w:rsid w:val="00A755C0"/>
    <w:rsid w:val="00A75C6C"/>
    <w:rsid w:val="00A818A6"/>
    <w:rsid w:val="00A821B0"/>
    <w:rsid w:val="00A83375"/>
    <w:rsid w:val="00A85D8A"/>
    <w:rsid w:val="00A86408"/>
    <w:rsid w:val="00A918E3"/>
    <w:rsid w:val="00A91F9F"/>
    <w:rsid w:val="00A92B1E"/>
    <w:rsid w:val="00A92E6C"/>
    <w:rsid w:val="00A93C24"/>
    <w:rsid w:val="00A9447A"/>
    <w:rsid w:val="00A946DE"/>
    <w:rsid w:val="00A949EE"/>
    <w:rsid w:val="00A95462"/>
    <w:rsid w:val="00A9587B"/>
    <w:rsid w:val="00AA00DB"/>
    <w:rsid w:val="00AA0701"/>
    <w:rsid w:val="00AA2782"/>
    <w:rsid w:val="00AA7F9E"/>
    <w:rsid w:val="00AB0FAA"/>
    <w:rsid w:val="00AB2683"/>
    <w:rsid w:val="00AB26A4"/>
    <w:rsid w:val="00AB326A"/>
    <w:rsid w:val="00AB51E6"/>
    <w:rsid w:val="00AB5D82"/>
    <w:rsid w:val="00AC13BF"/>
    <w:rsid w:val="00AC260A"/>
    <w:rsid w:val="00AC2739"/>
    <w:rsid w:val="00AC3BE2"/>
    <w:rsid w:val="00AC4267"/>
    <w:rsid w:val="00AC45CB"/>
    <w:rsid w:val="00AC77C1"/>
    <w:rsid w:val="00AD1A19"/>
    <w:rsid w:val="00AD1C3B"/>
    <w:rsid w:val="00AD2E45"/>
    <w:rsid w:val="00AD74D0"/>
    <w:rsid w:val="00AE0655"/>
    <w:rsid w:val="00AE088D"/>
    <w:rsid w:val="00AE0A43"/>
    <w:rsid w:val="00AE1187"/>
    <w:rsid w:val="00AE23A1"/>
    <w:rsid w:val="00AE24E5"/>
    <w:rsid w:val="00AE285D"/>
    <w:rsid w:val="00AE2FE4"/>
    <w:rsid w:val="00AE33EE"/>
    <w:rsid w:val="00AE3C7B"/>
    <w:rsid w:val="00AE43E0"/>
    <w:rsid w:val="00AE7EDE"/>
    <w:rsid w:val="00AF0F9F"/>
    <w:rsid w:val="00AF158F"/>
    <w:rsid w:val="00AF2FB9"/>
    <w:rsid w:val="00AF543C"/>
    <w:rsid w:val="00AF7BEF"/>
    <w:rsid w:val="00AF7CDA"/>
    <w:rsid w:val="00B0139E"/>
    <w:rsid w:val="00B0140C"/>
    <w:rsid w:val="00B05777"/>
    <w:rsid w:val="00B062A4"/>
    <w:rsid w:val="00B07655"/>
    <w:rsid w:val="00B10A62"/>
    <w:rsid w:val="00B10F4D"/>
    <w:rsid w:val="00B12029"/>
    <w:rsid w:val="00B138B5"/>
    <w:rsid w:val="00B17AEA"/>
    <w:rsid w:val="00B20980"/>
    <w:rsid w:val="00B212C9"/>
    <w:rsid w:val="00B222D8"/>
    <w:rsid w:val="00B223B1"/>
    <w:rsid w:val="00B22882"/>
    <w:rsid w:val="00B23C55"/>
    <w:rsid w:val="00B27624"/>
    <w:rsid w:val="00B3409F"/>
    <w:rsid w:val="00B34148"/>
    <w:rsid w:val="00B34EC8"/>
    <w:rsid w:val="00B3506C"/>
    <w:rsid w:val="00B41E2F"/>
    <w:rsid w:val="00B426BF"/>
    <w:rsid w:val="00B42CE0"/>
    <w:rsid w:val="00B44CAB"/>
    <w:rsid w:val="00B46A74"/>
    <w:rsid w:val="00B46F95"/>
    <w:rsid w:val="00B51789"/>
    <w:rsid w:val="00B5184D"/>
    <w:rsid w:val="00B52054"/>
    <w:rsid w:val="00B5391B"/>
    <w:rsid w:val="00B54273"/>
    <w:rsid w:val="00B550B9"/>
    <w:rsid w:val="00B55DBD"/>
    <w:rsid w:val="00B5664C"/>
    <w:rsid w:val="00B61B08"/>
    <w:rsid w:val="00B61E0E"/>
    <w:rsid w:val="00B6202A"/>
    <w:rsid w:val="00B62676"/>
    <w:rsid w:val="00B630C0"/>
    <w:rsid w:val="00B640F7"/>
    <w:rsid w:val="00B64B60"/>
    <w:rsid w:val="00B64D4E"/>
    <w:rsid w:val="00B64F16"/>
    <w:rsid w:val="00B664BA"/>
    <w:rsid w:val="00B66CB7"/>
    <w:rsid w:val="00B71F5F"/>
    <w:rsid w:val="00B72397"/>
    <w:rsid w:val="00B73ABC"/>
    <w:rsid w:val="00B74BF9"/>
    <w:rsid w:val="00B74C6E"/>
    <w:rsid w:val="00B750F9"/>
    <w:rsid w:val="00B76F25"/>
    <w:rsid w:val="00B81ADB"/>
    <w:rsid w:val="00B82229"/>
    <w:rsid w:val="00B83DBC"/>
    <w:rsid w:val="00B852EA"/>
    <w:rsid w:val="00B92955"/>
    <w:rsid w:val="00B93EC7"/>
    <w:rsid w:val="00B94A90"/>
    <w:rsid w:val="00B959A0"/>
    <w:rsid w:val="00B968A1"/>
    <w:rsid w:val="00B96D54"/>
    <w:rsid w:val="00BA07E9"/>
    <w:rsid w:val="00BA54E1"/>
    <w:rsid w:val="00BB12C4"/>
    <w:rsid w:val="00BB2185"/>
    <w:rsid w:val="00BB3713"/>
    <w:rsid w:val="00BB5F2B"/>
    <w:rsid w:val="00BB629F"/>
    <w:rsid w:val="00BC0140"/>
    <w:rsid w:val="00BC216E"/>
    <w:rsid w:val="00BC2B7A"/>
    <w:rsid w:val="00BC3EF5"/>
    <w:rsid w:val="00BC408B"/>
    <w:rsid w:val="00BC472A"/>
    <w:rsid w:val="00BC4746"/>
    <w:rsid w:val="00BC6D3F"/>
    <w:rsid w:val="00BD137D"/>
    <w:rsid w:val="00BD1BE6"/>
    <w:rsid w:val="00BD1EF7"/>
    <w:rsid w:val="00BD3B31"/>
    <w:rsid w:val="00BD4EFA"/>
    <w:rsid w:val="00BD4FF6"/>
    <w:rsid w:val="00BD52B2"/>
    <w:rsid w:val="00BD5906"/>
    <w:rsid w:val="00BD651E"/>
    <w:rsid w:val="00BD78CA"/>
    <w:rsid w:val="00BE095F"/>
    <w:rsid w:val="00BE16B5"/>
    <w:rsid w:val="00BE2C40"/>
    <w:rsid w:val="00BE4545"/>
    <w:rsid w:val="00BE7B79"/>
    <w:rsid w:val="00BE7D8A"/>
    <w:rsid w:val="00BF0685"/>
    <w:rsid w:val="00BF0CDF"/>
    <w:rsid w:val="00BF5338"/>
    <w:rsid w:val="00BF6C40"/>
    <w:rsid w:val="00C0386A"/>
    <w:rsid w:val="00C04061"/>
    <w:rsid w:val="00C056EB"/>
    <w:rsid w:val="00C0598E"/>
    <w:rsid w:val="00C12EDF"/>
    <w:rsid w:val="00C14EF9"/>
    <w:rsid w:val="00C176C6"/>
    <w:rsid w:val="00C17F9F"/>
    <w:rsid w:val="00C20202"/>
    <w:rsid w:val="00C2035C"/>
    <w:rsid w:val="00C20ABF"/>
    <w:rsid w:val="00C2288B"/>
    <w:rsid w:val="00C234CD"/>
    <w:rsid w:val="00C23B21"/>
    <w:rsid w:val="00C23F86"/>
    <w:rsid w:val="00C249C9"/>
    <w:rsid w:val="00C24B27"/>
    <w:rsid w:val="00C25982"/>
    <w:rsid w:val="00C33297"/>
    <w:rsid w:val="00C34445"/>
    <w:rsid w:val="00C3450A"/>
    <w:rsid w:val="00C3598C"/>
    <w:rsid w:val="00C36579"/>
    <w:rsid w:val="00C4015C"/>
    <w:rsid w:val="00C40D28"/>
    <w:rsid w:val="00C4171C"/>
    <w:rsid w:val="00C4215A"/>
    <w:rsid w:val="00C432AC"/>
    <w:rsid w:val="00C44506"/>
    <w:rsid w:val="00C45A30"/>
    <w:rsid w:val="00C45F64"/>
    <w:rsid w:val="00C4683C"/>
    <w:rsid w:val="00C470FB"/>
    <w:rsid w:val="00C565AA"/>
    <w:rsid w:val="00C57610"/>
    <w:rsid w:val="00C616FA"/>
    <w:rsid w:val="00C62281"/>
    <w:rsid w:val="00C637F8"/>
    <w:rsid w:val="00C63E43"/>
    <w:rsid w:val="00C67402"/>
    <w:rsid w:val="00C70878"/>
    <w:rsid w:val="00C729AD"/>
    <w:rsid w:val="00C72AF7"/>
    <w:rsid w:val="00C736CB"/>
    <w:rsid w:val="00C75845"/>
    <w:rsid w:val="00C834FB"/>
    <w:rsid w:val="00C867D1"/>
    <w:rsid w:val="00C8694C"/>
    <w:rsid w:val="00C906A0"/>
    <w:rsid w:val="00C90F69"/>
    <w:rsid w:val="00C91354"/>
    <w:rsid w:val="00C91392"/>
    <w:rsid w:val="00C92575"/>
    <w:rsid w:val="00C93B24"/>
    <w:rsid w:val="00C9446D"/>
    <w:rsid w:val="00C94850"/>
    <w:rsid w:val="00C97EC2"/>
    <w:rsid w:val="00CA0D27"/>
    <w:rsid w:val="00CA0FAB"/>
    <w:rsid w:val="00CA10F0"/>
    <w:rsid w:val="00CA1BED"/>
    <w:rsid w:val="00CA2B6F"/>
    <w:rsid w:val="00CA2BE9"/>
    <w:rsid w:val="00CA31DD"/>
    <w:rsid w:val="00CA463A"/>
    <w:rsid w:val="00CA509E"/>
    <w:rsid w:val="00CA70B9"/>
    <w:rsid w:val="00CA76BF"/>
    <w:rsid w:val="00CB0279"/>
    <w:rsid w:val="00CB0B4E"/>
    <w:rsid w:val="00CB1676"/>
    <w:rsid w:val="00CB4401"/>
    <w:rsid w:val="00CB5518"/>
    <w:rsid w:val="00CC0524"/>
    <w:rsid w:val="00CC100D"/>
    <w:rsid w:val="00CC1878"/>
    <w:rsid w:val="00CC6FF9"/>
    <w:rsid w:val="00CC7570"/>
    <w:rsid w:val="00CD0944"/>
    <w:rsid w:val="00CD0B7C"/>
    <w:rsid w:val="00CD116C"/>
    <w:rsid w:val="00CD27A8"/>
    <w:rsid w:val="00CD2CC6"/>
    <w:rsid w:val="00CD42BD"/>
    <w:rsid w:val="00CD527C"/>
    <w:rsid w:val="00CE0019"/>
    <w:rsid w:val="00CE00B3"/>
    <w:rsid w:val="00CE0636"/>
    <w:rsid w:val="00CE1EF1"/>
    <w:rsid w:val="00CE1FE7"/>
    <w:rsid w:val="00CE311A"/>
    <w:rsid w:val="00CE39A2"/>
    <w:rsid w:val="00CE57EB"/>
    <w:rsid w:val="00CE58A9"/>
    <w:rsid w:val="00CE5B7E"/>
    <w:rsid w:val="00CE75FF"/>
    <w:rsid w:val="00CE7D01"/>
    <w:rsid w:val="00CF3356"/>
    <w:rsid w:val="00CF3578"/>
    <w:rsid w:val="00CF4551"/>
    <w:rsid w:val="00CF646F"/>
    <w:rsid w:val="00CF76B3"/>
    <w:rsid w:val="00D0027A"/>
    <w:rsid w:val="00D00FF4"/>
    <w:rsid w:val="00D02162"/>
    <w:rsid w:val="00D0219F"/>
    <w:rsid w:val="00D03ACE"/>
    <w:rsid w:val="00D05442"/>
    <w:rsid w:val="00D0735B"/>
    <w:rsid w:val="00D106B5"/>
    <w:rsid w:val="00D11865"/>
    <w:rsid w:val="00D12128"/>
    <w:rsid w:val="00D1273D"/>
    <w:rsid w:val="00D14B66"/>
    <w:rsid w:val="00D14C2C"/>
    <w:rsid w:val="00D16310"/>
    <w:rsid w:val="00D17162"/>
    <w:rsid w:val="00D1785B"/>
    <w:rsid w:val="00D20A6D"/>
    <w:rsid w:val="00D21364"/>
    <w:rsid w:val="00D21719"/>
    <w:rsid w:val="00D21868"/>
    <w:rsid w:val="00D22236"/>
    <w:rsid w:val="00D254A8"/>
    <w:rsid w:val="00D268E9"/>
    <w:rsid w:val="00D27609"/>
    <w:rsid w:val="00D375E6"/>
    <w:rsid w:val="00D419BB"/>
    <w:rsid w:val="00D426D6"/>
    <w:rsid w:val="00D443AA"/>
    <w:rsid w:val="00D45412"/>
    <w:rsid w:val="00D454B1"/>
    <w:rsid w:val="00D4596C"/>
    <w:rsid w:val="00D46452"/>
    <w:rsid w:val="00D46537"/>
    <w:rsid w:val="00D46DFD"/>
    <w:rsid w:val="00D473B3"/>
    <w:rsid w:val="00D4773F"/>
    <w:rsid w:val="00D5106D"/>
    <w:rsid w:val="00D544FC"/>
    <w:rsid w:val="00D54786"/>
    <w:rsid w:val="00D55309"/>
    <w:rsid w:val="00D55836"/>
    <w:rsid w:val="00D60704"/>
    <w:rsid w:val="00D6102B"/>
    <w:rsid w:val="00D63F47"/>
    <w:rsid w:val="00D66B91"/>
    <w:rsid w:val="00D700FD"/>
    <w:rsid w:val="00D70548"/>
    <w:rsid w:val="00D70665"/>
    <w:rsid w:val="00D71A81"/>
    <w:rsid w:val="00D727C6"/>
    <w:rsid w:val="00D73FED"/>
    <w:rsid w:val="00D74021"/>
    <w:rsid w:val="00D748F3"/>
    <w:rsid w:val="00D76254"/>
    <w:rsid w:val="00D77800"/>
    <w:rsid w:val="00D80A85"/>
    <w:rsid w:val="00D80F14"/>
    <w:rsid w:val="00D82A2C"/>
    <w:rsid w:val="00D82E1B"/>
    <w:rsid w:val="00D83CE3"/>
    <w:rsid w:val="00D83D74"/>
    <w:rsid w:val="00D846DA"/>
    <w:rsid w:val="00D926AC"/>
    <w:rsid w:val="00D92951"/>
    <w:rsid w:val="00D92D79"/>
    <w:rsid w:val="00D944CB"/>
    <w:rsid w:val="00D969EA"/>
    <w:rsid w:val="00DA1F51"/>
    <w:rsid w:val="00DB1EE9"/>
    <w:rsid w:val="00DB2273"/>
    <w:rsid w:val="00DB2DB2"/>
    <w:rsid w:val="00DB2EB5"/>
    <w:rsid w:val="00DB57D2"/>
    <w:rsid w:val="00DB59F6"/>
    <w:rsid w:val="00DB66E8"/>
    <w:rsid w:val="00DB6701"/>
    <w:rsid w:val="00DB6823"/>
    <w:rsid w:val="00DC0F3C"/>
    <w:rsid w:val="00DC1AB8"/>
    <w:rsid w:val="00DC2620"/>
    <w:rsid w:val="00DC270B"/>
    <w:rsid w:val="00DC3A75"/>
    <w:rsid w:val="00DC51DD"/>
    <w:rsid w:val="00DC5B84"/>
    <w:rsid w:val="00DC5B9B"/>
    <w:rsid w:val="00DC629B"/>
    <w:rsid w:val="00DC70FC"/>
    <w:rsid w:val="00DD04A6"/>
    <w:rsid w:val="00DD0A13"/>
    <w:rsid w:val="00DD1810"/>
    <w:rsid w:val="00DD1BE8"/>
    <w:rsid w:val="00DD1C78"/>
    <w:rsid w:val="00DD3C8D"/>
    <w:rsid w:val="00DD548D"/>
    <w:rsid w:val="00DD56EC"/>
    <w:rsid w:val="00DE566B"/>
    <w:rsid w:val="00DE6C34"/>
    <w:rsid w:val="00DE6D43"/>
    <w:rsid w:val="00DF12E1"/>
    <w:rsid w:val="00DF25C2"/>
    <w:rsid w:val="00DF407F"/>
    <w:rsid w:val="00DF6EF2"/>
    <w:rsid w:val="00DF7773"/>
    <w:rsid w:val="00E02B1A"/>
    <w:rsid w:val="00E0429D"/>
    <w:rsid w:val="00E04343"/>
    <w:rsid w:val="00E05ED4"/>
    <w:rsid w:val="00E06B56"/>
    <w:rsid w:val="00E12A60"/>
    <w:rsid w:val="00E13293"/>
    <w:rsid w:val="00E14B70"/>
    <w:rsid w:val="00E151F0"/>
    <w:rsid w:val="00E16463"/>
    <w:rsid w:val="00E20E5B"/>
    <w:rsid w:val="00E222CD"/>
    <w:rsid w:val="00E22407"/>
    <w:rsid w:val="00E24678"/>
    <w:rsid w:val="00E2686C"/>
    <w:rsid w:val="00E32480"/>
    <w:rsid w:val="00E332C4"/>
    <w:rsid w:val="00E359C0"/>
    <w:rsid w:val="00E361FF"/>
    <w:rsid w:val="00E406BB"/>
    <w:rsid w:val="00E41A9B"/>
    <w:rsid w:val="00E438C7"/>
    <w:rsid w:val="00E443BC"/>
    <w:rsid w:val="00E4616C"/>
    <w:rsid w:val="00E461E7"/>
    <w:rsid w:val="00E46EEA"/>
    <w:rsid w:val="00E54742"/>
    <w:rsid w:val="00E55E81"/>
    <w:rsid w:val="00E57F7D"/>
    <w:rsid w:val="00E60817"/>
    <w:rsid w:val="00E635FB"/>
    <w:rsid w:val="00E63774"/>
    <w:rsid w:val="00E63DD0"/>
    <w:rsid w:val="00E64F78"/>
    <w:rsid w:val="00E654CA"/>
    <w:rsid w:val="00E6643A"/>
    <w:rsid w:val="00E66CE1"/>
    <w:rsid w:val="00E67665"/>
    <w:rsid w:val="00E71947"/>
    <w:rsid w:val="00E71D62"/>
    <w:rsid w:val="00E734C5"/>
    <w:rsid w:val="00E73E7E"/>
    <w:rsid w:val="00E760BC"/>
    <w:rsid w:val="00E778A3"/>
    <w:rsid w:val="00E80185"/>
    <w:rsid w:val="00E80698"/>
    <w:rsid w:val="00E80F33"/>
    <w:rsid w:val="00E82E21"/>
    <w:rsid w:val="00E83406"/>
    <w:rsid w:val="00E84EAD"/>
    <w:rsid w:val="00E8763B"/>
    <w:rsid w:val="00E90028"/>
    <w:rsid w:val="00E90B41"/>
    <w:rsid w:val="00E913B7"/>
    <w:rsid w:val="00E92597"/>
    <w:rsid w:val="00E949B4"/>
    <w:rsid w:val="00EA1074"/>
    <w:rsid w:val="00EA4130"/>
    <w:rsid w:val="00EA5A0F"/>
    <w:rsid w:val="00EA6353"/>
    <w:rsid w:val="00EA765C"/>
    <w:rsid w:val="00EB02D1"/>
    <w:rsid w:val="00EB0576"/>
    <w:rsid w:val="00EB1FD8"/>
    <w:rsid w:val="00EB234E"/>
    <w:rsid w:val="00EB3462"/>
    <w:rsid w:val="00EB6131"/>
    <w:rsid w:val="00EB6A5B"/>
    <w:rsid w:val="00EB6FF2"/>
    <w:rsid w:val="00EB77DE"/>
    <w:rsid w:val="00EB78F2"/>
    <w:rsid w:val="00EB7D4D"/>
    <w:rsid w:val="00EC1DC3"/>
    <w:rsid w:val="00EC5032"/>
    <w:rsid w:val="00EC7887"/>
    <w:rsid w:val="00EC7E12"/>
    <w:rsid w:val="00ED32E0"/>
    <w:rsid w:val="00ED4275"/>
    <w:rsid w:val="00ED511D"/>
    <w:rsid w:val="00ED53FF"/>
    <w:rsid w:val="00ED7FA2"/>
    <w:rsid w:val="00EE2BE1"/>
    <w:rsid w:val="00EE4489"/>
    <w:rsid w:val="00EE5A05"/>
    <w:rsid w:val="00EE650F"/>
    <w:rsid w:val="00EE75F1"/>
    <w:rsid w:val="00EF0CB8"/>
    <w:rsid w:val="00EF174F"/>
    <w:rsid w:val="00EF2D57"/>
    <w:rsid w:val="00EF34AF"/>
    <w:rsid w:val="00EF5320"/>
    <w:rsid w:val="00EF55FB"/>
    <w:rsid w:val="00EF5673"/>
    <w:rsid w:val="00EF5D1D"/>
    <w:rsid w:val="00EF6349"/>
    <w:rsid w:val="00EF6534"/>
    <w:rsid w:val="00EF7461"/>
    <w:rsid w:val="00F02709"/>
    <w:rsid w:val="00F02B58"/>
    <w:rsid w:val="00F037CD"/>
    <w:rsid w:val="00F03970"/>
    <w:rsid w:val="00F04187"/>
    <w:rsid w:val="00F05D02"/>
    <w:rsid w:val="00F07FAC"/>
    <w:rsid w:val="00F10D7F"/>
    <w:rsid w:val="00F11371"/>
    <w:rsid w:val="00F12B1E"/>
    <w:rsid w:val="00F130BC"/>
    <w:rsid w:val="00F14D79"/>
    <w:rsid w:val="00F177D7"/>
    <w:rsid w:val="00F21165"/>
    <w:rsid w:val="00F220BA"/>
    <w:rsid w:val="00F22AE0"/>
    <w:rsid w:val="00F24627"/>
    <w:rsid w:val="00F24D81"/>
    <w:rsid w:val="00F25299"/>
    <w:rsid w:val="00F2602B"/>
    <w:rsid w:val="00F32997"/>
    <w:rsid w:val="00F336E5"/>
    <w:rsid w:val="00F33765"/>
    <w:rsid w:val="00F35B67"/>
    <w:rsid w:val="00F35BAC"/>
    <w:rsid w:val="00F40782"/>
    <w:rsid w:val="00F40CD5"/>
    <w:rsid w:val="00F41788"/>
    <w:rsid w:val="00F443D5"/>
    <w:rsid w:val="00F45196"/>
    <w:rsid w:val="00F531F5"/>
    <w:rsid w:val="00F53328"/>
    <w:rsid w:val="00F54DE6"/>
    <w:rsid w:val="00F5613A"/>
    <w:rsid w:val="00F5690F"/>
    <w:rsid w:val="00F56B02"/>
    <w:rsid w:val="00F64B5E"/>
    <w:rsid w:val="00F66122"/>
    <w:rsid w:val="00F66E80"/>
    <w:rsid w:val="00F67EEB"/>
    <w:rsid w:val="00F67F3F"/>
    <w:rsid w:val="00F71F6A"/>
    <w:rsid w:val="00F72B7C"/>
    <w:rsid w:val="00F76822"/>
    <w:rsid w:val="00F76F16"/>
    <w:rsid w:val="00F776A1"/>
    <w:rsid w:val="00F81B9F"/>
    <w:rsid w:val="00F81BD7"/>
    <w:rsid w:val="00F8268A"/>
    <w:rsid w:val="00F829DE"/>
    <w:rsid w:val="00F8314E"/>
    <w:rsid w:val="00F8321E"/>
    <w:rsid w:val="00F839EE"/>
    <w:rsid w:val="00F83CF7"/>
    <w:rsid w:val="00F8497E"/>
    <w:rsid w:val="00F90D30"/>
    <w:rsid w:val="00F91BED"/>
    <w:rsid w:val="00F92547"/>
    <w:rsid w:val="00F9258B"/>
    <w:rsid w:val="00F933D7"/>
    <w:rsid w:val="00F94DD5"/>
    <w:rsid w:val="00F9527A"/>
    <w:rsid w:val="00F95583"/>
    <w:rsid w:val="00F978C1"/>
    <w:rsid w:val="00F97D78"/>
    <w:rsid w:val="00F97F8C"/>
    <w:rsid w:val="00FA0456"/>
    <w:rsid w:val="00FA15C8"/>
    <w:rsid w:val="00FA1971"/>
    <w:rsid w:val="00FA2317"/>
    <w:rsid w:val="00FA2D21"/>
    <w:rsid w:val="00FA486B"/>
    <w:rsid w:val="00FA4ABB"/>
    <w:rsid w:val="00FA7599"/>
    <w:rsid w:val="00FB1213"/>
    <w:rsid w:val="00FB1D36"/>
    <w:rsid w:val="00FB2511"/>
    <w:rsid w:val="00FB4226"/>
    <w:rsid w:val="00FB447C"/>
    <w:rsid w:val="00FB510A"/>
    <w:rsid w:val="00FB5733"/>
    <w:rsid w:val="00FB5A85"/>
    <w:rsid w:val="00FB5E9B"/>
    <w:rsid w:val="00FC074D"/>
    <w:rsid w:val="00FC196F"/>
    <w:rsid w:val="00FC44AC"/>
    <w:rsid w:val="00FC60A8"/>
    <w:rsid w:val="00FC735B"/>
    <w:rsid w:val="00FD0C64"/>
    <w:rsid w:val="00FD25CD"/>
    <w:rsid w:val="00FD3C84"/>
    <w:rsid w:val="00FD3CD5"/>
    <w:rsid w:val="00FD50C9"/>
    <w:rsid w:val="00FD5500"/>
    <w:rsid w:val="00FD5A7B"/>
    <w:rsid w:val="00FD5AE6"/>
    <w:rsid w:val="00FD69BB"/>
    <w:rsid w:val="00FD6E84"/>
    <w:rsid w:val="00FE0D5B"/>
    <w:rsid w:val="00FE28A7"/>
    <w:rsid w:val="00FE3C64"/>
    <w:rsid w:val="00FE3F1F"/>
    <w:rsid w:val="00FE5C01"/>
    <w:rsid w:val="00FF05B2"/>
    <w:rsid w:val="00FF0BDE"/>
    <w:rsid w:val="00FF0D09"/>
    <w:rsid w:val="00FF11AE"/>
    <w:rsid w:val="00FF220A"/>
    <w:rsid w:val="00FF4407"/>
    <w:rsid w:val="00FF5248"/>
    <w:rsid w:val="00FF5662"/>
    <w:rsid w:val="3FA815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66D6D"/>
  <w15:docId w15:val="{2E9D6B7D-AFB1-BC4E-B87D-11C332DDD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9447A"/>
    <w:rPr>
      <w:rFonts w:ascii="Times New Roman" w:eastAsia="Times New Roman" w:hAnsi="Times New Roman" w:cs="Times New Roman"/>
      <w:lang w:val="en-AU" w:bidi="en-US"/>
    </w:rPr>
  </w:style>
  <w:style w:type="paragraph" w:styleId="Heading1">
    <w:name w:val="heading 1"/>
    <w:basedOn w:val="Normal"/>
    <w:next w:val="Normal"/>
    <w:link w:val="Heading1Char"/>
    <w:uiPriority w:val="9"/>
    <w:qFormat/>
    <w:rsid w:val="00300434"/>
    <w:pPr>
      <w:outlineLvl w:val="0"/>
    </w:pPr>
    <w:rPr>
      <w:rFonts w:ascii="Arial Nova Cond" w:hAnsi="Arial Nova Cond"/>
      <w:b/>
      <w:caps/>
      <w:color w:val="A82700"/>
      <w:sz w:val="32"/>
      <w:szCs w:val="32"/>
    </w:rPr>
  </w:style>
  <w:style w:type="paragraph" w:styleId="Heading2">
    <w:name w:val="heading 2"/>
    <w:basedOn w:val="Heading1"/>
    <w:next w:val="Normal"/>
    <w:link w:val="Heading2Char"/>
    <w:uiPriority w:val="9"/>
    <w:unhideWhenUsed/>
    <w:qFormat/>
    <w:rsid w:val="00143733"/>
    <w:pPr>
      <w:outlineLvl w:val="1"/>
    </w:pPr>
    <w:rPr>
      <w:b w:val="0"/>
      <w:szCs w:val="24"/>
    </w:rPr>
  </w:style>
  <w:style w:type="paragraph" w:styleId="Heading3">
    <w:name w:val="heading 3"/>
    <w:basedOn w:val="Normal"/>
    <w:next w:val="Normal"/>
    <w:link w:val="Heading3Char"/>
    <w:uiPriority w:val="9"/>
    <w:unhideWhenUsed/>
    <w:qFormat/>
    <w:rsid w:val="00B34148"/>
    <w:pPr>
      <w:keepNext/>
      <w:keepLines/>
      <w:spacing w:before="240" w:after="120"/>
      <w:outlineLvl w:val="2"/>
    </w:pPr>
    <w:rPr>
      <w:rFonts w:ascii="Arial Nova Cond" w:eastAsiaTheme="majorEastAsia" w:hAnsi="Arial Nova Cond" w:cstheme="majorBidi"/>
      <w:b/>
      <w:bCs/>
      <w:caps/>
      <w:color w:val="A82700"/>
      <w:sz w:val="21"/>
      <w:szCs w:val="21"/>
    </w:rPr>
  </w:style>
  <w:style w:type="paragraph" w:styleId="Heading4">
    <w:name w:val="heading 4"/>
    <w:basedOn w:val="Normal"/>
    <w:next w:val="Normal"/>
    <w:link w:val="Heading4Char"/>
    <w:uiPriority w:val="9"/>
    <w:unhideWhenUsed/>
    <w:qFormat/>
    <w:rsid w:val="004F491D"/>
    <w:pPr>
      <w:keepNext/>
      <w:keepLines/>
      <w:spacing w:before="80" w:after="80"/>
      <w:outlineLvl w:val="3"/>
    </w:pPr>
    <w:rPr>
      <w:rFonts w:eastAsiaTheme="majorEastAsia"/>
      <w:b/>
      <w:i/>
      <w:iCs/>
      <w:color w:val="A82700"/>
    </w:rPr>
  </w:style>
  <w:style w:type="paragraph" w:styleId="Heading5">
    <w:name w:val="heading 5"/>
    <w:basedOn w:val="Normal"/>
    <w:next w:val="Normal"/>
    <w:link w:val="Heading5Char"/>
    <w:uiPriority w:val="9"/>
    <w:unhideWhenUsed/>
    <w:qFormat/>
    <w:rsid w:val="001306AA"/>
    <w:pPr>
      <w:keepNext/>
      <w:keepLines/>
      <w:spacing w:before="40"/>
      <w:outlineLvl w:val="4"/>
    </w:pPr>
    <w:rPr>
      <w:rFonts w:asciiTheme="majorHAnsi" w:eastAsiaTheme="majorEastAsia" w:hAnsiTheme="majorHAnsi" w:cstheme="majorBidi"/>
      <w:color w:val="EE3400" w:themeColor="accent1" w:themeShade="BF"/>
    </w:rPr>
  </w:style>
  <w:style w:type="paragraph" w:styleId="Heading6">
    <w:name w:val="heading 6"/>
    <w:basedOn w:val="Normal"/>
    <w:next w:val="Normal"/>
    <w:link w:val="Heading6Char"/>
    <w:uiPriority w:val="9"/>
    <w:semiHidden/>
    <w:unhideWhenUsed/>
    <w:qFormat/>
    <w:rsid w:val="00A9447A"/>
    <w:pPr>
      <w:keepNext/>
      <w:keepLines/>
      <w:spacing w:before="40"/>
      <w:outlineLvl w:val="5"/>
    </w:pPr>
    <w:rPr>
      <w:rFonts w:asciiTheme="majorHAnsi" w:eastAsiaTheme="majorEastAsia" w:hAnsiTheme="majorHAnsi" w:cstheme="majorBidi"/>
      <w:color w:val="9E22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9447A"/>
    <w:pPr>
      <w:spacing w:before="115" w:line="249" w:lineRule="auto"/>
      <w:ind w:left="20" w:right="59"/>
    </w:pPr>
    <w:rPr>
      <w:color w:val="414042"/>
      <w:sz w:val="21"/>
      <w:szCs w:val="21"/>
    </w:rPr>
  </w:style>
  <w:style w:type="paragraph" w:styleId="ListParagraph">
    <w:name w:val="List Paragraph"/>
    <w:aliases w:val="List Paragraph IS,lp,Bullets Level 1,Bullets,List Paragraph1,List Paragraph11,Capire List Paragraph,Bullet point,L,Recommendation,DDM Gen Text,List Paragraph - bullets,NFP GP Bulleted List,bullet point list,Bullet points,Bullet Point,Main"/>
    <w:basedOn w:val="Normal"/>
    <w:link w:val="ListParagraphChar"/>
    <w:uiPriority w:val="34"/>
    <w:qFormat/>
    <w:rsid w:val="00A9447A"/>
  </w:style>
  <w:style w:type="paragraph" w:customStyle="1" w:styleId="TableParagraph">
    <w:name w:val="Table Paragraph"/>
    <w:basedOn w:val="Normal"/>
    <w:uiPriority w:val="1"/>
    <w:qFormat/>
    <w:rsid w:val="00A9447A"/>
  </w:style>
  <w:style w:type="paragraph" w:styleId="Header">
    <w:name w:val="header"/>
    <w:basedOn w:val="Normal"/>
    <w:link w:val="HeaderChar"/>
    <w:uiPriority w:val="99"/>
    <w:unhideWhenUsed/>
    <w:rsid w:val="00A9447A"/>
    <w:pPr>
      <w:tabs>
        <w:tab w:val="center" w:pos="4680"/>
        <w:tab w:val="right" w:pos="9360"/>
      </w:tabs>
    </w:pPr>
  </w:style>
  <w:style w:type="character" w:customStyle="1" w:styleId="HeaderChar">
    <w:name w:val="Header Char"/>
    <w:basedOn w:val="DefaultParagraphFont"/>
    <w:link w:val="Header"/>
    <w:uiPriority w:val="99"/>
    <w:rsid w:val="00A9447A"/>
    <w:rPr>
      <w:rFonts w:ascii="Times New Roman" w:eastAsia="Times New Roman" w:hAnsi="Times New Roman" w:cs="Times New Roman"/>
      <w:lang w:val="en-AU" w:bidi="en-US"/>
    </w:rPr>
  </w:style>
  <w:style w:type="paragraph" w:styleId="Footer">
    <w:name w:val="footer"/>
    <w:basedOn w:val="Normal"/>
    <w:link w:val="FooterChar"/>
    <w:uiPriority w:val="99"/>
    <w:unhideWhenUsed/>
    <w:rsid w:val="00A9447A"/>
    <w:pPr>
      <w:tabs>
        <w:tab w:val="center" w:pos="4680"/>
        <w:tab w:val="right" w:pos="9360"/>
      </w:tabs>
    </w:pPr>
  </w:style>
  <w:style w:type="character" w:customStyle="1" w:styleId="FooterChar">
    <w:name w:val="Footer Char"/>
    <w:basedOn w:val="DefaultParagraphFont"/>
    <w:link w:val="Footer"/>
    <w:uiPriority w:val="99"/>
    <w:rsid w:val="00A9447A"/>
    <w:rPr>
      <w:rFonts w:ascii="Times New Roman" w:eastAsia="Times New Roman" w:hAnsi="Times New Roman" w:cs="Times New Roman"/>
      <w:lang w:val="en-AU" w:bidi="en-US"/>
    </w:rPr>
  </w:style>
  <w:style w:type="character" w:styleId="PageNumber">
    <w:name w:val="page number"/>
    <w:basedOn w:val="DefaultParagraphFont"/>
    <w:uiPriority w:val="99"/>
    <w:semiHidden/>
    <w:unhideWhenUsed/>
    <w:rsid w:val="00A9447A"/>
  </w:style>
  <w:style w:type="paragraph" w:styleId="BalloonText">
    <w:name w:val="Balloon Text"/>
    <w:basedOn w:val="Normal"/>
    <w:link w:val="BalloonTextChar"/>
    <w:uiPriority w:val="99"/>
    <w:semiHidden/>
    <w:unhideWhenUsed/>
    <w:rsid w:val="00A9447A"/>
    <w:rPr>
      <w:sz w:val="18"/>
      <w:szCs w:val="18"/>
    </w:rPr>
  </w:style>
  <w:style w:type="character" w:customStyle="1" w:styleId="BalloonTextChar">
    <w:name w:val="Balloon Text Char"/>
    <w:basedOn w:val="DefaultParagraphFont"/>
    <w:link w:val="BalloonText"/>
    <w:uiPriority w:val="99"/>
    <w:semiHidden/>
    <w:rsid w:val="00A9447A"/>
    <w:rPr>
      <w:rFonts w:ascii="Times New Roman" w:eastAsia="Times New Roman" w:hAnsi="Times New Roman" w:cs="Times New Roman"/>
      <w:sz w:val="18"/>
      <w:szCs w:val="18"/>
      <w:lang w:val="en-AU" w:bidi="en-US"/>
    </w:rPr>
  </w:style>
  <w:style w:type="paragraph" w:styleId="NoSpacing">
    <w:name w:val="No Spacing"/>
    <w:link w:val="NoSpacingChar"/>
    <w:uiPriority w:val="1"/>
    <w:rsid w:val="00A9447A"/>
    <w:pPr>
      <w:widowControl/>
      <w:autoSpaceDE/>
      <w:autoSpaceDN/>
    </w:pPr>
    <w:rPr>
      <w:rFonts w:eastAsiaTheme="minorEastAsia"/>
      <w:lang w:eastAsia="zh-CN"/>
    </w:rPr>
  </w:style>
  <w:style w:type="character" w:customStyle="1" w:styleId="NoSpacingChar">
    <w:name w:val="No Spacing Char"/>
    <w:basedOn w:val="DefaultParagraphFont"/>
    <w:link w:val="NoSpacing"/>
    <w:uiPriority w:val="1"/>
    <w:rsid w:val="00A9447A"/>
    <w:rPr>
      <w:rFonts w:eastAsiaTheme="minorEastAsia"/>
      <w:lang w:eastAsia="zh-CN"/>
    </w:rPr>
  </w:style>
  <w:style w:type="character" w:customStyle="1" w:styleId="Heading1Char">
    <w:name w:val="Heading 1 Char"/>
    <w:basedOn w:val="DefaultParagraphFont"/>
    <w:link w:val="Heading1"/>
    <w:uiPriority w:val="9"/>
    <w:rsid w:val="00300434"/>
    <w:rPr>
      <w:rFonts w:ascii="Arial Nova Cond" w:eastAsia="Times New Roman" w:hAnsi="Arial Nova Cond" w:cs="Times New Roman"/>
      <w:b/>
      <w:caps/>
      <w:color w:val="A82700"/>
      <w:sz w:val="32"/>
      <w:szCs w:val="32"/>
      <w:lang w:val="en-AU" w:bidi="en-US"/>
    </w:rPr>
  </w:style>
  <w:style w:type="character" w:customStyle="1" w:styleId="Heading2Char">
    <w:name w:val="Heading 2 Char"/>
    <w:basedOn w:val="DefaultParagraphFont"/>
    <w:link w:val="Heading2"/>
    <w:uiPriority w:val="9"/>
    <w:rsid w:val="00143733"/>
    <w:rPr>
      <w:rFonts w:ascii="Arial Nova Cond" w:eastAsia="Times New Roman" w:hAnsi="Arial Nova Cond" w:cs="Times New Roman"/>
      <w:caps/>
      <w:color w:val="F47953"/>
      <w:sz w:val="32"/>
      <w:szCs w:val="24"/>
      <w:lang w:val="en-AU" w:bidi="en-US"/>
    </w:rPr>
  </w:style>
  <w:style w:type="character" w:styleId="Hyperlink">
    <w:name w:val="Hyperlink"/>
    <w:basedOn w:val="DefaultParagraphFont"/>
    <w:uiPriority w:val="99"/>
    <w:unhideWhenUsed/>
    <w:rsid w:val="00A9447A"/>
    <w:rPr>
      <w:color w:val="25408F" w:themeColor="hyperlink"/>
      <w:u w:val="single"/>
    </w:rPr>
  </w:style>
  <w:style w:type="character" w:styleId="UnresolvedMention">
    <w:name w:val="Unresolved Mention"/>
    <w:basedOn w:val="DefaultParagraphFont"/>
    <w:uiPriority w:val="99"/>
    <w:unhideWhenUsed/>
    <w:rsid w:val="00A9447A"/>
    <w:rPr>
      <w:color w:val="605E5C"/>
      <w:shd w:val="clear" w:color="auto" w:fill="E1DFDD"/>
    </w:rPr>
  </w:style>
  <w:style w:type="paragraph" w:customStyle="1" w:styleId="BodyText1">
    <w:name w:val="Body Text1"/>
    <w:link w:val="BodytextChar0"/>
    <w:rsid w:val="00A9447A"/>
    <w:pPr>
      <w:widowControl/>
      <w:tabs>
        <w:tab w:val="left" w:pos="284"/>
        <w:tab w:val="left" w:pos="567"/>
        <w:tab w:val="left" w:pos="851"/>
      </w:tabs>
      <w:suppressAutoHyphens/>
      <w:autoSpaceDE/>
      <w:autoSpaceDN/>
      <w:spacing w:after="120"/>
    </w:pPr>
    <w:rPr>
      <w:rFonts w:ascii="Source Sans Pro" w:eastAsiaTheme="minorEastAsia" w:hAnsi="Source Sans Pro"/>
      <w:color w:val="414042" w:themeColor="text1"/>
      <w:sz w:val="20"/>
      <w:lang w:val="en-AU" w:eastAsia="en-AU"/>
    </w:rPr>
  </w:style>
  <w:style w:type="paragraph" w:customStyle="1" w:styleId="ReferenceAHURI">
    <w:name w:val="Reference (AHURI)"/>
    <w:basedOn w:val="BodyText1"/>
    <w:uiPriority w:val="5"/>
    <w:rsid w:val="00A9447A"/>
    <w:pPr>
      <w:spacing w:after="180"/>
      <w:ind w:left="425" w:hanging="425"/>
    </w:pPr>
  </w:style>
  <w:style w:type="paragraph" w:styleId="TOC1">
    <w:name w:val="toc 1"/>
    <w:basedOn w:val="Normal"/>
    <w:next w:val="Normal"/>
    <w:autoRedefine/>
    <w:uiPriority w:val="39"/>
    <w:unhideWhenUsed/>
    <w:qFormat/>
    <w:rsid w:val="00A9447A"/>
    <w:pPr>
      <w:widowControl/>
      <w:tabs>
        <w:tab w:val="right" w:leader="dot" w:pos="9016"/>
      </w:tabs>
      <w:autoSpaceDE/>
      <w:autoSpaceDN/>
      <w:spacing w:after="100" w:line="259" w:lineRule="auto"/>
    </w:pPr>
    <w:rPr>
      <w:rFonts w:eastAsiaTheme="minorHAnsi"/>
      <w:b/>
      <w:bCs/>
      <w:noProof/>
      <w:color w:val="414042" w:themeColor="text1"/>
      <w:sz w:val="21"/>
      <w:szCs w:val="21"/>
    </w:rPr>
  </w:style>
  <w:style w:type="character" w:customStyle="1" w:styleId="ListParagraphChar">
    <w:name w:val="List Paragraph Char"/>
    <w:aliases w:val="List Paragraph IS Char,lp Char,Bullets Level 1 Char,Bullets Char,List Paragraph1 Char,List Paragraph11 Char,Capire List Paragraph Char,Bullet point Char,L Char,Recommendation Char,DDM Gen Text Char,List Paragraph - bullets Char"/>
    <w:link w:val="ListParagraph"/>
    <w:uiPriority w:val="34"/>
    <w:qFormat/>
    <w:locked/>
    <w:rsid w:val="00A9447A"/>
    <w:rPr>
      <w:rFonts w:ascii="Times New Roman" w:eastAsia="Times New Roman" w:hAnsi="Times New Roman" w:cs="Times New Roman"/>
      <w:lang w:val="en-AU" w:bidi="en-US"/>
    </w:rPr>
  </w:style>
  <w:style w:type="table" w:customStyle="1" w:styleId="Style3">
    <w:name w:val="Style3"/>
    <w:basedOn w:val="TableNormal"/>
    <w:uiPriority w:val="99"/>
    <w:rsid w:val="00A9447A"/>
    <w:pPr>
      <w:widowControl/>
      <w:autoSpaceDE/>
      <w:autoSpaceDN/>
    </w:pPr>
    <w:rPr>
      <w:rFonts w:ascii="Calibri Light" w:eastAsia="Times New Roman" w:hAnsi="Calibri Light" w:cs="Times New Roman"/>
      <w:sz w:val="20"/>
      <w:szCs w:val="20"/>
      <w:lang w:val="en-AU" w:eastAsia="en-AU"/>
    </w:rPr>
    <w:tblPr>
      <w:tblBorders>
        <w:insideH w:val="single" w:sz="8" w:space="0" w:color="F2F2F2" w:themeColor="background1" w:themeShade="F2"/>
        <w:insideV w:val="single" w:sz="8" w:space="0" w:color="F2F2F2" w:themeColor="background1" w:themeShade="F2"/>
      </w:tblBorders>
    </w:tblPr>
  </w:style>
  <w:style w:type="character" w:customStyle="1" w:styleId="BodytextChar0">
    <w:name w:val="Body text Char"/>
    <w:basedOn w:val="DefaultParagraphFont"/>
    <w:link w:val="BodyText1"/>
    <w:rsid w:val="00A9447A"/>
    <w:rPr>
      <w:rFonts w:ascii="Source Sans Pro" w:eastAsiaTheme="minorEastAsia" w:hAnsi="Source Sans Pro"/>
      <w:color w:val="414042" w:themeColor="text1"/>
      <w:sz w:val="20"/>
      <w:lang w:val="en-AU" w:eastAsia="en-AU"/>
    </w:rPr>
  </w:style>
  <w:style w:type="paragraph" w:customStyle="1" w:styleId="Tabletext">
    <w:name w:val="Table text"/>
    <w:basedOn w:val="BodyText1"/>
    <w:link w:val="TabletextChar"/>
    <w:qFormat/>
    <w:rsid w:val="00A9447A"/>
    <w:pPr>
      <w:spacing w:before="40" w:after="40"/>
    </w:pPr>
    <w:rPr>
      <w:rFonts w:ascii="Arial Nova Cond Light" w:hAnsi="Arial Nova Cond Light" w:cs="Times New Roman"/>
      <w:szCs w:val="20"/>
      <w:lang w:val="en-GB"/>
    </w:rPr>
  </w:style>
  <w:style w:type="character" w:customStyle="1" w:styleId="TabletextChar">
    <w:name w:val="Table text Char"/>
    <w:basedOn w:val="BodytextChar0"/>
    <w:link w:val="Tabletext"/>
    <w:rsid w:val="00A9447A"/>
    <w:rPr>
      <w:rFonts w:ascii="Arial Nova Cond Light" w:eastAsiaTheme="minorEastAsia" w:hAnsi="Arial Nova Cond Light" w:cs="Times New Roman"/>
      <w:color w:val="414042" w:themeColor="text1"/>
      <w:sz w:val="20"/>
      <w:szCs w:val="20"/>
      <w:lang w:val="en-GB" w:eastAsia="en-AU"/>
    </w:rPr>
  </w:style>
  <w:style w:type="paragraph" w:customStyle="1" w:styleId="Tableheader">
    <w:name w:val="Table header"/>
    <w:basedOn w:val="Tabletext"/>
    <w:link w:val="TableheaderChar"/>
    <w:qFormat/>
    <w:rsid w:val="00A9447A"/>
    <w:rPr>
      <w:rFonts w:ascii="Arial Nova Cond" w:hAnsi="Arial Nova Cond"/>
      <w:bCs/>
      <w:color w:val="FFFFFF" w:themeColor="background1"/>
    </w:rPr>
  </w:style>
  <w:style w:type="character" w:customStyle="1" w:styleId="TableheaderChar">
    <w:name w:val="Table header Char"/>
    <w:basedOn w:val="TabletextChar"/>
    <w:link w:val="Tableheader"/>
    <w:rsid w:val="00A9447A"/>
    <w:rPr>
      <w:rFonts w:ascii="Arial Nova Cond" w:eastAsiaTheme="minorEastAsia" w:hAnsi="Arial Nova Cond" w:cs="Times New Roman"/>
      <w:bCs/>
      <w:color w:val="FFFFFF" w:themeColor="background1"/>
      <w:sz w:val="20"/>
      <w:szCs w:val="20"/>
      <w:lang w:val="en-GB" w:eastAsia="en-AU"/>
    </w:rPr>
  </w:style>
  <w:style w:type="character" w:customStyle="1" w:styleId="BioheadingsChar">
    <w:name w:val="Bio headings Char"/>
    <w:basedOn w:val="DefaultParagraphFont"/>
    <w:link w:val="Bioheadings"/>
    <w:locked/>
    <w:rsid w:val="00A9447A"/>
    <w:rPr>
      <w:rFonts w:ascii="Arial Nova Cond" w:eastAsia="Times New Roman" w:hAnsi="Arial Nova Cond" w:cstheme="majorHAnsi"/>
      <w:caps/>
      <w:noProof/>
      <w:color w:val="222222"/>
      <w:sz w:val="24"/>
      <w:szCs w:val="24"/>
      <w:lang w:eastAsia="en-AU"/>
    </w:rPr>
  </w:style>
  <w:style w:type="paragraph" w:customStyle="1" w:styleId="Bioheadings">
    <w:name w:val="Bio headings"/>
    <w:basedOn w:val="Heading6"/>
    <w:next w:val="Heading6"/>
    <w:link w:val="BioheadingsChar"/>
    <w:autoRedefine/>
    <w:rsid w:val="00A9447A"/>
    <w:pPr>
      <w:widowControl/>
      <w:autoSpaceDE/>
      <w:autoSpaceDN/>
      <w:spacing w:before="120" w:after="60" w:line="288" w:lineRule="atLeast"/>
    </w:pPr>
    <w:rPr>
      <w:rFonts w:ascii="Arial Nova Cond" w:eastAsia="Times New Roman" w:hAnsi="Arial Nova Cond" w:cstheme="majorHAnsi"/>
      <w:caps/>
      <w:noProof/>
      <w:color w:val="222222"/>
      <w:sz w:val="24"/>
      <w:szCs w:val="24"/>
      <w:lang w:val="en-US" w:eastAsia="en-AU" w:bidi="ar-SA"/>
    </w:rPr>
  </w:style>
  <w:style w:type="paragraph" w:customStyle="1" w:styleId="Default">
    <w:name w:val="Default"/>
    <w:rsid w:val="00A9447A"/>
    <w:pPr>
      <w:widowControl/>
      <w:adjustRightInd w:val="0"/>
    </w:pPr>
    <w:rPr>
      <w:rFonts w:ascii="Calibri" w:hAnsi="Calibri" w:cs="Calibri"/>
      <w:color w:val="000000"/>
      <w:sz w:val="24"/>
      <w:szCs w:val="24"/>
      <w:lang w:val="en-AU"/>
    </w:rPr>
  </w:style>
  <w:style w:type="table" w:styleId="ListTable1Light-Accent1">
    <w:name w:val="List Table 1 Light Accent 1"/>
    <w:basedOn w:val="TableNormal"/>
    <w:uiPriority w:val="46"/>
    <w:rsid w:val="00A9447A"/>
    <w:pPr>
      <w:widowControl/>
      <w:autoSpaceDE/>
      <w:autoSpaceDN/>
    </w:pPr>
    <w:rPr>
      <w:lang w:val="sv-SE"/>
    </w:rPr>
    <w:tblPr>
      <w:tblStyleRowBandSize w:val="1"/>
      <w:tblStyleColBandSize w:val="1"/>
    </w:tblPr>
    <w:tblStylePr w:type="firstRow">
      <w:rPr>
        <w:b/>
        <w:bCs/>
      </w:rPr>
      <w:tblPr/>
      <w:tcPr>
        <w:tcBorders>
          <w:bottom w:val="single" w:sz="4" w:space="0" w:color="FFA58C" w:themeColor="accent1" w:themeTint="99"/>
        </w:tcBorders>
      </w:tcPr>
    </w:tblStylePr>
    <w:tblStylePr w:type="lastRow">
      <w:rPr>
        <w:b/>
        <w:bCs/>
      </w:rPr>
      <w:tblPr/>
      <w:tcPr>
        <w:tcBorders>
          <w:top w:val="single" w:sz="4" w:space="0" w:color="FFA58C" w:themeColor="accent1" w:themeTint="99"/>
        </w:tcBorders>
      </w:tcPr>
    </w:tblStylePr>
    <w:tblStylePr w:type="firstCol">
      <w:rPr>
        <w:b/>
        <w:bCs/>
      </w:rPr>
    </w:tblStylePr>
    <w:tblStylePr w:type="lastCol">
      <w:rPr>
        <w:b/>
        <w:bCs/>
      </w:rPr>
    </w:tblStylePr>
    <w:tblStylePr w:type="band1Vert">
      <w:tblPr/>
      <w:tcPr>
        <w:shd w:val="clear" w:color="auto" w:fill="FFE1D8" w:themeFill="accent1" w:themeFillTint="33"/>
      </w:tcPr>
    </w:tblStylePr>
    <w:tblStylePr w:type="band1Horz">
      <w:tblPr/>
      <w:tcPr>
        <w:shd w:val="clear" w:color="auto" w:fill="FFE1D8" w:themeFill="accent1" w:themeFillTint="33"/>
      </w:tcPr>
    </w:tblStylePr>
  </w:style>
  <w:style w:type="character" w:customStyle="1" w:styleId="Heading6Char">
    <w:name w:val="Heading 6 Char"/>
    <w:basedOn w:val="DefaultParagraphFont"/>
    <w:link w:val="Heading6"/>
    <w:uiPriority w:val="9"/>
    <w:semiHidden/>
    <w:rsid w:val="00A9447A"/>
    <w:rPr>
      <w:rFonts w:asciiTheme="majorHAnsi" w:eastAsiaTheme="majorEastAsia" w:hAnsiTheme="majorHAnsi" w:cstheme="majorBidi"/>
      <w:color w:val="9E2200" w:themeColor="accent1" w:themeShade="7F"/>
      <w:lang w:val="en-AU" w:bidi="en-US"/>
    </w:rPr>
  </w:style>
  <w:style w:type="paragraph" w:customStyle="1" w:styleId="Bullet1">
    <w:name w:val="Bullet 1"/>
    <w:basedOn w:val="Normal"/>
    <w:rsid w:val="00A9447A"/>
    <w:pPr>
      <w:numPr>
        <w:numId w:val="2"/>
      </w:numPr>
    </w:pPr>
  </w:style>
  <w:style w:type="character" w:styleId="CommentReference">
    <w:name w:val="annotation reference"/>
    <w:basedOn w:val="DefaultParagraphFont"/>
    <w:uiPriority w:val="99"/>
    <w:semiHidden/>
    <w:unhideWhenUsed/>
    <w:rsid w:val="00A9447A"/>
    <w:rPr>
      <w:sz w:val="16"/>
      <w:szCs w:val="16"/>
    </w:rPr>
  </w:style>
  <w:style w:type="paragraph" w:styleId="CommentText">
    <w:name w:val="annotation text"/>
    <w:basedOn w:val="Normal"/>
    <w:link w:val="CommentTextChar"/>
    <w:uiPriority w:val="99"/>
    <w:unhideWhenUsed/>
    <w:rsid w:val="00A9447A"/>
    <w:rPr>
      <w:sz w:val="20"/>
      <w:szCs w:val="20"/>
    </w:rPr>
  </w:style>
  <w:style w:type="character" w:customStyle="1" w:styleId="CommentTextChar">
    <w:name w:val="Comment Text Char"/>
    <w:basedOn w:val="DefaultParagraphFont"/>
    <w:link w:val="CommentText"/>
    <w:uiPriority w:val="99"/>
    <w:rsid w:val="00A9447A"/>
    <w:rPr>
      <w:rFonts w:ascii="Times New Roman" w:eastAsia="Times New Roman" w:hAnsi="Times New Roman" w:cs="Times New Roman"/>
      <w:sz w:val="20"/>
      <w:szCs w:val="20"/>
      <w:lang w:val="en-AU" w:bidi="en-US"/>
    </w:rPr>
  </w:style>
  <w:style w:type="paragraph" w:styleId="CommentSubject">
    <w:name w:val="annotation subject"/>
    <w:basedOn w:val="CommentText"/>
    <w:next w:val="CommentText"/>
    <w:link w:val="CommentSubjectChar"/>
    <w:uiPriority w:val="99"/>
    <w:semiHidden/>
    <w:unhideWhenUsed/>
    <w:rsid w:val="00A9447A"/>
    <w:rPr>
      <w:b/>
      <w:bCs/>
    </w:rPr>
  </w:style>
  <w:style w:type="character" w:customStyle="1" w:styleId="CommentSubjectChar">
    <w:name w:val="Comment Subject Char"/>
    <w:basedOn w:val="CommentTextChar"/>
    <w:link w:val="CommentSubject"/>
    <w:uiPriority w:val="99"/>
    <w:semiHidden/>
    <w:rsid w:val="00A9447A"/>
    <w:rPr>
      <w:rFonts w:ascii="Times New Roman" w:eastAsia="Times New Roman" w:hAnsi="Times New Roman" w:cs="Times New Roman"/>
      <w:b/>
      <w:bCs/>
      <w:sz w:val="20"/>
      <w:szCs w:val="20"/>
      <w:lang w:val="en-AU" w:bidi="en-US"/>
    </w:rPr>
  </w:style>
  <w:style w:type="paragraph" w:customStyle="1" w:styleId="paragraph">
    <w:name w:val="paragraph"/>
    <w:basedOn w:val="Normal"/>
    <w:rsid w:val="00A9447A"/>
    <w:pPr>
      <w:widowControl/>
      <w:autoSpaceDE/>
      <w:autoSpaceDN/>
      <w:spacing w:before="100" w:beforeAutospacing="1" w:after="100" w:afterAutospacing="1"/>
    </w:pPr>
    <w:rPr>
      <w:sz w:val="24"/>
      <w:szCs w:val="24"/>
      <w:lang w:eastAsia="en-AU" w:bidi="ar-SA"/>
    </w:rPr>
  </w:style>
  <w:style w:type="character" w:customStyle="1" w:styleId="normaltextrun">
    <w:name w:val="normaltextrun"/>
    <w:basedOn w:val="DefaultParagraphFont"/>
    <w:rsid w:val="00A9447A"/>
  </w:style>
  <w:style w:type="character" w:customStyle="1" w:styleId="eop">
    <w:name w:val="eop"/>
    <w:basedOn w:val="DefaultParagraphFont"/>
    <w:rsid w:val="00A9447A"/>
  </w:style>
  <w:style w:type="paragraph" w:styleId="TOCHeading">
    <w:name w:val="TOC Heading"/>
    <w:basedOn w:val="Heading1"/>
    <w:next w:val="Normal"/>
    <w:uiPriority w:val="39"/>
    <w:unhideWhenUsed/>
    <w:qFormat/>
    <w:rsid w:val="00A9447A"/>
    <w:pPr>
      <w:keepNext/>
      <w:keepLines/>
      <w:widowControl/>
      <w:autoSpaceDE/>
      <w:autoSpaceDN/>
      <w:spacing w:before="240" w:line="259" w:lineRule="auto"/>
      <w:outlineLvl w:val="9"/>
    </w:pPr>
    <w:rPr>
      <w:rFonts w:asciiTheme="majorHAnsi" w:eastAsiaTheme="majorEastAsia" w:hAnsiTheme="majorHAnsi" w:cstheme="majorBidi"/>
      <w:b w:val="0"/>
      <w:caps w:val="0"/>
      <w:color w:val="EE3400" w:themeColor="accent1" w:themeShade="BF"/>
      <w:lang w:bidi="ar-SA"/>
    </w:rPr>
  </w:style>
  <w:style w:type="paragraph" w:styleId="TOC2">
    <w:name w:val="toc 2"/>
    <w:basedOn w:val="Normal"/>
    <w:next w:val="Normal"/>
    <w:autoRedefine/>
    <w:uiPriority w:val="39"/>
    <w:unhideWhenUsed/>
    <w:rsid w:val="00A9447A"/>
    <w:pPr>
      <w:tabs>
        <w:tab w:val="right" w:leader="dot" w:pos="9016"/>
      </w:tabs>
      <w:spacing w:after="100"/>
      <w:ind w:left="220"/>
    </w:pPr>
    <w:rPr>
      <w:iCs/>
      <w:noProof/>
      <w:sz w:val="20"/>
      <w:szCs w:val="20"/>
    </w:rPr>
  </w:style>
  <w:style w:type="character" w:customStyle="1" w:styleId="BodyTextChar">
    <w:name w:val="Body Text Char"/>
    <w:basedOn w:val="DefaultParagraphFont"/>
    <w:link w:val="BodyText"/>
    <w:uiPriority w:val="1"/>
    <w:rsid w:val="00A9447A"/>
    <w:rPr>
      <w:rFonts w:ascii="Times New Roman" w:eastAsia="Times New Roman" w:hAnsi="Times New Roman" w:cs="Times New Roman"/>
      <w:color w:val="414042"/>
      <w:sz w:val="21"/>
      <w:szCs w:val="21"/>
      <w:lang w:val="en-AU" w:bidi="en-US"/>
    </w:rPr>
  </w:style>
  <w:style w:type="paragraph" w:styleId="Caption">
    <w:name w:val="caption"/>
    <w:basedOn w:val="Normal"/>
    <w:next w:val="Normal"/>
    <w:uiPriority w:val="35"/>
    <w:unhideWhenUsed/>
    <w:qFormat/>
    <w:rsid w:val="00A9447A"/>
    <w:pPr>
      <w:spacing w:after="200"/>
    </w:pPr>
    <w:rPr>
      <w:i/>
      <w:iCs/>
      <w:color w:val="FCF277" w:themeColor="text2"/>
      <w:sz w:val="18"/>
      <w:szCs w:val="18"/>
    </w:rPr>
  </w:style>
  <w:style w:type="paragraph" w:styleId="Revision">
    <w:name w:val="Revision"/>
    <w:hidden/>
    <w:uiPriority w:val="99"/>
    <w:semiHidden/>
    <w:rsid w:val="00A9447A"/>
    <w:pPr>
      <w:widowControl/>
      <w:autoSpaceDE/>
      <w:autoSpaceDN/>
    </w:pPr>
    <w:rPr>
      <w:rFonts w:ascii="Times New Roman" w:eastAsia="Times New Roman" w:hAnsi="Times New Roman" w:cs="Times New Roman"/>
      <w:lang w:bidi="en-US"/>
    </w:rPr>
  </w:style>
  <w:style w:type="table" w:styleId="ListTable6Colorful-Accent1">
    <w:name w:val="List Table 6 Colorful Accent 1"/>
    <w:basedOn w:val="TableNormal"/>
    <w:uiPriority w:val="51"/>
    <w:rsid w:val="00A9447A"/>
    <w:rPr>
      <w:color w:val="EE3400" w:themeColor="accent1" w:themeShade="BF"/>
    </w:rPr>
    <w:tblPr>
      <w:tblStyleRowBandSize w:val="1"/>
      <w:tblStyleColBandSize w:val="1"/>
      <w:tblBorders>
        <w:top w:val="single" w:sz="4" w:space="0" w:color="FF6A40" w:themeColor="accent1"/>
        <w:bottom w:val="single" w:sz="4" w:space="0" w:color="FF6A40" w:themeColor="accent1"/>
      </w:tblBorders>
    </w:tblPr>
    <w:tblStylePr w:type="firstRow">
      <w:rPr>
        <w:b/>
        <w:bCs/>
      </w:rPr>
      <w:tblPr/>
      <w:tcPr>
        <w:tcBorders>
          <w:bottom w:val="single" w:sz="4" w:space="0" w:color="FF6A40" w:themeColor="accent1"/>
        </w:tcBorders>
      </w:tcPr>
    </w:tblStylePr>
    <w:tblStylePr w:type="lastRow">
      <w:rPr>
        <w:b/>
        <w:bCs/>
      </w:rPr>
      <w:tblPr/>
      <w:tcPr>
        <w:tcBorders>
          <w:top w:val="double" w:sz="4" w:space="0" w:color="FF6A40" w:themeColor="accent1"/>
        </w:tcBorders>
      </w:tcPr>
    </w:tblStylePr>
    <w:tblStylePr w:type="firstCol">
      <w:rPr>
        <w:b/>
        <w:bCs/>
      </w:rPr>
    </w:tblStylePr>
    <w:tblStylePr w:type="lastCol">
      <w:rPr>
        <w:b/>
        <w:bCs/>
      </w:rPr>
    </w:tblStylePr>
    <w:tblStylePr w:type="band1Vert">
      <w:tblPr/>
      <w:tcPr>
        <w:shd w:val="clear" w:color="auto" w:fill="FFE1D8" w:themeFill="accent1" w:themeFillTint="33"/>
      </w:tcPr>
    </w:tblStylePr>
    <w:tblStylePr w:type="band1Horz">
      <w:tblPr/>
      <w:tcPr>
        <w:shd w:val="clear" w:color="auto" w:fill="FFE1D8" w:themeFill="accent1" w:themeFillTint="33"/>
      </w:tcPr>
    </w:tblStylePr>
  </w:style>
  <w:style w:type="character" w:customStyle="1" w:styleId="Heading3Char">
    <w:name w:val="Heading 3 Char"/>
    <w:basedOn w:val="DefaultParagraphFont"/>
    <w:link w:val="Heading3"/>
    <w:uiPriority w:val="9"/>
    <w:rsid w:val="00B34148"/>
    <w:rPr>
      <w:rFonts w:ascii="Arial Nova Cond" w:eastAsiaTheme="majorEastAsia" w:hAnsi="Arial Nova Cond" w:cstheme="majorBidi"/>
      <w:b/>
      <w:bCs/>
      <w:caps/>
      <w:color w:val="A82700"/>
      <w:sz w:val="21"/>
      <w:szCs w:val="21"/>
      <w:lang w:val="en-AU" w:bidi="en-US"/>
    </w:rPr>
  </w:style>
  <w:style w:type="character" w:customStyle="1" w:styleId="Heading4Char">
    <w:name w:val="Heading 4 Char"/>
    <w:basedOn w:val="DefaultParagraphFont"/>
    <w:link w:val="Heading4"/>
    <w:uiPriority w:val="9"/>
    <w:rsid w:val="004F491D"/>
    <w:rPr>
      <w:rFonts w:ascii="Times New Roman" w:eastAsiaTheme="majorEastAsia" w:hAnsi="Times New Roman" w:cs="Times New Roman"/>
      <w:b/>
      <w:i/>
      <w:iCs/>
      <w:color w:val="A82700"/>
      <w:lang w:val="en-AU" w:bidi="en-US"/>
    </w:rPr>
  </w:style>
  <w:style w:type="table" w:customStyle="1" w:styleId="ListTable6Colorful-Accent11">
    <w:name w:val="List Table 6 Colorful - Accent 11"/>
    <w:basedOn w:val="TableNormal"/>
    <w:next w:val="ListTable6Colorful-Accent1"/>
    <w:uiPriority w:val="51"/>
    <w:rsid w:val="00A9447A"/>
    <w:rPr>
      <w:color w:val="EE3400"/>
    </w:rPr>
    <w:tblPr>
      <w:tblStyleRowBandSize w:val="1"/>
      <w:tblStyleColBandSize w:val="1"/>
      <w:tblBorders>
        <w:top w:val="single" w:sz="4" w:space="0" w:color="FF6A40"/>
        <w:bottom w:val="single" w:sz="4" w:space="0" w:color="FF6A40"/>
      </w:tblBorders>
    </w:tblPr>
    <w:tblStylePr w:type="firstRow">
      <w:rPr>
        <w:b/>
        <w:bCs/>
      </w:rPr>
      <w:tblPr/>
      <w:tcPr>
        <w:tcBorders>
          <w:bottom w:val="single" w:sz="4" w:space="0" w:color="FF6A40"/>
        </w:tcBorders>
      </w:tcPr>
    </w:tblStylePr>
    <w:tblStylePr w:type="lastRow">
      <w:rPr>
        <w:b/>
        <w:bCs/>
      </w:rPr>
      <w:tblPr/>
      <w:tcPr>
        <w:tcBorders>
          <w:top w:val="double" w:sz="4" w:space="0" w:color="FF6A40"/>
        </w:tcBorders>
      </w:tcPr>
    </w:tblStylePr>
    <w:tblStylePr w:type="firstCol">
      <w:rPr>
        <w:b/>
        <w:bCs/>
      </w:rPr>
    </w:tblStylePr>
    <w:tblStylePr w:type="lastCol">
      <w:rPr>
        <w:b/>
        <w:bCs/>
      </w:rPr>
    </w:tblStylePr>
    <w:tblStylePr w:type="band1Vert">
      <w:tblPr/>
      <w:tcPr>
        <w:shd w:val="clear" w:color="auto" w:fill="FFE1D8"/>
      </w:tcPr>
    </w:tblStylePr>
    <w:tblStylePr w:type="band1Horz">
      <w:tblPr/>
      <w:tcPr>
        <w:shd w:val="clear" w:color="auto" w:fill="FFE1D8"/>
      </w:tcPr>
    </w:tblStylePr>
  </w:style>
  <w:style w:type="character" w:styleId="Mention">
    <w:name w:val="Mention"/>
    <w:basedOn w:val="DefaultParagraphFont"/>
    <w:uiPriority w:val="99"/>
    <w:unhideWhenUsed/>
    <w:rsid w:val="00A9447A"/>
    <w:rPr>
      <w:color w:val="2B579A"/>
      <w:shd w:val="clear" w:color="auto" w:fill="E1DFDD"/>
    </w:rPr>
  </w:style>
  <w:style w:type="table" w:styleId="TableGrid">
    <w:name w:val="Table Grid"/>
    <w:basedOn w:val="TableNormal"/>
    <w:uiPriority w:val="39"/>
    <w:rsid w:val="00A94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94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A9447A"/>
    <w:pPr>
      <w:jc w:val="center"/>
    </w:pPr>
    <w:rPr>
      <w:noProof/>
      <w:color w:val="414042"/>
      <w:sz w:val="21"/>
      <w:szCs w:val="21"/>
    </w:rPr>
  </w:style>
  <w:style w:type="character" w:customStyle="1" w:styleId="EndNoteBibliographyTitleChar">
    <w:name w:val="EndNote Bibliography Title Char"/>
    <w:basedOn w:val="BodyTextChar"/>
    <w:link w:val="EndNoteBibliographyTitle"/>
    <w:rsid w:val="00A9447A"/>
    <w:rPr>
      <w:rFonts w:ascii="Times New Roman" w:eastAsia="Times New Roman" w:hAnsi="Times New Roman" w:cs="Times New Roman"/>
      <w:noProof/>
      <w:color w:val="414042"/>
      <w:sz w:val="21"/>
      <w:szCs w:val="21"/>
      <w:lang w:val="en-AU" w:bidi="en-US"/>
    </w:rPr>
  </w:style>
  <w:style w:type="paragraph" w:customStyle="1" w:styleId="EndNoteBibliography">
    <w:name w:val="EndNote Bibliography"/>
    <w:basedOn w:val="Normal"/>
    <w:link w:val="EndNoteBibliographyChar"/>
    <w:rsid w:val="00A9447A"/>
    <w:rPr>
      <w:noProof/>
      <w:color w:val="414042"/>
      <w:sz w:val="21"/>
      <w:szCs w:val="21"/>
    </w:rPr>
  </w:style>
  <w:style w:type="character" w:customStyle="1" w:styleId="EndNoteBibliographyChar">
    <w:name w:val="EndNote Bibliography Char"/>
    <w:basedOn w:val="BodyTextChar"/>
    <w:link w:val="EndNoteBibliography"/>
    <w:rsid w:val="00A9447A"/>
    <w:rPr>
      <w:rFonts w:ascii="Times New Roman" w:eastAsia="Times New Roman" w:hAnsi="Times New Roman" w:cs="Times New Roman"/>
      <w:noProof/>
      <w:color w:val="414042"/>
      <w:sz w:val="21"/>
      <w:szCs w:val="21"/>
      <w:lang w:val="en-AU" w:bidi="en-US"/>
    </w:rPr>
  </w:style>
  <w:style w:type="character" w:styleId="FootnoteReference">
    <w:name w:val="footnote reference"/>
    <w:basedOn w:val="DefaultParagraphFont"/>
    <w:uiPriority w:val="99"/>
    <w:semiHidden/>
    <w:unhideWhenUsed/>
    <w:rsid w:val="00A9447A"/>
    <w:rPr>
      <w:vertAlign w:val="superscript"/>
    </w:rPr>
  </w:style>
  <w:style w:type="character" w:customStyle="1" w:styleId="FootnoteTextChar">
    <w:name w:val="Footnote Text Char"/>
    <w:basedOn w:val="DefaultParagraphFont"/>
    <w:link w:val="FootnoteText"/>
    <w:uiPriority w:val="99"/>
    <w:semiHidden/>
    <w:rsid w:val="00A9447A"/>
    <w:rPr>
      <w:sz w:val="20"/>
      <w:szCs w:val="20"/>
    </w:rPr>
  </w:style>
  <w:style w:type="paragraph" w:styleId="FootnoteText">
    <w:name w:val="footnote text"/>
    <w:basedOn w:val="Normal"/>
    <w:link w:val="FootnoteTextChar"/>
    <w:uiPriority w:val="99"/>
    <w:semiHidden/>
    <w:unhideWhenUsed/>
    <w:rsid w:val="00A9447A"/>
    <w:rPr>
      <w:rFonts w:asciiTheme="minorHAnsi" w:eastAsiaTheme="minorHAnsi" w:hAnsiTheme="minorHAnsi" w:cstheme="minorBidi"/>
      <w:sz w:val="20"/>
      <w:szCs w:val="20"/>
      <w:lang w:val="en-US" w:bidi="ar-SA"/>
    </w:rPr>
  </w:style>
  <w:style w:type="character" w:customStyle="1" w:styleId="FootnoteTextChar1">
    <w:name w:val="Footnote Text Char1"/>
    <w:basedOn w:val="DefaultParagraphFont"/>
    <w:uiPriority w:val="99"/>
    <w:semiHidden/>
    <w:rsid w:val="00A9447A"/>
    <w:rPr>
      <w:rFonts w:ascii="Times New Roman" w:eastAsia="Times New Roman" w:hAnsi="Times New Roman" w:cs="Times New Roman"/>
      <w:sz w:val="20"/>
      <w:szCs w:val="20"/>
      <w:lang w:val="en-AU" w:bidi="en-US"/>
    </w:rPr>
  </w:style>
  <w:style w:type="table" w:styleId="ListTable3-Accent1">
    <w:name w:val="List Table 3 Accent 1"/>
    <w:basedOn w:val="TableNormal"/>
    <w:uiPriority w:val="48"/>
    <w:rsid w:val="00A9447A"/>
    <w:tblPr>
      <w:tblStyleRowBandSize w:val="1"/>
      <w:tblStyleColBandSize w:val="1"/>
      <w:tblBorders>
        <w:top w:val="single" w:sz="4" w:space="0" w:color="FF6A40" w:themeColor="accent1"/>
        <w:left w:val="single" w:sz="4" w:space="0" w:color="FF6A40" w:themeColor="accent1"/>
        <w:bottom w:val="single" w:sz="4" w:space="0" w:color="FF6A40" w:themeColor="accent1"/>
        <w:right w:val="single" w:sz="4" w:space="0" w:color="FF6A40" w:themeColor="accent1"/>
      </w:tblBorders>
    </w:tblPr>
    <w:tblStylePr w:type="firstRow">
      <w:rPr>
        <w:b/>
        <w:bCs/>
        <w:color w:val="FFFFFF" w:themeColor="background1"/>
      </w:rPr>
      <w:tblPr/>
      <w:tcPr>
        <w:shd w:val="clear" w:color="auto" w:fill="FF6A40" w:themeFill="accent1"/>
      </w:tcPr>
    </w:tblStylePr>
    <w:tblStylePr w:type="lastRow">
      <w:rPr>
        <w:b/>
        <w:bCs/>
      </w:rPr>
      <w:tblPr/>
      <w:tcPr>
        <w:tcBorders>
          <w:top w:val="double" w:sz="4" w:space="0" w:color="FF6A4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6A40" w:themeColor="accent1"/>
          <w:right w:val="single" w:sz="4" w:space="0" w:color="FF6A40" w:themeColor="accent1"/>
        </w:tcBorders>
      </w:tcPr>
    </w:tblStylePr>
    <w:tblStylePr w:type="band1Horz">
      <w:tblPr/>
      <w:tcPr>
        <w:tcBorders>
          <w:top w:val="single" w:sz="4" w:space="0" w:color="FF6A40" w:themeColor="accent1"/>
          <w:bottom w:val="single" w:sz="4" w:space="0" w:color="FF6A4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6A40" w:themeColor="accent1"/>
          <w:left w:val="nil"/>
        </w:tcBorders>
      </w:tcPr>
    </w:tblStylePr>
    <w:tblStylePr w:type="swCell">
      <w:tblPr/>
      <w:tcPr>
        <w:tcBorders>
          <w:top w:val="double" w:sz="4" w:space="0" w:color="FF6A40" w:themeColor="accent1"/>
          <w:right w:val="nil"/>
        </w:tcBorders>
      </w:tcPr>
    </w:tblStylePr>
  </w:style>
  <w:style w:type="paragraph" w:styleId="TOC3">
    <w:name w:val="toc 3"/>
    <w:basedOn w:val="Normal"/>
    <w:next w:val="Normal"/>
    <w:autoRedefine/>
    <w:uiPriority w:val="39"/>
    <w:unhideWhenUsed/>
    <w:rsid w:val="00A9447A"/>
    <w:pPr>
      <w:spacing w:after="100"/>
      <w:ind w:left="440"/>
    </w:pPr>
  </w:style>
  <w:style w:type="table" w:customStyle="1" w:styleId="TableGrid0">
    <w:name w:val="Table Grid0"/>
    <w:basedOn w:val="TableNormal"/>
    <w:uiPriority w:val="39"/>
    <w:rsid w:val="00311D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TOC1"/>
    <w:link w:val="Style1Char"/>
    <w:rsid w:val="00C20202"/>
    <w:pPr>
      <w:spacing w:before="480" w:line="192" w:lineRule="auto"/>
      <w:ind w:left="23"/>
    </w:pPr>
    <w:rPr>
      <w:rFonts w:ascii="Arial Nova Cond" w:hAnsi="Arial Nova Cond"/>
      <w:b/>
      <w:color w:val="414042" w:themeColor="text1"/>
      <w:spacing w:val="-27"/>
      <w:sz w:val="140"/>
      <w:szCs w:val="140"/>
    </w:rPr>
  </w:style>
  <w:style w:type="character" w:customStyle="1" w:styleId="Style1Char">
    <w:name w:val="Style1 Char"/>
    <w:basedOn w:val="DefaultParagraphFont"/>
    <w:link w:val="Style1"/>
    <w:rsid w:val="00C20202"/>
    <w:rPr>
      <w:rFonts w:ascii="Arial Nova Cond" w:eastAsia="Times New Roman" w:hAnsi="Arial Nova Cond" w:cs="Times New Roman"/>
      <w:b/>
      <w:color w:val="414042" w:themeColor="text1"/>
      <w:spacing w:val="-27"/>
      <w:sz w:val="140"/>
      <w:szCs w:val="140"/>
      <w:lang w:val="en-AU" w:bidi="en-US"/>
    </w:rPr>
  </w:style>
  <w:style w:type="paragraph" w:customStyle="1" w:styleId="SIScoverheading">
    <w:name w:val="SIS cover heading"/>
    <w:basedOn w:val="Normal"/>
    <w:qFormat/>
    <w:rsid w:val="0071456B"/>
    <w:pPr>
      <w:widowControl/>
      <w:autoSpaceDE/>
      <w:autoSpaceDN/>
      <w:spacing w:line="192" w:lineRule="auto"/>
    </w:pPr>
    <w:rPr>
      <w:rFonts w:ascii="Open Sans" w:eastAsiaTheme="minorEastAsia" w:hAnsi="Open Sans" w:cstheme="minorBidi"/>
      <w:color w:val="414042" w:themeColor="text1"/>
      <w:spacing w:val="-12"/>
      <w:sz w:val="56"/>
      <w:szCs w:val="60"/>
      <w:lang w:val="en-US" w:bidi="ar-SA"/>
    </w:rPr>
  </w:style>
  <w:style w:type="paragraph" w:customStyle="1" w:styleId="SIScoversubheading">
    <w:name w:val="SIS cover subheading"/>
    <w:basedOn w:val="Normal"/>
    <w:link w:val="SIScoversubheadingChar"/>
    <w:qFormat/>
    <w:rsid w:val="0071456B"/>
    <w:pPr>
      <w:widowControl/>
      <w:autoSpaceDE/>
      <w:autoSpaceDN/>
      <w:spacing w:line="216" w:lineRule="auto"/>
    </w:pPr>
    <w:rPr>
      <w:rFonts w:ascii="Open Sans" w:eastAsiaTheme="minorEastAsia" w:hAnsi="Open Sans" w:cstheme="minorBidi"/>
      <w:color w:val="414042" w:themeColor="text1"/>
      <w:spacing w:val="-4"/>
      <w:sz w:val="40"/>
      <w:szCs w:val="36"/>
      <w:lang w:val="en-US" w:bidi="ar-SA"/>
    </w:rPr>
  </w:style>
  <w:style w:type="character" w:customStyle="1" w:styleId="SIScoversubheadingChar">
    <w:name w:val="SIS cover subheading Char"/>
    <w:basedOn w:val="DefaultParagraphFont"/>
    <w:link w:val="SIScoversubheading"/>
    <w:rsid w:val="0071456B"/>
    <w:rPr>
      <w:rFonts w:ascii="Open Sans" w:eastAsiaTheme="minorEastAsia" w:hAnsi="Open Sans"/>
      <w:color w:val="414042" w:themeColor="text1"/>
      <w:spacing w:val="-4"/>
      <w:sz w:val="40"/>
      <w:szCs w:val="36"/>
    </w:rPr>
  </w:style>
  <w:style w:type="paragraph" w:customStyle="1" w:styleId="BodyTextSP">
    <w:name w:val="Body Text (SP)"/>
    <w:link w:val="BodyTextSPChar"/>
    <w:qFormat/>
    <w:rsid w:val="007B4540"/>
    <w:pPr>
      <w:widowControl/>
      <w:autoSpaceDE/>
      <w:autoSpaceDN/>
      <w:spacing w:before="80" w:after="60" w:line="276" w:lineRule="auto"/>
      <w:ind w:left="510" w:hanging="510"/>
    </w:pPr>
    <w:rPr>
      <w:rFonts w:eastAsiaTheme="minorEastAsia"/>
      <w:color w:val="414042" w:themeColor="text1"/>
      <w:szCs w:val="20"/>
    </w:rPr>
  </w:style>
  <w:style w:type="character" w:customStyle="1" w:styleId="BodyTextSPChar">
    <w:name w:val="Body Text (SP) Char"/>
    <w:basedOn w:val="DefaultParagraphFont"/>
    <w:link w:val="BodyTextSP"/>
    <w:rsid w:val="007B4540"/>
    <w:rPr>
      <w:rFonts w:eastAsiaTheme="minorEastAsia"/>
      <w:color w:val="414042" w:themeColor="text1"/>
      <w:szCs w:val="20"/>
    </w:rPr>
  </w:style>
  <w:style w:type="paragraph" w:customStyle="1" w:styleId="BlackSubheadingItalic">
    <w:name w:val="Black Subheading Italic"/>
    <w:basedOn w:val="Normal"/>
    <w:link w:val="BlackSubheadingItalicChar"/>
    <w:qFormat/>
    <w:rsid w:val="00E60817"/>
    <w:pPr>
      <w:widowControl/>
      <w:autoSpaceDE/>
      <w:autoSpaceDN/>
      <w:spacing w:before="240" w:after="120"/>
    </w:pPr>
    <w:rPr>
      <w:rFonts w:ascii="Open Sans" w:eastAsiaTheme="minorHAnsi" w:hAnsi="Open Sans" w:cs="Open Sans"/>
      <w:b/>
      <w:i/>
      <w:sz w:val="24"/>
      <w:szCs w:val="24"/>
      <w:lang w:eastAsia="zh-CN" w:bidi="th-TH"/>
    </w:rPr>
  </w:style>
  <w:style w:type="character" w:customStyle="1" w:styleId="BlackSubheadingItalicChar">
    <w:name w:val="Black Subheading Italic Char"/>
    <w:basedOn w:val="DefaultParagraphFont"/>
    <w:link w:val="BlackSubheadingItalic"/>
    <w:rsid w:val="00E60817"/>
    <w:rPr>
      <w:rFonts w:ascii="Open Sans" w:hAnsi="Open Sans" w:cs="Open Sans"/>
      <w:b/>
      <w:i/>
      <w:sz w:val="24"/>
      <w:szCs w:val="24"/>
      <w:lang w:val="en-AU" w:eastAsia="zh-CN" w:bidi="th-TH"/>
    </w:rPr>
  </w:style>
  <w:style w:type="paragraph" w:customStyle="1" w:styleId="TableHeader0">
    <w:name w:val="Table Header"/>
    <w:basedOn w:val="Normal"/>
    <w:qFormat/>
    <w:rsid w:val="00116F68"/>
    <w:pPr>
      <w:widowControl/>
      <w:autoSpaceDE/>
      <w:autoSpaceDN/>
      <w:spacing w:before="40" w:after="40"/>
      <w:jc w:val="center"/>
    </w:pPr>
    <w:rPr>
      <w:rFonts w:asciiTheme="minorHAnsi" w:hAnsiTheme="minorHAnsi"/>
      <w:b/>
      <w:bCs/>
      <w:color w:val="FFFFFF" w:themeColor="background1"/>
      <w:sz w:val="19"/>
      <w:szCs w:val="20"/>
      <w:lang w:val="en-US" w:bidi="ar-SA"/>
    </w:rPr>
  </w:style>
  <w:style w:type="paragraph" w:customStyle="1" w:styleId="Normal4">
    <w:name w:val="Normal4"/>
    <w:basedOn w:val="Normal"/>
    <w:link w:val="Normal4Char"/>
    <w:autoRedefine/>
    <w:qFormat/>
    <w:rsid w:val="003335EA"/>
    <w:pPr>
      <w:widowControl/>
      <w:autoSpaceDE/>
      <w:autoSpaceDN/>
      <w:spacing w:before="120" w:after="160" w:line="276" w:lineRule="auto"/>
    </w:pPr>
    <w:rPr>
      <w:rFonts w:asciiTheme="minorHAnsi" w:eastAsiaTheme="minorHAnsi" w:hAnsiTheme="minorHAnsi" w:cs="Arial"/>
      <w:lang w:bidi="ar-SA"/>
    </w:rPr>
  </w:style>
  <w:style w:type="character" w:customStyle="1" w:styleId="Normal4Char">
    <w:name w:val="Normal4 Char"/>
    <w:basedOn w:val="DefaultParagraphFont"/>
    <w:link w:val="Normal4"/>
    <w:rsid w:val="003335EA"/>
    <w:rPr>
      <w:rFonts w:cs="Arial"/>
      <w:lang w:val="en-AU"/>
    </w:rPr>
  </w:style>
  <w:style w:type="paragraph" w:customStyle="1" w:styleId="Table">
    <w:name w:val="Table"/>
    <w:basedOn w:val="Normal"/>
    <w:qFormat/>
    <w:rsid w:val="00F67F3F"/>
    <w:pPr>
      <w:widowControl/>
      <w:autoSpaceDE/>
      <w:autoSpaceDN/>
      <w:spacing w:before="40" w:after="40" w:line="252" w:lineRule="auto"/>
    </w:pPr>
    <w:rPr>
      <w:rFonts w:ascii="Calibri" w:eastAsiaTheme="minorHAnsi" w:hAnsi="Calibri" w:cs="Calibri"/>
      <w:sz w:val="19"/>
      <w:szCs w:val="19"/>
      <w:lang w:bidi="ar-SA"/>
    </w:rPr>
  </w:style>
  <w:style w:type="character" w:customStyle="1" w:styleId="lt-line-clampline">
    <w:name w:val="lt-line-clamp__line"/>
    <w:basedOn w:val="DefaultParagraphFont"/>
    <w:rsid w:val="00F67F3F"/>
  </w:style>
  <w:style w:type="paragraph" w:customStyle="1" w:styleId="PlainParagraph">
    <w:name w:val="Plain Paragraph"/>
    <w:basedOn w:val="Normal"/>
    <w:rsid w:val="007601BF"/>
    <w:pPr>
      <w:widowControl/>
      <w:autoSpaceDE/>
      <w:autoSpaceDN/>
      <w:spacing w:before="120" w:after="120" w:line="280" w:lineRule="atLeast"/>
      <w:ind w:left="567"/>
    </w:pPr>
    <w:rPr>
      <w:rFonts w:ascii="Arial" w:hAnsi="Arial" w:cs="Arial"/>
      <w:lang w:eastAsia="en-AU" w:bidi="ar-SA"/>
    </w:rPr>
  </w:style>
  <w:style w:type="paragraph" w:customStyle="1" w:styleId="NumberedList1">
    <w:name w:val="Numbered List: 1)"/>
    <w:basedOn w:val="PlainParagraph"/>
    <w:semiHidden/>
    <w:rsid w:val="007601BF"/>
    <w:pPr>
      <w:numPr>
        <w:numId w:val="21"/>
      </w:numPr>
      <w:spacing w:before="0"/>
    </w:pPr>
  </w:style>
  <w:style w:type="paragraph" w:customStyle="1" w:styleId="NumberedList11">
    <w:name w:val="Numbered List: 1) 1"/>
    <w:basedOn w:val="NumberedList1"/>
    <w:semiHidden/>
    <w:rsid w:val="007601BF"/>
    <w:pPr>
      <w:numPr>
        <w:ilvl w:val="1"/>
      </w:numPr>
    </w:pPr>
  </w:style>
  <w:style w:type="paragraph" w:customStyle="1" w:styleId="NumberedList12">
    <w:name w:val="Numbered List: 1) 2"/>
    <w:basedOn w:val="NumberedList11"/>
    <w:semiHidden/>
    <w:rsid w:val="007601BF"/>
    <w:pPr>
      <w:numPr>
        <w:ilvl w:val="2"/>
      </w:numPr>
    </w:pPr>
  </w:style>
  <w:style w:type="paragraph" w:customStyle="1" w:styleId="NumberedList13">
    <w:name w:val="Numbered List: 1) 3"/>
    <w:basedOn w:val="NumberedList12"/>
    <w:semiHidden/>
    <w:rsid w:val="007601BF"/>
    <w:pPr>
      <w:numPr>
        <w:ilvl w:val="3"/>
      </w:numPr>
    </w:pPr>
  </w:style>
  <w:style w:type="paragraph" w:customStyle="1" w:styleId="NumberedList14">
    <w:name w:val="Numbered List: 1) 4"/>
    <w:basedOn w:val="NumberedList13"/>
    <w:semiHidden/>
    <w:rsid w:val="007601BF"/>
    <w:pPr>
      <w:numPr>
        <w:ilvl w:val="4"/>
      </w:numPr>
    </w:pPr>
  </w:style>
  <w:style w:type="paragraph" w:customStyle="1" w:styleId="NumberedList15">
    <w:name w:val="Numbered List: 1) 5"/>
    <w:basedOn w:val="NumberedList14"/>
    <w:semiHidden/>
    <w:rsid w:val="007601BF"/>
    <w:pPr>
      <w:numPr>
        <w:ilvl w:val="5"/>
      </w:numPr>
    </w:pPr>
  </w:style>
  <w:style w:type="paragraph" w:customStyle="1" w:styleId="NumberedList16">
    <w:name w:val="Numbered List: 1) 6"/>
    <w:basedOn w:val="NumberedList15"/>
    <w:semiHidden/>
    <w:rsid w:val="007601BF"/>
    <w:pPr>
      <w:numPr>
        <w:ilvl w:val="6"/>
      </w:numPr>
    </w:pPr>
  </w:style>
  <w:style w:type="paragraph" w:customStyle="1" w:styleId="NumberedList17">
    <w:name w:val="Numbered List: 1) 7"/>
    <w:basedOn w:val="NumberedList16"/>
    <w:semiHidden/>
    <w:rsid w:val="007601BF"/>
    <w:pPr>
      <w:numPr>
        <w:ilvl w:val="7"/>
      </w:numPr>
    </w:pPr>
  </w:style>
  <w:style w:type="paragraph" w:customStyle="1" w:styleId="NumberedList18">
    <w:name w:val="Numbered List: 1) 8"/>
    <w:basedOn w:val="NumberedList17"/>
    <w:semiHidden/>
    <w:rsid w:val="007601BF"/>
    <w:pPr>
      <w:numPr>
        <w:ilvl w:val="8"/>
      </w:numPr>
    </w:pPr>
  </w:style>
  <w:style w:type="character" w:customStyle="1" w:styleId="Heading5Char">
    <w:name w:val="Heading 5 Char"/>
    <w:basedOn w:val="DefaultParagraphFont"/>
    <w:link w:val="Heading5"/>
    <w:uiPriority w:val="9"/>
    <w:rsid w:val="001306AA"/>
    <w:rPr>
      <w:rFonts w:asciiTheme="majorHAnsi" w:eastAsiaTheme="majorEastAsia" w:hAnsiTheme="majorHAnsi" w:cstheme="majorBidi"/>
      <w:color w:val="EE3400" w:themeColor="accent1" w:themeShade="BF"/>
      <w:lang w:val="en-AU" w:bidi="en-US"/>
    </w:rPr>
  </w:style>
  <w:style w:type="character" w:styleId="FollowedHyperlink">
    <w:name w:val="FollowedHyperlink"/>
    <w:basedOn w:val="DefaultParagraphFont"/>
    <w:uiPriority w:val="99"/>
    <w:semiHidden/>
    <w:unhideWhenUsed/>
    <w:rsid w:val="00A70232"/>
    <w:rPr>
      <w:color w:val="79437D" w:themeColor="followedHyperlink"/>
      <w:u w:val="single"/>
    </w:rPr>
  </w:style>
  <w:style w:type="paragraph" w:styleId="EndnoteText">
    <w:name w:val="endnote text"/>
    <w:basedOn w:val="Normal"/>
    <w:link w:val="EndnoteTextChar"/>
    <w:uiPriority w:val="99"/>
    <w:semiHidden/>
    <w:unhideWhenUsed/>
    <w:rsid w:val="00671135"/>
    <w:rPr>
      <w:sz w:val="20"/>
      <w:szCs w:val="20"/>
    </w:rPr>
  </w:style>
  <w:style w:type="character" w:customStyle="1" w:styleId="EndnoteTextChar">
    <w:name w:val="Endnote Text Char"/>
    <w:basedOn w:val="DefaultParagraphFont"/>
    <w:link w:val="EndnoteText"/>
    <w:uiPriority w:val="99"/>
    <w:semiHidden/>
    <w:rsid w:val="00671135"/>
    <w:rPr>
      <w:rFonts w:ascii="Times New Roman" w:eastAsia="Times New Roman" w:hAnsi="Times New Roman" w:cs="Times New Roman"/>
      <w:sz w:val="20"/>
      <w:szCs w:val="20"/>
      <w:lang w:val="en-AU" w:bidi="en-US"/>
    </w:rPr>
  </w:style>
  <w:style w:type="character" w:styleId="EndnoteReference">
    <w:name w:val="endnote reference"/>
    <w:basedOn w:val="DefaultParagraphFont"/>
    <w:uiPriority w:val="99"/>
    <w:semiHidden/>
    <w:unhideWhenUsed/>
    <w:rsid w:val="00671135"/>
    <w:rPr>
      <w:vertAlign w:val="superscript"/>
    </w:rPr>
  </w:style>
  <w:style w:type="character" w:customStyle="1" w:styleId="apple-converted-space">
    <w:name w:val="apple-converted-space"/>
    <w:basedOn w:val="DefaultParagraphFont"/>
    <w:rsid w:val="00251FAF"/>
  </w:style>
  <w:style w:type="paragraph" w:styleId="NormalWeb">
    <w:name w:val="Normal (Web)"/>
    <w:basedOn w:val="Normal"/>
    <w:uiPriority w:val="99"/>
    <w:semiHidden/>
    <w:unhideWhenUsed/>
    <w:rsid w:val="0055310B"/>
    <w:pPr>
      <w:widowControl/>
      <w:autoSpaceDE/>
      <w:autoSpaceDN/>
      <w:spacing w:before="100" w:beforeAutospacing="1" w:after="100" w:afterAutospacing="1"/>
    </w:pPr>
    <w:rPr>
      <w:sz w:val="24"/>
      <w:szCs w:val="24"/>
      <w:lang w:eastAsia="en-GB" w:bidi="ar-SA"/>
    </w:rPr>
  </w:style>
  <w:style w:type="character" w:customStyle="1" w:styleId="markedcontent">
    <w:name w:val="markedcontent"/>
    <w:basedOn w:val="DefaultParagraphFont"/>
    <w:rsid w:val="003A5C4A"/>
  </w:style>
  <w:style w:type="character" w:customStyle="1" w:styleId="authors">
    <w:name w:val="authors"/>
    <w:basedOn w:val="DefaultParagraphFont"/>
    <w:rsid w:val="003A5C4A"/>
  </w:style>
  <w:style w:type="character" w:customStyle="1" w:styleId="Date1">
    <w:name w:val="Date1"/>
    <w:basedOn w:val="DefaultParagraphFont"/>
    <w:rsid w:val="003A5C4A"/>
  </w:style>
  <w:style w:type="character" w:customStyle="1" w:styleId="arttitle">
    <w:name w:val="art_title"/>
    <w:basedOn w:val="DefaultParagraphFont"/>
    <w:rsid w:val="003A5C4A"/>
  </w:style>
  <w:style w:type="character" w:customStyle="1" w:styleId="serialtitle">
    <w:name w:val="serial_title"/>
    <w:basedOn w:val="DefaultParagraphFont"/>
    <w:rsid w:val="003A5C4A"/>
  </w:style>
  <w:style w:type="character" w:customStyle="1" w:styleId="volumeissue">
    <w:name w:val="volume_issue"/>
    <w:basedOn w:val="DefaultParagraphFont"/>
    <w:rsid w:val="003A5C4A"/>
  </w:style>
  <w:style w:type="character" w:customStyle="1" w:styleId="pagerange">
    <w:name w:val="page_range"/>
    <w:basedOn w:val="DefaultParagraphFont"/>
    <w:rsid w:val="003A5C4A"/>
  </w:style>
  <w:style w:type="character" w:customStyle="1" w:styleId="doilink">
    <w:name w:val="doi_link"/>
    <w:basedOn w:val="DefaultParagraphFont"/>
    <w:rsid w:val="003A5C4A"/>
  </w:style>
  <w:style w:type="character" w:customStyle="1" w:styleId="scxw219621689">
    <w:name w:val="scxw219621689"/>
    <w:basedOn w:val="DefaultParagraphFont"/>
    <w:rsid w:val="003A5C4A"/>
  </w:style>
  <w:style w:type="paragraph" w:styleId="Quote">
    <w:name w:val="Quote"/>
    <w:basedOn w:val="Normal"/>
    <w:next w:val="Normal"/>
    <w:link w:val="QuoteChar"/>
    <w:autoRedefine/>
    <w:uiPriority w:val="29"/>
    <w:qFormat/>
    <w:rsid w:val="00903D8E"/>
    <w:pPr>
      <w:spacing w:before="200" w:after="160" w:line="276" w:lineRule="auto"/>
      <w:ind w:left="862" w:right="862"/>
    </w:pPr>
    <w:rPr>
      <w:rFonts w:ascii="Calibri" w:hAnsi="Calibri"/>
      <w:iCs/>
    </w:rPr>
  </w:style>
  <w:style w:type="character" w:customStyle="1" w:styleId="QuoteChar">
    <w:name w:val="Quote Char"/>
    <w:basedOn w:val="DefaultParagraphFont"/>
    <w:link w:val="Quote"/>
    <w:uiPriority w:val="29"/>
    <w:rsid w:val="00903D8E"/>
    <w:rPr>
      <w:rFonts w:ascii="Calibri" w:eastAsia="Times New Roman" w:hAnsi="Calibri" w:cs="Times New Roman"/>
      <w:iCs/>
      <w:lang w:val="en-AU" w:bidi="en-US"/>
    </w:rPr>
  </w:style>
  <w:style w:type="paragraph" w:customStyle="1" w:styleId="dotpoints">
    <w:name w:val="dot points"/>
    <w:basedOn w:val="ListParagraph"/>
    <w:link w:val="dotpointsChar"/>
    <w:autoRedefine/>
    <w:qFormat/>
    <w:rsid w:val="008364E7"/>
    <w:pPr>
      <w:widowControl/>
      <w:numPr>
        <w:numId w:val="45"/>
      </w:numPr>
      <w:autoSpaceDE/>
      <w:autoSpaceDN/>
      <w:spacing w:before="120" w:after="160" w:line="276" w:lineRule="auto"/>
      <w:ind w:left="714" w:hanging="357"/>
      <w:contextualSpacing/>
    </w:pPr>
    <w:rPr>
      <w:rFonts w:ascii="Calibri" w:hAnsi="Calibri"/>
    </w:rPr>
  </w:style>
  <w:style w:type="paragraph" w:styleId="Subtitle">
    <w:name w:val="Subtitle"/>
    <w:basedOn w:val="Normal"/>
    <w:next w:val="Normal"/>
    <w:link w:val="SubtitleChar"/>
    <w:uiPriority w:val="11"/>
    <w:qFormat/>
    <w:rsid w:val="00FB5E9B"/>
    <w:pPr>
      <w:numPr>
        <w:ilvl w:val="1"/>
      </w:numPr>
      <w:spacing w:after="160"/>
    </w:pPr>
    <w:rPr>
      <w:rFonts w:asciiTheme="minorHAnsi" w:eastAsiaTheme="minorEastAsia" w:hAnsiTheme="minorHAnsi" w:cstheme="minorBidi"/>
      <w:spacing w:val="15"/>
      <w:sz w:val="18"/>
    </w:rPr>
  </w:style>
  <w:style w:type="character" w:customStyle="1" w:styleId="dotpointsChar">
    <w:name w:val="dot points Char"/>
    <w:basedOn w:val="ListParagraphChar"/>
    <w:link w:val="dotpoints"/>
    <w:rsid w:val="008364E7"/>
    <w:rPr>
      <w:rFonts w:ascii="Calibri" w:eastAsia="Times New Roman" w:hAnsi="Calibri" w:cs="Times New Roman"/>
      <w:lang w:val="en-AU" w:bidi="en-US"/>
    </w:rPr>
  </w:style>
  <w:style w:type="character" w:customStyle="1" w:styleId="SubtitleChar">
    <w:name w:val="Subtitle Char"/>
    <w:basedOn w:val="DefaultParagraphFont"/>
    <w:link w:val="Subtitle"/>
    <w:uiPriority w:val="11"/>
    <w:rsid w:val="00FB5E9B"/>
    <w:rPr>
      <w:rFonts w:eastAsiaTheme="minorEastAsia"/>
      <w:spacing w:val="15"/>
      <w:sz w:val="18"/>
      <w:lang w:val="en-AU" w:bidi="en-US"/>
    </w:rPr>
  </w:style>
  <w:style w:type="paragraph" w:styleId="ListBullet">
    <w:name w:val="List Bullet"/>
    <w:basedOn w:val="Normal"/>
    <w:uiPriority w:val="99"/>
    <w:unhideWhenUsed/>
    <w:qFormat/>
    <w:rsid w:val="008D4732"/>
    <w:pPr>
      <w:widowControl/>
      <w:numPr>
        <w:numId w:val="50"/>
      </w:numPr>
      <w:autoSpaceDE/>
      <w:autoSpaceDN/>
      <w:spacing w:after="120" w:line="264" w:lineRule="auto"/>
      <w:contextualSpacing/>
    </w:pPr>
    <w:rPr>
      <w:rFonts w:asciiTheme="minorHAnsi" w:eastAsiaTheme="minorEastAsia" w:hAnsiTheme="minorHAnsi" w:cstheme="minorBidi"/>
      <w:sz w:val="20"/>
      <w:lang w:eastAsia="zh-CN" w:bidi="ar-SA"/>
    </w:rPr>
  </w:style>
  <w:style w:type="paragraph" w:styleId="ListBullet2">
    <w:name w:val="List Bullet 2"/>
    <w:basedOn w:val="Normal"/>
    <w:uiPriority w:val="99"/>
    <w:unhideWhenUsed/>
    <w:qFormat/>
    <w:rsid w:val="008D4732"/>
    <w:pPr>
      <w:widowControl/>
      <w:numPr>
        <w:ilvl w:val="1"/>
        <w:numId w:val="50"/>
      </w:numPr>
      <w:autoSpaceDE/>
      <w:autoSpaceDN/>
      <w:spacing w:after="120" w:line="264" w:lineRule="auto"/>
      <w:contextualSpacing/>
    </w:pPr>
    <w:rPr>
      <w:rFonts w:asciiTheme="minorHAnsi" w:eastAsiaTheme="minorEastAsia" w:hAnsiTheme="minorHAnsi" w:cstheme="minorBidi"/>
      <w:sz w:val="20"/>
      <w:lang w:eastAsia="zh-CN" w:bidi="ar-SA"/>
    </w:rPr>
  </w:style>
  <w:style w:type="paragraph" w:styleId="ListBullet3">
    <w:name w:val="List Bullet 3"/>
    <w:basedOn w:val="Normal"/>
    <w:uiPriority w:val="99"/>
    <w:unhideWhenUsed/>
    <w:rsid w:val="008D4732"/>
    <w:pPr>
      <w:widowControl/>
      <w:numPr>
        <w:ilvl w:val="2"/>
        <w:numId w:val="50"/>
      </w:numPr>
      <w:autoSpaceDE/>
      <w:autoSpaceDN/>
      <w:spacing w:after="120" w:line="264" w:lineRule="auto"/>
      <w:contextualSpacing/>
    </w:pPr>
    <w:rPr>
      <w:rFonts w:asciiTheme="minorHAnsi" w:eastAsiaTheme="minorEastAsia" w:hAnsiTheme="minorHAnsi" w:cstheme="minorBidi"/>
      <w:sz w:val="20"/>
      <w:lang w:eastAsia="zh-CN" w:bidi="ar-SA"/>
    </w:rPr>
  </w:style>
  <w:style w:type="paragraph" w:styleId="ListBullet4">
    <w:name w:val="List Bullet 4"/>
    <w:basedOn w:val="Normal"/>
    <w:uiPriority w:val="99"/>
    <w:unhideWhenUsed/>
    <w:rsid w:val="008D4732"/>
    <w:pPr>
      <w:widowControl/>
      <w:numPr>
        <w:ilvl w:val="3"/>
        <w:numId w:val="50"/>
      </w:numPr>
      <w:autoSpaceDE/>
      <w:autoSpaceDN/>
      <w:spacing w:after="120" w:line="264" w:lineRule="auto"/>
      <w:contextualSpacing/>
    </w:pPr>
    <w:rPr>
      <w:rFonts w:asciiTheme="minorHAnsi" w:eastAsiaTheme="minorEastAsia" w:hAnsiTheme="minorHAnsi" w:cstheme="minorBidi"/>
      <w:sz w:val="20"/>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6586">
      <w:bodyDiv w:val="1"/>
      <w:marLeft w:val="0"/>
      <w:marRight w:val="0"/>
      <w:marTop w:val="0"/>
      <w:marBottom w:val="0"/>
      <w:divBdr>
        <w:top w:val="none" w:sz="0" w:space="0" w:color="auto"/>
        <w:left w:val="none" w:sz="0" w:space="0" w:color="auto"/>
        <w:bottom w:val="none" w:sz="0" w:space="0" w:color="auto"/>
        <w:right w:val="none" w:sz="0" w:space="0" w:color="auto"/>
      </w:divBdr>
    </w:div>
    <w:div w:id="135220810">
      <w:bodyDiv w:val="1"/>
      <w:marLeft w:val="0"/>
      <w:marRight w:val="0"/>
      <w:marTop w:val="0"/>
      <w:marBottom w:val="0"/>
      <w:divBdr>
        <w:top w:val="none" w:sz="0" w:space="0" w:color="auto"/>
        <w:left w:val="none" w:sz="0" w:space="0" w:color="auto"/>
        <w:bottom w:val="none" w:sz="0" w:space="0" w:color="auto"/>
        <w:right w:val="none" w:sz="0" w:space="0" w:color="auto"/>
      </w:divBdr>
      <w:divsChild>
        <w:div w:id="1640500332">
          <w:marLeft w:val="547"/>
          <w:marRight w:val="0"/>
          <w:marTop w:val="0"/>
          <w:marBottom w:val="0"/>
          <w:divBdr>
            <w:top w:val="none" w:sz="0" w:space="0" w:color="auto"/>
            <w:left w:val="none" w:sz="0" w:space="0" w:color="auto"/>
            <w:bottom w:val="none" w:sz="0" w:space="0" w:color="auto"/>
            <w:right w:val="none" w:sz="0" w:space="0" w:color="auto"/>
          </w:divBdr>
        </w:div>
      </w:divsChild>
    </w:div>
    <w:div w:id="164899748">
      <w:bodyDiv w:val="1"/>
      <w:marLeft w:val="0"/>
      <w:marRight w:val="0"/>
      <w:marTop w:val="0"/>
      <w:marBottom w:val="0"/>
      <w:divBdr>
        <w:top w:val="none" w:sz="0" w:space="0" w:color="auto"/>
        <w:left w:val="none" w:sz="0" w:space="0" w:color="auto"/>
        <w:bottom w:val="none" w:sz="0" w:space="0" w:color="auto"/>
        <w:right w:val="none" w:sz="0" w:space="0" w:color="auto"/>
      </w:divBdr>
    </w:div>
    <w:div w:id="276837571">
      <w:bodyDiv w:val="1"/>
      <w:marLeft w:val="0"/>
      <w:marRight w:val="0"/>
      <w:marTop w:val="0"/>
      <w:marBottom w:val="0"/>
      <w:divBdr>
        <w:top w:val="none" w:sz="0" w:space="0" w:color="auto"/>
        <w:left w:val="none" w:sz="0" w:space="0" w:color="auto"/>
        <w:bottom w:val="none" w:sz="0" w:space="0" w:color="auto"/>
        <w:right w:val="none" w:sz="0" w:space="0" w:color="auto"/>
      </w:divBdr>
    </w:div>
    <w:div w:id="340855288">
      <w:bodyDiv w:val="1"/>
      <w:marLeft w:val="0"/>
      <w:marRight w:val="0"/>
      <w:marTop w:val="0"/>
      <w:marBottom w:val="0"/>
      <w:divBdr>
        <w:top w:val="none" w:sz="0" w:space="0" w:color="auto"/>
        <w:left w:val="none" w:sz="0" w:space="0" w:color="auto"/>
        <w:bottom w:val="none" w:sz="0" w:space="0" w:color="auto"/>
        <w:right w:val="none" w:sz="0" w:space="0" w:color="auto"/>
      </w:divBdr>
      <w:divsChild>
        <w:div w:id="720983443">
          <w:marLeft w:val="0"/>
          <w:marRight w:val="0"/>
          <w:marTop w:val="0"/>
          <w:marBottom w:val="0"/>
          <w:divBdr>
            <w:top w:val="none" w:sz="0" w:space="0" w:color="auto"/>
            <w:left w:val="none" w:sz="0" w:space="0" w:color="auto"/>
            <w:bottom w:val="none" w:sz="0" w:space="0" w:color="auto"/>
            <w:right w:val="none" w:sz="0" w:space="0" w:color="auto"/>
          </w:divBdr>
        </w:div>
      </w:divsChild>
    </w:div>
    <w:div w:id="364643529">
      <w:bodyDiv w:val="1"/>
      <w:marLeft w:val="0"/>
      <w:marRight w:val="0"/>
      <w:marTop w:val="0"/>
      <w:marBottom w:val="0"/>
      <w:divBdr>
        <w:top w:val="none" w:sz="0" w:space="0" w:color="auto"/>
        <w:left w:val="none" w:sz="0" w:space="0" w:color="auto"/>
        <w:bottom w:val="none" w:sz="0" w:space="0" w:color="auto"/>
        <w:right w:val="none" w:sz="0" w:space="0" w:color="auto"/>
      </w:divBdr>
    </w:div>
    <w:div w:id="633102173">
      <w:bodyDiv w:val="1"/>
      <w:marLeft w:val="0"/>
      <w:marRight w:val="0"/>
      <w:marTop w:val="0"/>
      <w:marBottom w:val="0"/>
      <w:divBdr>
        <w:top w:val="none" w:sz="0" w:space="0" w:color="auto"/>
        <w:left w:val="none" w:sz="0" w:space="0" w:color="auto"/>
        <w:bottom w:val="none" w:sz="0" w:space="0" w:color="auto"/>
        <w:right w:val="none" w:sz="0" w:space="0" w:color="auto"/>
      </w:divBdr>
    </w:div>
    <w:div w:id="649947636">
      <w:bodyDiv w:val="1"/>
      <w:marLeft w:val="0"/>
      <w:marRight w:val="0"/>
      <w:marTop w:val="0"/>
      <w:marBottom w:val="0"/>
      <w:divBdr>
        <w:top w:val="none" w:sz="0" w:space="0" w:color="auto"/>
        <w:left w:val="none" w:sz="0" w:space="0" w:color="auto"/>
        <w:bottom w:val="none" w:sz="0" w:space="0" w:color="auto"/>
        <w:right w:val="none" w:sz="0" w:space="0" w:color="auto"/>
      </w:divBdr>
      <w:divsChild>
        <w:div w:id="1099525001">
          <w:marLeft w:val="0"/>
          <w:marRight w:val="0"/>
          <w:marTop w:val="0"/>
          <w:marBottom w:val="0"/>
          <w:divBdr>
            <w:top w:val="none" w:sz="0" w:space="0" w:color="auto"/>
            <w:left w:val="none" w:sz="0" w:space="0" w:color="auto"/>
            <w:bottom w:val="none" w:sz="0" w:space="0" w:color="auto"/>
            <w:right w:val="none" w:sz="0" w:space="0" w:color="auto"/>
          </w:divBdr>
        </w:div>
        <w:div w:id="399789720">
          <w:marLeft w:val="0"/>
          <w:marRight w:val="0"/>
          <w:marTop w:val="0"/>
          <w:marBottom w:val="0"/>
          <w:divBdr>
            <w:top w:val="none" w:sz="0" w:space="0" w:color="auto"/>
            <w:left w:val="none" w:sz="0" w:space="0" w:color="auto"/>
            <w:bottom w:val="none" w:sz="0" w:space="0" w:color="auto"/>
            <w:right w:val="none" w:sz="0" w:space="0" w:color="auto"/>
          </w:divBdr>
        </w:div>
        <w:div w:id="1093277564">
          <w:marLeft w:val="0"/>
          <w:marRight w:val="0"/>
          <w:marTop w:val="0"/>
          <w:marBottom w:val="0"/>
          <w:divBdr>
            <w:top w:val="none" w:sz="0" w:space="0" w:color="auto"/>
            <w:left w:val="none" w:sz="0" w:space="0" w:color="auto"/>
            <w:bottom w:val="none" w:sz="0" w:space="0" w:color="auto"/>
            <w:right w:val="none" w:sz="0" w:space="0" w:color="auto"/>
          </w:divBdr>
          <w:divsChild>
            <w:div w:id="1331566323">
              <w:marLeft w:val="0"/>
              <w:marRight w:val="0"/>
              <w:marTop w:val="0"/>
              <w:marBottom w:val="0"/>
              <w:divBdr>
                <w:top w:val="none" w:sz="0" w:space="0" w:color="auto"/>
                <w:left w:val="none" w:sz="0" w:space="0" w:color="auto"/>
                <w:bottom w:val="none" w:sz="0" w:space="0" w:color="auto"/>
                <w:right w:val="none" w:sz="0" w:space="0" w:color="auto"/>
              </w:divBdr>
            </w:div>
            <w:div w:id="148644013">
              <w:marLeft w:val="0"/>
              <w:marRight w:val="0"/>
              <w:marTop w:val="0"/>
              <w:marBottom w:val="0"/>
              <w:divBdr>
                <w:top w:val="none" w:sz="0" w:space="0" w:color="auto"/>
                <w:left w:val="none" w:sz="0" w:space="0" w:color="auto"/>
                <w:bottom w:val="none" w:sz="0" w:space="0" w:color="auto"/>
                <w:right w:val="none" w:sz="0" w:space="0" w:color="auto"/>
              </w:divBdr>
            </w:div>
            <w:div w:id="1266885291">
              <w:marLeft w:val="0"/>
              <w:marRight w:val="0"/>
              <w:marTop w:val="0"/>
              <w:marBottom w:val="0"/>
              <w:divBdr>
                <w:top w:val="none" w:sz="0" w:space="0" w:color="auto"/>
                <w:left w:val="none" w:sz="0" w:space="0" w:color="auto"/>
                <w:bottom w:val="none" w:sz="0" w:space="0" w:color="auto"/>
                <w:right w:val="none" w:sz="0" w:space="0" w:color="auto"/>
              </w:divBdr>
            </w:div>
            <w:div w:id="2145156850">
              <w:marLeft w:val="0"/>
              <w:marRight w:val="0"/>
              <w:marTop w:val="0"/>
              <w:marBottom w:val="0"/>
              <w:divBdr>
                <w:top w:val="none" w:sz="0" w:space="0" w:color="auto"/>
                <w:left w:val="none" w:sz="0" w:space="0" w:color="auto"/>
                <w:bottom w:val="none" w:sz="0" w:space="0" w:color="auto"/>
                <w:right w:val="none" w:sz="0" w:space="0" w:color="auto"/>
              </w:divBdr>
            </w:div>
          </w:divsChild>
        </w:div>
        <w:div w:id="107745028">
          <w:marLeft w:val="0"/>
          <w:marRight w:val="0"/>
          <w:marTop w:val="0"/>
          <w:marBottom w:val="0"/>
          <w:divBdr>
            <w:top w:val="none" w:sz="0" w:space="0" w:color="auto"/>
            <w:left w:val="none" w:sz="0" w:space="0" w:color="auto"/>
            <w:bottom w:val="none" w:sz="0" w:space="0" w:color="auto"/>
            <w:right w:val="none" w:sz="0" w:space="0" w:color="auto"/>
          </w:divBdr>
          <w:divsChild>
            <w:div w:id="1360082324">
              <w:marLeft w:val="0"/>
              <w:marRight w:val="0"/>
              <w:marTop w:val="30"/>
              <w:marBottom w:val="30"/>
              <w:divBdr>
                <w:top w:val="none" w:sz="0" w:space="0" w:color="auto"/>
                <w:left w:val="none" w:sz="0" w:space="0" w:color="auto"/>
                <w:bottom w:val="none" w:sz="0" w:space="0" w:color="auto"/>
                <w:right w:val="none" w:sz="0" w:space="0" w:color="auto"/>
              </w:divBdr>
              <w:divsChild>
                <w:div w:id="1908565503">
                  <w:marLeft w:val="0"/>
                  <w:marRight w:val="0"/>
                  <w:marTop w:val="0"/>
                  <w:marBottom w:val="0"/>
                  <w:divBdr>
                    <w:top w:val="none" w:sz="0" w:space="0" w:color="auto"/>
                    <w:left w:val="none" w:sz="0" w:space="0" w:color="auto"/>
                    <w:bottom w:val="none" w:sz="0" w:space="0" w:color="auto"/>
                    <w:right w:val="none" w:sz="0" w:space="0" w:color="auto"/>
                  </w:divBdr>
                  <w:divsChild>
                    <w:div w:id="22218338">
                      <w:marLeft w:val="0"/>
                      <w:marRight w:val="0"/>
                      <w:marTop w:val="0"/>
                      <w:marBottom w:val="0"/>
                      <w:divBdr>
                        <w:top w:val="none" w:sz="0" w:space="0" w:color="auto"/>
                        <w:left w:val="none" w:sz="0" w:space="0" w:color="auto"/>
                        <w:bottom w:val="none" w:sz="0" w:space="0" w:color="auto"/>
                        <w:right w:val="none" w:sz="0" w:space="0" w:color="auto"/>
                      </w:divBdr>
                    </w:div>
                  </w:divsChild>
                </w:div>
                <w:div w:id="1731075139">
                  <w:marLeft w:val="0"/>
                  <w:marRight w:val="0"/>
                  <w:marTop w:val="0"/>
                  <w:marBottom w:val="0"/>
                  <w:divBdr>
                    <w:top w:val="none" w:sz="0" w:space="0" w:color="auto"/>
                    <w:left w:val="none" w:sz="0" w:space="0" w:color="auto"/>
                    <w:bottom w:val="none" w:sz="0" w:space="0" w:color="auto"/>
                    <w:right w:val="none" w:sz="0" w:space="0" w:color="auto"/>
                  </w:divBdr>
                  <w:divsChild>
                    <w:div w:id="18556920">
                      <w:marLeft w:val="0"/>
                      <w:marRight w:val="0"/>
                      <w:marTop w:val="0"/>
                      <w:marBottom w:val="0"/>
                      <w:divBdr>
                        <w:top w:val="none" w:sz="0" w:space="0" w:color="auto"/>
                        <w:left w:val="none" w:sz="0" w:space="0" w:color="auto"/>
                        <w:bottom w:val="none" w:sz="0" w:space="0" w:color="auto"/>
                        <w:right w:val="none" w:sz="0" w:space="0" w:color="auto"/>
                      </w:divBdr>
                    </w:div>
                  </w:divsChild>
                </w:div>
                <w:div w:id="2000620126">
                  <w:marLeft w:val="0"/>
                  <w:marRight w:val="0"/>
                  <w:marTop w:val="0"/>
                  <w:marBottom w:val="0"/>
                  <w:divBdr>
                    <w:top w:val="none" w:sz="0" w:space="0" w:color="auto"/>
                    <w:left w:val="none" w:sz="0" w:space="0" w:color="auto"/>
                    <w:bottom w:val="none" w:sz="0" w:space="0" w:color="auto"/>
                    <w:right w:val="none" w:sz="0" w:space="0" w:color="auto"/>
                  </w:divBdr>
                  <w:divsChild>
                    <w:div w:id="1423376557">
                      <w:marLeft w:val="0"/>
                      <w:marRight w:val="0"/>
                      <w:marTop w:val="0"/>
                      <w:marBottom w:val="0"/>
                      <w:divBdr>
                        <w:top w:val="none" w:sz="0" w:space="0" w:color="auto"/>
                        <w:left w:val="none" w:sz="0" w:space="0" w:color="auto"/>
                        <w:bottom w:val="none" w:sz="0" w:space="0" w:color="auto"/>
                        <w:right w:val="none" w:sz="0" w:space="0" w:color="auto"/>
                      </w:divBdr>
                    </w:div>
                  </w:divsChild>
                </w:div>
                <w:div w:id="1719627509">
                  <w:marLeft w:val="0"/>
                  <w:marRight w:val="0"/>
                  <w:marTop w:val="0"/>
                  <w:marBottom w:val="0"/>
                  <w:divBdr>
                    <w:top w:val="none" w:sz="0" w:space="0" w:color="auto"/>
                    <w:left w:val="none" w:sz="0" w:space="0" w:color="auto"/>
                    <w:bottom w:val="none" w:sz="0" w:space="0" w:color="auto"/>
                    <w:right w:val="none" w:sz="0" w:space="0" w:color="auto"/>
                  </w:divBdr>
                  <w:divsChild>
                    <w:div w:id="830947705">
                      <w:marLeft w:val="0"/>
                      <w:marRight w:val="0"/>
                      <w:marTop w:val="0"/>
                      <w:marBottom w:val="0"/>
                      <w:divBdr>
                        <w:top w:val="none" w:sz="0" w:space="0" w:color="auto"/>
                        <w:left w:val="none" w:sz="0" w:space="0" w:color="auto"/>
                        <w:bottom w:val="none" w:sz="0" w:space="0" w:color="auto"/>
                        <w:right w:val="none" w:sz="0" w:space="0" w:color="auto"/>
                      </w:divBdr>
                    </w:div>
                  </w:divsChild>
                </w:div>
                <w:div w:id="2002809932">
                  <w:marLeft w:val="0"/>
                  <w:marRight w:val="0"/>
                  <w:marTop w:val="0"/>
                  <w:marBottom w:val="0"/>
                  <w:divBdr>
                    <w:top w:val="none" w:sz="0" w:space="0" w:color="auto"/>
                    <w:left w:val="none" w:sz="0" w:space="0" w:color="auto"/>
                    <w:bottom w:val="none" w:sz="0" w:space="0" w:color="auto"/>
                    <w:right w:val="none" w:sz="0" w:space="0" w:color="auto"/>
                  </w:divBdr>
                  <w:divsChild>
                    <w:div w:id="1580015408">
                      <w:marLeft w:val="0"/>
                      <w:marRight w:val="0"/>
                      <w:marTop w:val="0"/>
                      <w:marBottom w:val="0"/>
                      <w:divBdr>
                        <w:top w:val="none" w:sz="0" w:space="0" w:color="auto"/>
                        <w:left w:val="none" w:sz="0" w:space="0" w:color="auto"/>
                        <w:bottom w:val="none" w:sz="0" w:space="0" w:color="auto"/>
                        <w:right w:val="none" w:sz="0" w:space="0" w:color="auto"/>
                      </w:divBdr>
                    </w:div>
                  </w:divsChild>
                </w:div>
                <w:div w:id="81219880">
                  <w:marLeft w:val="0"/>
                  <w:marRight w:val="0"/>
                  <w:marTop w:val="0"/>
                  <w:marBottom w:val="0"/>
                  <w:divBdr>
                    <w:top w:val="none" w:sz="0" w:space="0" w:color="auto"/>
                    <w:left w:val="none" w:sz="0" w:space="0" w:color="auto"/>
                    <w:bottom w:val="none" w:sz="0" w:space="0" w:color="auto"/>
                    <w:right w:val="none" w:sz="0" w:space="0" w:color="auto"/>
                  </w:divBdr>
                  <w:divsChild>
                    <w:div w:id="668870285">
                      <w:marLeft w:val="0"/>
                      <w:marRight w:val="0"/>
                      <w:marTop w:val="0"/>
                      <w:marBottom w:val="0"/>
                      <w:divBdr>
                        <w:top w:val="none" w:sz="0" w:space="0" w:color="auto"/>
                        <w:left w:val="none" w:sz="0" w:space="0" w:color="auto"/>
                        <w:bottom w:val="none" w:sz="0" w:space="0" w:color="auto"/>
                        <w:right w:val="none" w:sz="0" w:space="0" w:color="auto"/>
                      </w:divBdr>
                    </w:div>
                  </w:divsChild>
                </w:div>
                <w:div w:id="1696691167">
                  <w:marLeft w:val="0"/>
                  <w:marRight w:val="0"/>
                  <w:marTop w:val="0"/>
                  <w:marBottom w:val="0"/>
                  <w:divBdr>
                    <w:top w:val="none" w:sz="0" w:space="0" w:color="auto"/>
                    <w:left w:val="none" w:sz="0" w:space="0" w:color="auto"/>
                    <w:bottom w:val="none" w:sz="0" w:space="0" w:color="auto"/>
                    <w:right w:val="none" w:sz="0" w:space="0" w:color="auto"/>
                  </w:divBdr>
                  <w:divsChild>
                    <w:div w:id="366181484">
                      <w:marLeft w:val="0"/>
                      <w:marRight w:val="0"/>
                      <w:marTop w:val="0"/>
                      <w:marBottom w:val="0"/>
                      <w:divBdr>
                        <w:top w:val="none" w:sz="0" w:space="0" w:color="auto"/>
                        <w:left w:val="none" w:sz="0" w:space="0" w:color="auto"/>
                        <w:bottom w:val="none" w:sz="0" w:space="0" w:color="auto"/>
                        <w:right w:val="none" w:sz="0" w:space="0" w:color="auto"/>
                      </w:divBdr>
                    </w:div>
                  </w:divsChild>
                </w:div>
                <w:div w:id="500197913">
                  <w:marLeft w:val="0"/>
                  <w:marRight w:val="0"/>
                  <w:marTop w:val="0"/>
                  <w:marBottom w:val="0"/>
                  <w:divBdr>
                    <w:top w:val="none" w:sz="0" w:space="0" w:color="auto"/>
                    <w:left w:val="none" w:sz="0" w:space="0" w:color="auto"/>
                    <w:bottom w:val="none" w:sz="0" w:space="0" w:color="auto"/>
                    <w:right w:val="none" w:sz="0" w:space="0" w:color="auto"/>
                  </w:divBdr>
                  <w:divsChild>
                    <w:div w:id="1475412209">
                      <w:marLeft w:val="0"/>
                      <w:marRight w:val="0"/>
                      <w:marTop w:val="0"/>
                      <w:marBottom w:val="0"/>
                      <w:divBdr>
                        <w:top w:val="none" w:sz="0" w:space="0" w:color="auto"/>
                        <w:left w:val="none" w:sz="0" w:space="0" w:color="auto"/>
                        <w:bottom w:val="none" w:sz="0" w:space="0" w:color="auto"/>
                        <w:right w:val="none" w:sz="0" w:space="0" w:color="auto"/>
                      </w:divBdr>
                    </w:div>
                  </w:divsChild>
                </w:div>
                <w:div w:id="1379478446">
                  <w:marLeft w:val="0"/>
                  <w:marRight w:val="0"/>
                  <w:marTop w:val="0"/>
                  <w:marBottom w:val="0"/>
                  <w:divBdr>
                    <w:top w:val="none" w:sz="0" w:space="0" w:color="auto"/>
                    <w:left w:val="none" w:sz="0" w:space="0" w:color="auto"/>
                    <w:bottom w:val="none" w:sz="0" w:space="0" w:color="auto"/>
                    <w:right w:val="none" w:sz="0" w:space="0" w:color="auto"/>
                  </w:divBdr>
                  <w:divsChild>
                    <w:div w:id="1817406187">
                      <w:marLeft w:val="0"/>
                      <w:marRight w:val="0"/>
                      <w:marTop w:val="0"/>
                      <w:marBottom w:val="0"/>
                      <w:divBdr>
                        <w:top w:val="none" w:sz="0" w:space="0" w:color="auto"/>
                        <w:left w:val="none" w:sz="0" w:space="0" w:color="auto"/>
                        <w:bottom w:val="none" w:sz="0" w:space="0" w:color="auto"/>
                        <w:right w:val="none" w:sz="0" w:space="0" w:color="auto"/>
                      </w:divBdr>
                    </w:div>
                  </w:divsChild>
                </w:div>
                <w:div w:id="706637196">
                  <w:marLeft w:val="0"/>
                  <w:marRight w:val="0"/>
                  <w:marTop w:val="0"/>
                  <w:marBottom w:val="0"/>
                  <w:divBdr>
                    <w:top w:val="none" w:sz="0" w:space="0" w:color="auto"/>
                    <w:left w:val="none" w:sz="0" w:space="0" w:color="auto"/>
                    <w:bottom w:val="none" w:sz="0" w:space="0" w:color="auto"/>
                    <w:right w:val="none" w:sz="0" w:space="0" w:color="auto"/>
                  </w:divBdr>
                  <w:divsChild>
                    <w:div w:id="1394356452">
                      <w:marLeft w:val="0"/>
                      <w:marRight w:val="0"/>
                      <w:marTop w:val="0"/>
                      <w:marBottom w:val="0"/>
                      <w:divBdr>
                        <w:top w:val="none" w:sz="0" w:space="0" w:color="auto"/>
                        <w:left w:val="none" w:sz="0" w:space="0" w:color="auto"/>
                        <w:bottom w:val="none" w:sz="0" w:space="0" w:color="auto"/>
                        <w:right w:val="none" w:sz="0" w:space="0" w:color="auto"/>
                      </w:divBdr>
                    </w:div>
                  </w:divsChild>
                </w:div>
                <w:div w:id="1539588554">
                  <w:marLeft w:val="0"/>
                  <w:marRight w:val="0"/>
                  <w:marTop w:val="0"/>
                  <w:marBottom w:val="0"/>
                  <w:divBdr>
                    <w:top w:val="none" w:sz="0" w:space="0" w:color="auto"/>
                    <w:left w:val="none" w:sz="0" w:space="0" w:color="auto"/>
                    <w:bottom w:val="none" w:sz="0" w:space="0" w:color="auto"/>
                    <w:right w:val="none" w:sz="0" w:space="0" w:color="auto"/>
                  </w:divBdr>
                  <w:divsChild>
                    <w:div w:id="895092562">
                      <w:marLeft w:val="0"/>
                      <w:marRight w:val="0"/>
                      <w:marTop w:val="0"/>
                      <w:marBottom w:val="0"/>
                      <w:divBdr>
                        <w:top w:val="none" w:sz="0" w:space="0" w:color="auto"/>
                        <w:left w:val="none" w:sz="0" w:space="0" w:color="auto"/>
                        <w:bottom w:val="none" w:sz="0" w:space="0" w:color="auto"/>
                        <w:right w:val="none" w:sz="0" w:space="0" w:color="auto"/>
                      </w:divBdr>
                    </w:div>
                  </w:divsChild>
                </w:div>
                <w:div w:id="1523662476">
                  <w:marLeft w:val="0"/>
                  <w:marRight w:val="0"/>
                  <w:marTop w:val="0"/>
                  <w:marBottom w:val="0"/>
                  <w:divBdr>
                    <w:top w:val="none" w:sz="0" w:space="0" w:color="auto"/>
                    <w:left w:val="none" w:sz="0" w:space="0" w:color="auto"/>
                    <w:bottom w:val="none" w:sz="0" w:space="0" w:color="auto"/>
                    <w:right w:val="none" w:sz="0" w:space="0" w:color="auto"/>
                  </w:divBdr>
                  <w:divsChild>
                    <w:div w:id="1836803552">
                      <w:marLeft w:val="0"/>
                      <w:marRight w:val="0"/>
                      <w:marTop w:val="0"/>
                      <w:marBottom w:val="0"/>
                      <w:divBdr>
                        <w:top w:val="none" w:sz="0" w:space="0" w:color="auto"/>
                        <w:left w:val="none" w:sz="0" w:space="0" w:color="auto"/>
                        <w:bottom w:val="none" w:sz="0" w:space="0" w:color="auto"/>
                        <w:right w:val="none" w:sz="0" w:space="0" w:color="auto"/>
                      </w:divBdr>
                    </w:div>
                  </w:divsChild>
                </w:div>
                <w:div w:id="199827790">
                  <w:marLeft w:val="0"/>
                  <w:marRight w:val="0"/>
                  <w:marTop w:val="0"/>
                  <w:marBottom w:val="0"/>
                  <w:divBdr>
                    <w:top w:val="none" w:sz="0" w:space="0" w:color="auto"/>
                    <w:left w:val="none" w:sz="0" w:space="0" w:color="auto"/>
                    <w:bottom w:val="none" w:sz="0" w:space="0" w:color="auto"/>
                    <w:right w:val="none" w:sz="0" w:space="0" w:color="auto"/>
                  </w:divBdr>
                  <w:divsChild>
                    <w:div w:id="569536020">
                      <w:marLeft w:val="0"/>
                      <w:marRight w:val="0"/>
                      <w:marTop w:val="0"/>
                      <w:marBottom w:val="0"/>
                      <w:divBdr>
                        <w:top w:val="none" w:sz="0" w:space="0" w:color="auto"/>
                        <w:left w:val="none" w:sz="0" w:space="0" w:color="auto"/>
                        <w:bottom w:val="none" w:sz="0" w:space="0" w:color="auto"/>
                        <w:right w:val="none" w:sz="0" w:space="0" w:color="auto"/>
                      </w:divBdr>
                    </w:div>
                  </w:divsChild>
                </w:div>
                <w:div w:id="472453206">
                  <w:marLeft w:val="0"/>
                  <w:marRight w:val="0"/>
                  <w:marTop w:val="0"/>
                  <w:marBottom w:val="0"/>
                  <w:divBdr>
                    <w:top w:val="none" w:sz="0" w:space="0" w:color="auto"/>
                    <w:left w:val="none" w:sz="0" w:space="0" w:color="auto"/>
                    <w:bottom w:val="none" w:sz="0" w:space="0" w:color="auto"/>
                    <w:right w:val="none" w:sz="0" w:space="0" w:color="auto"/>
                  </w:divBdr>
                  <w:divsChild>
                    <w:div w:id="1052729678">
                      <w:marLeft w:val="0"/>
                      <w:marRight w:val="0"/>
                      <w:marTop w:val="0"/>
                      <w:marBottom w:val="0"/>
                      <w:divBdr>
                        <w:top w:val="none" w:sz="0" w:space="0" w:color="auto"/>
                        <w:left w:val="none" w:sz="0" w:space="0" w:color="auto"/>
                        <w:bottom w:val="none" w:sz="0" w:space="0" w:color="auto"/>
                        <w:right w:val="none" w:sz="0" w:space="0" w:color="auto"/>
                      </w:divBdr>
                    </w:div>
                  </w:divsChild>
                </w:div>
                <w:div w:id="2012952491">
                  <w:marLeft w:val="0"/>
                  <w:marRight w:val="0"/>
                  <w:marTop w:val="0"/>
                  <w:marBottom w:val="0"/>
                  <w:divBdr>
                    <w:top w:val="none" w:sz="0" w:space="0" w:color="auto"/>
                    <w:left w:val="none" w:sz="0" w:space="0" w:color="auto"/>
                    <w:bottom w:val="none" w:sz="0" w:space="0" w:color="auto"/>
                    <w:right w:val="none" w:sz="0" w:space="0" w:color="auto"/>
                  </w:divBdr>
                  <w:divsChild>
                    <w:div w:id="903178160">
                      <w:marLeft w:val="0"/>
                      <w:marRight w:val="0"/>
                      <w:marTop w:val="0"/>
                      <w:marBottom w:val="0"/>
                      <w:divBdr>
                        <w:top w:val="none" w:sz="0" w:space="0" w:color="auto"/>
                        <w:left w:val="none" w:sz="0" w:space="0" w:color="auto"/>
                        <w:bottom w:val="none" w:sz="0" w:space="0" w:color="auto"/>
                        <w:right w:val="none" w:sz="0" w:space="0" w:color="auto"/>
                      </w:divBdr>
                    </w:div>
                  </w:divsChild>
                </w:div>
                <w:div w:id="485754463">
                  <w:marLeft w:val="0"/>
                  <w:marRight w:val="0"/>
                  <w:marTop w:val="0"/>
                  <w:marBottom w:val="0"/>
                  <w:divBdr>
                    <w:top w:val="none" w:sz="0" w:space="0" w:color="auto"/>
                    <w:left w:val="none" w:sz="0" w:space="0" w:color="auto"/>
                    <w:bottom w:val="none" w:sz="0" w:space="0" w:color="auto"/>
                    <w:right w:val="none" w:sz="0" w:space="0" w:color="auto"/>
                  </w:divBdr>
                  <w:divsChild>
                    <w:div w:id="570699136">
                      <w:marLeft w:val="0"/>
                      <w:marRight w:val="0"/>
                      <w:marTop w:val="0"/>
                      <w:marBottom w:val="0"/>
                      <w:divBdr>
                        <w:top w:val="none" w:sz="0" w:space="0" w:color="auto"/>
                        <w:left w:val="none" w:sz="0" w:space="0" w:color="auto"/>
                        <w:bottom w:val="none" w:sz="0" w:space="0" w:color="auto"/>
                        <w:right w:val="none" w:sz="0" w:space="0" w:color="auto"/>
                      </w:divBdr>
                    </w:div>
                  </w:divsChild>
                </w:div>
                <w:div w:id="1960986918">
                  <w:marLeft w:val="0"/>
                  <w:marRight w:val="0"/>
                  <w:marTop w:val="0"/>
                  <w:marBottom w:val="0"/>
                  <w:divBdr>
                    <w:top w:val="none" w:sz="0" w:space="0" w:color="auto"/>
                    <w:left w:val="none" w:sz="0" w:space="0" w:color="auto"/>
                    <w:bottom w:val="none" w:sz="0" w:space="0" w:color="auto"/>
                    <w:right w:val="none" w:sz="0" w:space="0" w:color="auto"/>
                  </w:divBdr>
                  <w:divsChild>
                    <w:div w:id="1670598174">
                      <w:marLeft w:val="0"/>
                      <w:marRight w:val="0"/>
                      <w:marTop w:val="0"/>
                      <w:marBottom w:val="0"/>
                      <w:divBdr>
                        <w:top w:val="none" w:sz="0" w:space="0" w:color="auto"/>
                        <w:left w:val="none" w:sz="0" w:space="0" w:color="auto"/>
                        <w:bottom w:val="none" w:sz="0" w:space="0" w:color="auto"/>
                        <w:right w:val="none" w:sz="0" w:space="0" w:color="auto"/>
                      </w:divBdr>
                    </w:div>
                  </w:divsChild>
                </w:div>
                <w:div w:id="1530333812">
                  <w:marLeft w:val="0"/>
                  <w:marRight w:val="0"/>
                  <w:marTop w:val="0"/>
                  <w:marBottom w:val="0"/>
                  <w:divBdr>
                    <w:top w:val="none" w:sz="0" w:space="0" w:color="auto"/>
                    <w:left w:val="none" w:sz="0" w:space="0" w:color="auto"/>
                    <w:bottom w:val="none" w:sz="0" w:space="0" w:color="auto"/>
                    <w:right w:val="none" w:sz="0" w:space="0" w:color="auto"/>
                  </w:divBdr>
                  <w:divsChild>
                    <w:div w:id="1663701015">
                      <w:marLeft w:val="0"/>
                      <w:marRight w:val="0"/>
                      <w:marTop w:val="0"/>
                      <w:marBottom w:val="0"/>
                      <w:divBdr>
                        <w:top w:val="none" w:sz="0" w:space="0" w:color="auto"/>
                        <w:left w:val="none" w:sz="0" w:space="0" w:color="auto"/>
                        <w:bottom w:val="none" w:sz="0" w:space="0" w:color="auto"/>
                        <w:right w:val="none" w:sz="0" w:space="0" w:color="auto"/>
                      </w:divBdr>
                    </w:div>
                  </w:divsChild>
                </w:div>
                <w:div w:id="2127263371">
                  <w:marLeft w:val="0"/>
                  <w:marRight w:val="0"/>
                  <w:marTop w:val="0"/>
                  <w:marBottom w:val="0"/>
                  <w:divBdr>
                    <w:top w:val="none" w:sz="0" w:space="0" w:color="auto"/>
                    <w:left w:val="none" w:sz="0" w:space="0" w:color="auto"/>
                    <w:bottom w:val="none" w:sz="0" w:space="0" w:color="auto"/>
                    <w:right w:val="none" w:sz="0" w:space="0" w:color="auto"/>
                  </w:divBdr>
                  <w:divsChild>
                    <w:div w:id="264312183">
                      <w:marLeft w:val="0"/>
                      <w:marRight w:val="0"/>
                      <w:marTop w:val="0"/>
                      <w:marBottom w:val="0"/>
                      <w:divBdr>
                        <w:top w:val="none" w:sz="0" w:space="0" w:color="auto"/>
                        <w:left w:val="none" w:sz="0" w:space="0" w:color="auto"/>
                        <w:bottom w:val="none" w:sz="0" w:space="0" w:color="auto"/>
                        <w:right w:val="none" w:sz="0" w:space="0" w:color="auto"/>
                      </w:divBdr>
                    </w:div>
                  </w:divsChild>
                </w:div>
                <w:div w:id="2124759316">
                  <w:marLeft w:val="0"/>
                  <w:marRight w:val="0"/>
                  <w:marTop w:val="0"/>
                  <w:marBottom w:val="0"/>
                  <w:divBdr>
                    <w:top w:val="none" w:sz="0" w:space="0" w:color="auto"/>
                    <w:left w:val="none" w:sz="0" w:space="0" w:color="auto"/>
                    <w:bottom w:val="none" w:sz="0" w:space="0" w:color="auto"/>
                    <w:right w:val="none" w:sz="0" w:space="0" w:color="auto"/>
                  </w:divBdr>
                  <w:divsChild>
                    <w:div w:id="1700276800">
                      <w:marLeft w:val="0"/>
                      <w:marRight w:val="0"/>
                      <w:marTop w:val="0"/>
                      <w:marBottom w:val="0"/>
                      <w:divBdr>
                        <w:top w:val="none" w:sz="0" w:space="0" w:color="auto"/>
                        <w:left w:val="none" w:sz="0" w:space="0" w:color="auto"/>
                        <w:bottom w:val="none" w:sz="0" w:space="0" w:color="auto"/>
                        <w:right w:val="none" w:sz="0" w:space="0" w:color="auto"/>
                      </w:divBdr>
                    </w:div>
                  </w:divsChild>
                </w:div>
                <w:div w:id="1836457104">
                  <w:marLeft w:val="0"/>
                  <w:marRight w:val="0"/>
                  <w:marTop w:val="0"/>
                  <w:marBottom w:val="0"/>
                  <w:divBdr>
                    <w:top w:val="none" w:sz="0" w:space="0" w:color="auto"/>
                    <w:left w:val="none" w:sz="0" w:space="0" w:color="auto"/>
                    <w:bottom w:val="none" w:sz="0" w:space="0" w:color="auto"/>
                    <w:right w:val="none" w:sz="0" w:space="0" w:color="auto"/>
                  </w:divBdr>
                  <w:divsChild>
                    <w:div w:id="985160930">
                      <w:marLeft w:val="0"/>
                      <w:marRight w:val="0"/>
                      <w:marTop w:val="0"/>
                      <w:marBottom w:val="0"/>
                      <w:divBdr>
                        <w:top w:val="none" w:sz="0" w:space="0" w:color="auto"/>
                        <w:left w:val="none" w:sz="0" w:space="0" w:color="auto"/>
                        <w:bottom w:val="none" w:sz="0" w:space="0" w:color="auto"/>
                        <w:right w:val="none" w:sz="0" w:space="0" w:color="auto"/>
                      </w:divBdr>
                    </w:div>
                  </w:divsChild>
                </w:div>
                <w:div w:id="1004012030">
                  <w:marLeft w:val="0"/>
                  <w:marRight w:val="0"/>
                  <w:marTop w:val="0"/>
                  <w:marBottom w:val="0"/>
                  <w:divBdr>
                    <w:top w:val="none" w:sz="0" w:space="0" w:color="auto"/>
                    <w:left w:val="none" w:sz="0" w:space="0" w:color="auto"/>
                    <w:bottom w:val="none" w:sz="0" w:space="0" w:color="auto"/>
                    <w:right w:val="none" w:sz="0" w:space="0" w:color="auto"/>
                  </w:divBdr>
                  <w:divsChild>
                    <w:div w:id="1421678842">
                      <w:marLeft w:val="0"/>
                      <w:marRight w:val="0"/>
                      <w:marTop w:val="0"/>
                      <w:marBottom w:val="0"/>
                      <w:divBdr>
                        <w:top w:val="none" w:sz="0" w:space="0" w:color="auto"/>
                        <w:left w:val="none" w:sz="0" w:space="0" w:color="auto"/>
                        <w:bottom w:val="none" w:sz="0" w:space="0" w:color="auto"/>
                        <w:right w:val="none" w:sz="0" w:space="0" w:color="auto"/>
                      </w:divBdr>
                    </w:div>
                  </w:divsChild>
                </w:div>
                <w:div w:id="954218724">
                  <w:marLeft w:val="0"/>
                  <w:marRight w:val="0"/>
                  <w:marTop w:val="0"/>
                  <w:marBottom w:val="0"/>
                  <w:divBdr>
                    <w:top w:val="none" w:sz="0" w:space="0" w:color="auto"/>
                    <w:left w:val="none" w:sz="0" w:space="0" w:color="auto"/>
                    <w:bottom w:val="none" w:sz="0" w:space="0" w:color="auto"/>
                    <w:right w:val="none" w:sz="0" w:space="0" w:color="auto"/>
                  </w:divBdr>
                  <w:divsChild>
                    <w:div w:id="2136485459">
                      <w:marLeft w:val="0"/>
                      <w:marRight w:val="0"/>
                      <w:marTop w:val="0"/>
                      <w:marBottom w:val="0"/>
                      <w:divBdr>
                        <w:top w:val="none" w:sz="0" w:space="0" w:color="auto"/>
                        <w:left w:val="none" w:sz="0" w:space="0" w:color="auto"/>
                        <w:bottom w:val="none" w:sz="0" w:space="0" w:color="auto"/>
                        <w:right w:val="none" w:sz="0" w:space="0" w:color="auto"/>
                      </w:divBdr>
                    </w:div>
                  </w:divsChild>
                </w:div>
                <w:div w:id="1151555507">
                  <w:marLeft w:val="0"/>
                  <w:marRight w:val="0"/>
                  <w:marTop w:val="0"/>
                  <w:marBottom w:val="0"/>
                  <w:divBdr>
                    <w:top w:val="none" w:sz="0" w:space="0" w:color="auto"/>
                    <w:left w:val="none" w:sz="0" w:space="0" w:color="auto"/>
                    <w:bottom w:val="none" w:sz="0" w:space="0" w:color="auto"/>
                    <w:right w:val="none" w:sz="0" w:space="0" w:color="auto"/>
                  </w:divBdr>
                  <w:divsChild>
                    <w:div w:id="710037621">
                      <w:marLeft w:val="0"/>
                      <w:marRight w:val="0"/>
                      <w:marTop w:val="0"/>
                      <w:marBottom w:val="0"/>
                      <w:divBdr>
                        <w:top w:val="none" w:sz="0" w:space="0" w:color="auto"/>
                        <w:left w:val="none" w:sz="0" w:space="0" w:color="auto"/>
                        <w:bottom w:val="none" w:sz="0" w:space="0" w:color="auto"/>
                        <w:right w:val="none" w:sz="0" w:space="0" w:color="auto"/>
                      </w:divBdr>
                    </w:div>
                  </w:divsChild>
                </w:div>
                <w:div w:id="983005139">
                  <w:marLeft w:val="0"/>
                  <w:marRight w:val="0"/>
                  <w:marTop w:val="0"/>
                  <w:marBottom w:val="0"/>
                  <w:divBdr>
                    <w:top w:val="none" w:sz="0" w:space="0" w:color="auto"/>
                    <w:left w:val="none" w:sz="0" w:space="0" w:color="auto"/>
                    <w:bottom w:val="none" w:sz="0" w:space="0" w:color="auto"/>
                    <w:right w:val="none" w:sz="0" w:space="0" w:color="auto"/>
                  </w:divBdr>
                  <w:divsChild>
                    <w:div w:id="378210573">
                      <w:marLeft w:val="0"/>
                      <w:marRight w:val="0"/>
                      <w:marTop w:val="0"/>
                      <w:marBottom w:val="0"/>
                      <w:divBdr>
                        <w:top w:val="none" w:sz="0" w:space="0" w:color="auto"/>
                        <w:left w:val="none" w:sz="0" w:space="0" w:color="auto"/>
                        <w:bottom w:val="none" w:sz="0" w:space="0" w:color="auto"/>
                        <w:right w:val="none" w:sz="0" w:space="0" w:color="auto"/>
                      </w:divBdr>
                    </w:div>
                  </w:divsChild>
                </w:div>
                <w:div w:id="1456679268">
                  <w:marLeft w:val="0"/>
                  <w:marRight w:val="0"/>
                  <w:marTop w:val="0"/>
                  <w:marBottom w:val="0"/>
                  <w:divBdr>
                    <w:top w:val="none" w:sz="0" w:space="0" w:color="auto"/>
                    <w:left w:val="none" w:sz="0" w:space="0" w:color="auto"/>
                    <w:bottom w:val="none" w:sz="0" w:space="0" w:color="auto"/>
                    <w:right w:val="none" w:sz="0" w:space="0" w:color="auto"/>
                  </w:divBdr>
                  <w:divsChild>
                    <w:div w:id="205532145">
                      <w:marLeft w:val="0"/>
                      <w:marRight w:val="0"/>
                      <w:marTop w:val="0"/>
                      <w:marBottom w:val="0"/>
                      <w:divBdr>
                        <w:top w:val="none" w:sz="0" w:space="0" w:color="auto"/>
                        <w:left w:val="none" w:sz="0" w:space="0" w:color="auto"/>
                        <w:bottom w:val="none" w:sz="0" w:space="0" w:color="auto"/>
                        <w:right w:val="none" w:sz="0" w:space="0" w:color="auto"/>
                      </w:divBdr>
                    </w:div>
                  </w:divsChild>
                </w:div>
                <w:div w:id="976378846">
                  <w:marLeft w:val="0"/>
                  <w:marRight w:val="0"/>
                  <w:marTop w:val="0"/>
                  <w:marBottom w:val="0"/>
                  <w:divBdr>
                    <w:top w:val="none" w:sz="0" w:space="0" w:color="auto"/>
                    <w:left w:val="none" w:sz="0" w:space="0" w:color="auto"/>
                    <w:bottom w:val="none" w:sz="0" w:space="0" w:color="auto"/>
                    <w:right w:val="none" w:sz="0" w:space="0" w:color="auto"/>
                  </w:divBdr>
                  <w:divsChild>
                    <w:div w:id="2070879265">
                      <w:marLeft w:val="0"/>
                      <w:marRight w:val="0"/>
                      <w:marTop w:val="0"/>
                      <w:marBottom w:val="0"/>
                      <w:divBdr>
                        <w:top w:val="none" w:sz="0" w:space="0" w:color="auto"/>
                        <w:left w:val="none" w:sz="0" w:space="0" w:color="auto"/>
                        <w:bottom w:val="none" w:sz="0" w:space="0" w:color="auto"/>
                        <w:right w:val="none" w:sz="0" w:space="0" w:color="auto"/>
                      </w:divBdr>
                    </w:div>
                  </w:divsChild>
                </w:div>
                <w:div w:id="54593191">
                  <w:marLeft w:val="0"/>
                  <w:marRight w:val="0"/>
                  <w:marTop w:val="0"/>
                  <w:marBottom w:val="0"/>
                  <w:divBdr>
                    <w:top w:val="none" w:sz="0" w:space="0" w:color="auto"/>
                    <w:left w:val="none" w:sz="0" w:space="0" w:color="auto"/>
                    <w:bottom w:val="none" w:sz="0" w:space="0" w:color="auto"/>
                    <w:right w:val="none" w:sz="0" w:space="0" w:color="auto"/>
                  </w:divBdr>
                  <w:divsChild>
                    <w:div w:id="187604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010371">
      <w:bodyDiv w:val="1"/>
      <w:marLeft w:val="0"/>
      <w:marRight w:val="0"/>
      <w:marTop w:val="0"/>
      <w:marBottom w:val="0"/>
      <w:divBdr>
        <w:top w:val="none" w:sz="0" w:space="0" w:color="auto"/>
        <w:left w:val="none" w:sz="0" w:space="0" w:color="auto"/>
        <w:bottom w:val="none" w:sz="0" w:space="0" w:color="auto"/>
        <w:right w:val="none" w:sz="0" w:space="0" w:color="auto"/>
      </w:divBdr>
    </w:div>
    <w:div w:id="795375110">
      <w:bodyDiv w:val="1"/>
      <w:marLeft w:val="0"/>
      <w:marRight w:val="0"/>
      <w:marTop w:val="0"/>
      <w:marBottom w:val="0"/>
      <w:divBdr>
        <w:top w:val="none" w:sz="0" w:space="0" w:color="auto"/>
        <w:left w:val="none" w:sz="0" w:space="0" w:color="auto"/>
        <w:bottom w:val="none" w:sz="0" w:space="0" w:color="auto"/>
        <w:right w:val="none" w:sz="0" w:space="0" w:color="auto"/>
      </w:divBdr>
      <w:divsChild>
        <w:div w:id="120541300">
          <w:marLeft w:val="0"/>
          <w:marRight w:val="0"/>
          <w:marTop w:val="0"/>
          <w:marBottom w:val="0"/>
          <w:divBdr>
            <w:top w:val="none" w:sz="0" w:space="0" w:color="auto"/>
            <w:left w:val="none" w:sz="0" w:space="0" w:color="auto"/>
            <w:bottom w:val="none" w:sz="0" w:space="0" w:color="auto"/>
            <w:right w:val="none" w:sz="0" w:space="0" w:color="auto"/>
          </w:divBdr>
        </w:div>
        <w:div w:id="448821745">
          <w:marLeft w:val="0"/>
          <w:marRight w:val="0"/>
          <w:marTop w:val="0"/>
          <w:marBottom w:val="0"/>
          <w:divBdr>
            <w:top w:val="none" w:sz="0" w:space="0" w:color="auto"/>
            <w:left w:val="none" w:sz="0" w:space="0" w:color="auto"/>
            <w:bottom w:val="none" w:sz="0" w:space="0" w:color="auto"/>
            <w:right w:val="none" w:sz="0" w:space="0" w:color="auto"/>
          </w:divBdr>
        </w:div>
      </w:divsChild>
    </w:div>
    <w:div w:id="1137531494">
      <w:bodyDiv w:val="1"/>
      <w:marLeft w:val="0"/>
      <w:marRight w:val="0"/>
      <w:marTop w:val="0"/>
      <w:marBottom w:val="0"/>
      <w:divBdr>
        <w:top w:val="none" w:sz="0" w:space="0" w:color="auto"/>
        <w:left w:val="none" w:sz="0" w:space="0" w:color="auto"/>
        <w:bottom w:val="none" w:sz="0" w:space="0" w:color="auto"/>
        <w:right w:val="none" w:sz="0" w:space="0" w:color="auto"/>
      </w:divBdr>
    </w:div>
    <w:div w:id="1159809515">
      <w:bodyDiv w:val="1"/>
      <w:marLeft w:val="0"/>
      <w:marRight w:val="0"/>
      <w:marTop w:val="0"/>
      <w:marBottom w:val="0"/>
      <w:divBdr>
        <w:top w:val="none" w:sz="0" w:space="0" w:color="auto"/>
        <w:left w:val="none" w:sz="0" w:space="0" w:color="auto"/>
        <w:bottom w:val="none" w:sz="0" w:space="0" w:color="auto"/>
        <w:right w:val="none" w:sz="0" w:space="0" w:color="auto"/>
      </w:divBdr>
    </w:div>
    <w:div w:id="1198664404">
      <w:bodyDiv w:val="1"/>
      <w:marLeft w:val="0"/>
      <w:marRight w:val="0"/>
      <w:marTop w:val="0"/>
      <w:marBottom w:val="0"/>
      <w:divBdr>
        <w:top w:val="none" w:sz="0" w:space="0" w:color="auto"/>
        <w:left w:val="none" w:sz="0" w:space="0" w:color="auto"/>
        <w:bottom w:val="none" w:sz="0" w:space="0" w:color="auto"/>
        <w:right w:val="none" w:sz="0" w:space="0" w:color="auto"/>
      </w:divBdr>
    </w:div>
    <w:div w:id="1227640791">
      <w:bodyDiv w:val="1"/>
      <w:marLeft w:val="0"/>
      <w:marRight w:val="0"/>
      <w:marTop w:val="0"/>
      <w:marBottom w:val="0"/>
      <w:divBdr>
        <w:top w:val="none" w:sz="0" w:space="0" w:color="auto"/>
        <w:left w:val="none" w:sz="0" w:space="0" w:color="auto"/>
        <w:bottom w:val="none" w:sz="0" w:space="0" w:color="auto"/>
        <w:right w:val="none" w:sz="0" w:space="0" w:color="auto"/>
      </w:divBdr>
    </w:div>
    <w:div w:id="1262840699">
      <w:bodyDiv w:val="1"/>
      <w:marLeft w:val="0"/>
      <w:marRight w:val="0"/>
      <w:marTop w:val="0"/>
      <w:marBottom w:val="0"/>
      <w:divBdr>
        <w:top w:val="none" w:sz="0" w:space="0" w:color="auto"/>
        <w:left w:val="none" w:sz="0" w:space="0" w:color="auto"/>
        <w:bottom w:val="none" w:sz="0" w:space="0" w:color="auto"/>
        <w:right w:val="none" w:sz="0" w:space="0" w:color="auto"/>
      </w:divBdr>
    </w:div>
    <w:div w:id="1381318491">
      <w:bodyDiv w:val="1"/>
      <w:marLeft w:val="0"/>
      <w:marRight w:val="0"/>
      <w:marTop w:val="0"/>
      <w:marBottom w:val="0"/>
      <w:divBdr>
        <w:top w:val="none" w:sz="0" w:space="0" w:color="auto"/>
        <w:left w:val="none" w:sz="0" w:space="0" w:color="auto"/>
        <w:bottom w:val="none" w:sz="0" w:space="0" w:color="auto"/>
        <w:right w:val="none" w:sz="0" w:space="0" w:color="auto"/>
      </w:divBdr>
      <w:divsChild>
        <w:div w:id="1121076591">
          <w:marLeft w:val="0"/>
          <w:marRight w:val="0"/>
          <w:marTop w:val="0"/>
          <w:marBottom w:val="0"/>
          <w:divBdr>
            <w:top w:val="none" w:sz="0" w:space="0" w:color="auto"/>
            <w:left w:val="none" w:sz="0" w:space="0" w:color="auto"/>
            <w:bottom w:val="none" w:sz="0" w:space="0" w:color="auto"/>
            <w:right w:val="none" w:sz="0" w:space="0" w:color="auto"/>
          </w:divBdr>
        </w:div>
      </w:divsChild>
    </w:div>
    <w:div w:id="1597865675">
      <w:bodyDiv w:val="1"/>
      <w:marLeft w:val="0"/>
      <w:marRight w:val="0"/>
      <w:marTop w:val="0"/>
      <w:marBottom w:val="0"/>
      <w:divBdr>
        <w:top w:val="none" w:sz="0" w:space="0" w:color="auto"/>
        <w:left w:val="none" w:sz="0" w:space="0" w:color="auto"/>
        <w:bottom w:val="none" w:sz="0" w:space="0" w:color="auto"/>
        <w:right w:val="none" w:sz="0" w:space="0" w:color="auto"/>
      </w:divBdr>
      <w:divsChild>
        <w:div w:id="2099057024">
          <w:marLeft w:val="0"/>
          <w:marRight w:val="0"/>
          <w:marTop w:val="0"/>
          <w:marBottom w:val="0"/>
          <w:divBdr>
            <w:top w:val="none" w:sz="0" w:space="0" w:color="auto"/>
            <w:left w:val="none" w:sz="0" w:space="0" w:color="auto"/>
            <w:bottom w:val="none" w:sz="0" w:space="0" w:color="auto"/>
            <w:right w:val="none" w:sz="0" w:space="0" w:color="auto"/>
          </w:divBdr>
          <w:divsChild>
            <w:div w:id="9799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11174">
      <w:bodyDiv w:val="1"/>
      <w:marLeft w:val="0"/>
      <w:marRight w:val="0"/>
      <w:marTop w:val="0"/>
      <w:marBottom w:val="0"/>
      <w:divBdr>
        <w:top w:val="none" w:sz="0" w:space="0" w:color="auto"/>
        <w:left w:val="none" w:sz="0" w:space="0" w:color="auto"/>
        <w:bottom w:val="none" w:sz="0" w:space="0" w:color="auto"/>
        <w:right w:val="none" w:sz="0" w:space="0" w:color="auto"/>
      </w:divBdr>
      <w:divsChild>
        <w:div w:id="953751890">
          <w:marLeft w:val="0"/>
          <w:marRight w:val="0"/>
          <w:marTop w:val="0"/>
          <w:marBottom w:val="0"/>
          <w:divBdr>
            <w:top w:val="none" w:sz="0" w:space="0" w:color="auto"/>
            <w:left w:val="none" w:sz="0" w:space="0" w:color="auto"/>
            <w:bottom w:val="none" w:sz="0" w:space="0" w:color="auto"/>
            <w:right w:val="none" w:sz="0" w:space="0" w:color="auto"/>
          </w:divBdr>
        </w:div>
      </w:divsChild>
    </w:div>
    <w:div w:id="1738092395">
      <w:bodyDiv w:val="1"/>
      <w:marLeft w:val="0"/>
      <w:marRight w:val="0"/>
      <w:marTop w:val="0"/>
      <w:marBottom w:val="0"/>
      <w:divBdr>
        <w:top w:val="none" w:sz="0" w:space="0" w:color="auto"/>
        <w:left w:val="none" w:sz="0" w:space="0" w:color="auto"/>
        <w:bottom w:val="none" w:sz="0" w:space="0" w:color="auto"/>
        <w:right w:val="none" w:sz="0" w:space="0" w:color="auto"/>
      </w:divBdr>
    </w:div>
    <w:div w:id="1797141297">
      <w:bodyDiv w:val="1"/>
      <w:marLeft w:val="0"/>
      <w:marRight w:val="0"/>
      <w:marTop w:val="0"/>
      <w:marBottom w:val="0"/>
      <w:divBdr>
        <w:top w:val="none" w:sz="0" w:space="0" w:color="auto"/>
        <w:left w:val="none" w:sz="0" w:space="0" w:color="auto"/>
        <w:bottom w:val="none" w:sz="0" w:space="0" w:color="auto"/>
        <w:right w:val="none" w:sz="0" w:space="0" w:color="auto"/>
      </w:divBdr>
      <w:divsChild>
        <w:div w:id="478687925">
          <w:marLeft w:val="446"/>
          <w:marRight w:val="0"/>
          <w:marTop w:val="0"/>
          <w:marBottom w:val="0"/>
          <w:divBdr>
            <w:top w:val="none" w:sz="0" w:space="0" w:color="auto"/>
            <w:left w:val="none" w:sz="0" w:space="0" w:color="auto"/>
            <w:bottom w:val="none" w:sz="0" w:space="0" w:color="auto"/>
            <w:right w:val="none" w:sz="0" w:space="0" w:color="auto"/>
          </w:divBdr>
        </w:div>
        <w:div w:id="977229108">
          <w:marLeft w:val="1166"/>
          <w:marRight w:val="0"/>
          <w:marTop w:val="0"/>
          <w:marBottom w:val="0"/>
          <w:divBdr>
            <w:top w:val="none" w:sz="0" w:space="0" w:color="auto"/>
            <w:left w:val="none" w:sz="0" w:space="0" w:color="auto"/>
            <w:bottom w:val="none" w:sz="0" w:space="0" w:color="auto"/>
            <w:right w:val="none" w:sz="0" w:space="0" w:color="auto"/>
          </w:divBdr>
        </w:div>
        <w:div w:id="1389499706">
          <w:marLeft w:val="1166"/>
          <w:marRight w:val="0"/>
          <w:marTop w:val="0"/>
          <w:marBottom w:val="0"/>
          <w:divBdr>
            <w:top w:val="none" w:sz="0" w:space="0" w:color="auto"/>
            <w:left w:val="none" w:sz="0" w:space="0" w:color="auto"/>
            <w:bottom w:val="none" w:sz="0" w:space="0" w:color="auto"/>
            <w:right w:val="none" w:sz="0" w:space="0" w:color="auto"/>
          </w:divBdr>
        </w:div>
        <w:div w:id="28141962">
          <w:marLeft w:val="1166"/>
          <w:marRight w:val="0"/>
          <w:marTop w:val="0"/>
          <w:marBottom w:val="0"/>
          <w:divBdr>
            <w:top w:val="none" w:sz="0" w:space="0" w:color="auto"/>
            <w:left w:val="none" w:sz="0" w:space="0" w:color="auto"/>
            <w:bottom w:val="none" w:sz="0" w:space="0" w:color="auto"/>
            <w:right w:val="none" w:sz="0" w:space="0" w:color="auto"/>
          </w:divBdr>
        </w:div>
      </w:divsChild>
    </w:div>
    <w:div w:id="1802845927">
      <w:bodyDiv w:val="1"/>
      <w:marLeft w:val="0"/>
      <w:marRight w:val="0"/>
      <w:marTop w:val="0"/>
      <w:marBottom w:val="0"/>
      <w:divBdr>
        <w:top w:val="none" w:sz="0" w:space="0" w:color="auto"/>
        <w:left w:val="none" w:sz="0" w:space="0" w:color="auto"/>
        <w:bottom w:val="none" w:sz="0" w:space="0" w:color="auto"/>
        <w:right w:val="none" w:sz="0" w:space="0" w:color="auto"/>
      </w:divBdr>
    </w:div>
    <w:div w:id="1842045905">
      <w:bodyDiv w:val="1"/>
      <w:marLeft w:val="0"/>
      <w:marRight w:val="0"/>
      <w:marTop w:val="0"/>
      <w:marBottom w:val="0"/>
      <w:divBdr>
        <w:top w:val="none" w:sz="0" w:space="0" w:color="auto"/>
        <w:left w:val="none" w:sz="0" w:space="0" w:color="auto"/>
        <w:bottom w:val="none" w:sz="0" w:space="0" w:color="auto"/>
        <w:right w:val="none" w:sz="0" w:space="0" w:color="auto"/>
      </w:divBdr>
    </w:div>
    <w:div w:id="1917401706">
      <w:bodyDiv w:val="1"/>
      <w:marLeft w:val="0"/>
      <w:marRight w:val="0"/>
      <w:marTop w:val="0"/>
      <w:marBottom w:val="0"/>
      <w:divBdr>
        <w:top w:val="none" w:sz="0" w:space="0" w:color="auto"/>
        <w:left w:val="none" w:sz="0" w:space="0" w:color="auto"/>
        <w:bottom w:val="none" w:sz="0" w:space="0" w:color="auto"/>
        <w:right w:val="none" w:sz="0" w:space="0" w:color="auto"/>
      </w:divBdr>
      <w:divsChild>
        <w:div w:id="989944969">
          <w:marLeft w:val="1253"/>
          <w:marRight w:val="0"/>
          <w:marTop w:val="0"/>
          <w:marBottom w:val="0"/>
          <w:divBdr>
            <w:top w:val="none" w:sz="0" w:space="0" w:color="auto"/>
            <w:left w:val="none" w:sz="0" w:space="0" w:color="auto"/>
            <w:bottom w:val="none" w:sz="0" w:space="0" w:color="auto"/>
            <w:right w:val="none" w:sz="0" w:space="0" w:color="auto"/>
          </w:divBdr>
        </w:div>
        <w:div w:id="484049587">
          <w:marLeft w:val="1253"/>
          <w:marRight w:val="0"/>
          <w:marTop w:val="0"/>
          <w:marBottom w:val="0"/>
          <w:divBdr>
            <w:top w:val="none" w:sz="0" w:space="0" w:color="auto"/>
            <w:left w:val="none" w:sz="0" w:space="0" w:color="auto"/>
            <w:bottom w:val="none" w:sz="0" w:space="0" w:color="auto"/>
            <w:right w:val="none" w:sz="0" w:space="0" w:color="auto"/>
          </w:divBdr>
        </w:div>
        <w:div w:id="1646743051">
          <w:marLeft w:val="1253"/>
          <w:marRight w:val="0"/>
          <w:marTop w:val="0"/>
          <w:marBottom w:val="0"/>
          <w:divBdr>
            <w:top w:val="none" w:sz="0" w:space="0" w:color="auto"/>
            <w:left w:val="none" w:sz="0" w:space="0" w:color="auto"/>
            <w:bottom w:val="none" w:sz="0" w:space="0" w:color="auto"/>
            <w:right w:val="none" w:sz="0" w:space="0" w:color="auto"/>
          </w:divBdr>
        </w:div>
        <w:div w:id="87435702">
          <w:marLeft w:val="1253"/>
          <w:marRight w:val="0"/>
          <w:marTop w:val="0"/>
          <w:marBottom w:val="0"/>
          <w:divBdr>
            <w:top w:val="none" w:sz="0" w:space="0" w:color="auto"/>
            <w:left w:val="none" w:sz="0" w:space="0" w:color="auto"/>
            <w:bottom w:val="none" w:sz="0" w:space="0" w:color="auto"/>
            <w:right w:val="none" w:sz="0" w:space="0" w:color="auto"/>
          </w:divBdr>
        </w:div>
        <w:div w:id="1513687344">
          <w:marLeft w:val="1253"/>
          <w:marRight w:val="0"/>
          <w:marTop w:val="0"/>
          <w:marBottom w:val="0"/>
          <w:divBdr>
            <w:top w:val="none" w:sz="0" w:space="0" w:color="auto"/>
            <w:left w:val="none" w:sz="0" w:space="0" w:color="auto"/>
            <w:bottom w:val="none" w:sz="0" w:space="0" w:color="auto"/>
            <w:right w:val="none" w:sz="0" w:space="0" w:color="auto"/>
          </w:divBdr>
        </w:div>
        <w:div w:id="1187716441">
          <w:marLeft w:val="1253"/>
          <w:marRight w:val="0"/>
          <w:marTop w:val="0"/>
          <w:marBottom w:val="0"/>
          <w:divBdr>
            <w:top w:val="none" w:sz="0" w:space="0" w:color="auto"/>
            <w:left w:val="none" w:sz="0" w:space="0" w:color="auto"/>
            <w:bottom w:val="none" w:sz="0" w:space="0" w:color="auto"/>
            <w:right w:val="none" w:sz="0" w:space="0" w:color="auto"/>
          </w:divBdr>
        </w:div>
      </w:divsChild>
    </w:div>
    <w:div w:id="1980720000">
      <w:bodyDiv w:val="1"/>
      <w:marLeft w:val="0"/>
      <w:marRight w:val="0"/>
      <w:marTop w:val="0"/>
      <w:marBottom w:val="0"/>
      <w:divBdr>
        <w:top w:val="none" w:sz="0" w:space="0" w:color="auto"/>
        <w:left w:val="none" w:sz="0" w:space="0" w:color="auto"/>
        <w:bottom w:val="none" w:sz="0" w:space="0" w:color="auto"/>
        <w:right w:val="none" w:sz="0" w:space="0" w:color="auto"/>
      </w:divBdr>
    </w:div>
    <w:div w:id="2059357341">
      <w:bodyDiv w:val="1"/>
      <w:marLeft w:val="0"/>
      <w:marRight w:val="0"/>
      <w:marTop w:val="0"/>
      <w:marBottom w:val="0"/>
      <w:divBdr>
        <w:top w:val="none" w:sz="0" w:space="0" w:color="auto"/>
        <w:left w:val="none" w:sz="0" w:space="0" w:color="auto"/>
        <w:bottom w:val="none" w:sz="0" w:space="0" w:color="auto"/>
        <w:right w:val="none" w:sz="0" w:space="0" w:color="auto"/>
      </w:divBdr>
    </w:div>
    <w:div w:id="2096435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ngage.dss.gov.au/wp-content/uploads/2018/03/AFDO-Future-of-Supported-Employment-Paper-2018-03-FINAL.pdf" TargetMode="External"/><Relationship Id="rId18" Type="http://schemas.openxmlformats.org/officeDocument/2006/relationships/hyperlink" Target="https://sticerd.lse.ac.uk/dps/case/extra/Disabilityminwage.pdf" TargetMode="External"/><Relationship Id="rId26" Type="http://schemas.openxmlformats.org/officeDocument/2006/relationships/hyperlink" Target="https://doi.org/10.3390/ijerph182111485" TargetMode="External"/><Relationship Id="rId39" Type="http://schemas.openxmlformats.org/officeDocument/2006/relationships/hyperlink" Target="https://www.pc.gov.au/ongoing/report-on-government-services/2021/community-services/services-for-people-with-disability" TargetMode="External"/><Relationship Id="rId21" Type="http://schemas.openxmlformats.org/officeDocument/2006/relationships/hyperlink" Target="https://www.legislation.gov.au/Details/C2018C00146" TargetMode="External"/><Relationship Id="rId34" Type="http://schemas.openxmlformats.org/officeDocument/2006/relationships/hyperlink" Target="https://www.unsw.edu.au/content/dam/pdfs/unsw-adobe-websites/arts-design-architecture/ada-faculty/sprc/2021-06-Comparative-study-of-three-employment-models.pdf" TargetMode="External"/><Relationship Id="rId42" Type="http://schemas.openxmlformats.org/officeDocument/2006/relationships/hyperlink" Target="https://apo.org.au/node/317659"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ss.gov.au/disability-and-carers-programs-services-disability-employment-services/mid-term-review-of-the-disability-employment-services-des-program" TargetMode="External"/><Relationship Id="rId29" Type="http://schemas.openxmlformats.org/officeDocument/2006/relationships/hyperlink" Target="https://www.jobaccess.gov.au/sites/default/files/documents/06_2021/supported-wage-system-open-employment-handbook-may-2021_0_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jobaccess.gov.au" TargetMode="External"/><Relationship Id="rId24" Type="http://schemas.openxmlformats.org/officeDocument/2006/relationships/hyperlink" Target="https://engage.dss.gov.au/wp-content/uploads/2017/12/discussion_paper_-_ensuring_a_strong_future_for_supported_employment.pdf" TargetMode="External"/><Relationship Id="rId32" Type="http://schemas.openxmlformats.org/officeDocument/2006/relationships/hyperlink" Target="https://www.inclusionaustralia.org.au/wp-content/uploads/2022/02/Our-Submissions_2022_02_Submission-on-Disability-Employment-System-Reform.pdf" TargetMode="External"/><Relationship Id="rId37" Type="http://schemas.openxmlformats.org/officeDocument/2006/relationships/hyperlink" Target="https://doi.org/10.1787/9789264269637-en" TargetMode="External"/><Relationship Id="rId40" Type="http://schemas.openxmlformats.org/officeDocument/2006/relationships/hyperlink" Target="https://www.pc.gov.au/ongoing/report-on-government-services/2022/community-services/services-for-people-with-disability"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dss.gov.au/employment-services-assessment-esa-review-report" TargetMode="External"/><Relationship Id="rId23" Type="http://schemas.openxmlformats.org/officeDocument/2006/relationships/hyperlink" Target="https://www.dss.gov.au/sites/default/files/files/disability-and%20carers/policy_research/aust_govt_vision_inclusive_employment.pdf" TargetMode="External"/><Relationship Id="rId28" Type="http://schemas.openxmlformats.org/officeDocument/2006/relationships/hyperlink" Target="https://www.jobaccess.gov.au/sites/default/files/documents/06_2021/overview-supported-wage-system-under-supported-employment-services-award-2020-may-2021_0_0.pdf" TargetMode="External"/><Relationship Id="rId36" Type="http://schemas.openxmlformats.org/officeDocument/2006/relationships/hyperlink" Target="https://www.ndis.gov.au/understanding/supports-funded-ndis/supports-employment" TargetMode="External"/><Relationship Id="rId10" Type="http://schemas.openxmlformats.org/officeDocument/2006/relationships/endnotes" Target="endnotes.xml"/><Relationship Id="rId19" Type="http://schemas.openxmlformats.org/officeDocument/2006/relationships/hyperlink" Target="https://doi.org/10.3109/13668250.2017.1327040" TargetMode="External"/><Relationship Id="rId31" Type="http://schemas.openxmlformats.org/officeDocument/2006/relationships/hyperlink" Target="https://doi.org/10.2139/ssrn.3390310"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o.org.au/node/54014" TargetMode="External"/><Relationship Id="rId22" Type="http://schemas.openxmlformats.org/officeDocument/2006/relationships/hyperlink" Target="https://www.legislation.gov.au/Details/C2013A00020" TargetMode="External"/><Relationship Id="rId27" Type="http://schemas.openxmlformats.org/officeDocument/2006/relationships/hyperlink" Target="https://doi.org/10.1080/14719037.2019.1648700" TargetMode="External"/><Relationship Id="rId30" Type="http://schemas.openxmlformats.org/officeDocument/2006/relationships/hyperlink" Target="https://www.fwc.gov.au/documents/sites/awardsmodernfouryr/am2014286-draftdet-101122.pdf" TargetMode="External"/><Relationship Id="rId35" Type="http://schemas.openxmlformats.org/officeDocument/2006/relationships/hyperlink" Target="https://data.ndis.gov.au/reports-and-analyses/outcomes-and-goals/employment-outcomes-participants-their-families-and-carers"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fwc.gov.au/documents/sites/awardsmodernfouryr/am2014286-sub-reply-aed-280922.pdf" TargetMode="External"/><Relationship Id="rId17" Type="http://schemas.openxmlformats.org/officeDocument/2006/relationships/hyperlink" Target="https://www.bsl.org.au/research/publications/scan-research-disability-employment-interventions/" TargetMode="External"/><Relationship Id="rId25" Type="http://schemas.openxmlformats.org/officeDocument/2006/relationships/hyperlink" Target="https://engage.dss.gov.au/wp-content/uploads/2018/07/PROOF-7-8876-Supported-Employment-Policy-Report-FINAL.pdf" TargetMode="External"/><Relationship Id="rId33" Type="http://schemas.openxmlformats.org/officeDocument/2006/relationships/hyperlink" Target="https://doi.org/10.1080/23276665.2008.10779346" TargetMode="External"/><Relationship Id="rId38" Type="http://schemas.openxmlformats.org/officeDocument/2006/relationships/hyperlink" Target="https://www.pc.gov.au/ongoing/report-on-government-services/2020/community-services/services-for-people-with-disability" TargetMode="External"/><Relationship Id="rId20" Type="http://schemas.openxmlformats.org/officeDocument/2006/relationships/hyperlink" Target="https://www.dss.gov.au/sites/default/files/documents/06_2020/evaluation-jobaccess-services-july-2019.pdf" TargetMode="External"/><Relationship Id="rId41" Type="http://schemas.openxmlformats.org/officeDocument/2006/relationships/hyperlink" Target="http://www.tickettowork.org.au/wp-content/uploads/2016/03/Transitions-to-Employment-of-Australian-Young-People-with-Disability-Full-Report.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3528120\Desktop\CSI%20Template_20191018.dotx" TargetMode="External"/></Relationships>
</file>

<file path=word/theme/theme1.xml><?xml version="1.0" encoding="utf-8"?>
<a:theme xmlns:a="http://schemas.openxmlformats.org/drawingml/2006/main" name="Office Theme">
  <a:themeElements>
    <a:clrScheme name="CSI v2">
      <a:dk1>
        <a:srgbClr val="414042"/>
      </a:dk1>
      <a:lt1>
        <a:srgbClr val="FFFFFF"/>
      </a:lt1>
      <a:dk2>
        <a:srgbClr val="FCF277"/>
      </a:dk2>
      <a:lt2>
        <a:srgbClr val="EF4050"/>
      </a:lt2>
      <a:accent1>
        <a:srgbClr val="FF6A40"/>
      </a:accent1>
      <a:accent2>
        <a:srgbClr val="F13CA7"/>
      </a:accent2>
      <a:accent3>
        <a:srgbClr val="79427C"/>
      </a:accent3>
      <a:accent4>
        <a:srgbClr val="25408F"/>
      </a:accent4>
      <a:accent5>
        <a:srgbClr val="80D5BC"/>
      </a:accent5>
      <a:accent6>
        <a:srgbClr val="62AC57"/>
      </a:accent6>
      <a:hlink>
        <a:srgbClr val="25408F"/>
      </a:hlink>
      <a:folHlink>
        <a:srgbClr val="7943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696bc79-a29a-4e88-8d1d-e07845a5273f">
      <Terms xmlns="http://schemas.microsoft.com/office/infopath/2007/PartnerControls"/>
    </lcf76f155ced4ddcb4097134ff3c332f>
    <TaxCatchAll xmlns="42bb5c4d-0532-4743-8157-8065115a43d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328441457815B4784C7AF49121AF3B0" ma:contentTypeVersion="16" ma:contentTypeDescription="Create a new document." ma:contentTypeScope="" ma:versionID="02761437564e089f9c5fa73171279390">
  <xsd:schema xmlns:xsd="http://www.w3.org/2001/XMLSchema" xmlns:xs="http://www.w3.org/2001/XMLSchema" xmlns:p="http://schemas.microsoft.com/office/2006/metadata/properties" xmlns:ns2="6696bc79-a29a-4e88-8d1d-e07845a5273f" xmlns:ns3="42bb5c4d-0532-4743-8157-8065115a43dd" targetNamespace="http://schemas.microsoft.com/office/2006/metadata/properties" ma:root="true" ma:fieldsID="7e57462d58a3593b3b8aa4be41015e37" ns2:_="" ns3:_="">
    <xsd:import namespace="6696bc79-a29a-4e88-8d1d-e07845a5273f"/>
    <xsd:import namespace="42bb5c4d-0532-4743-8157-8065115a43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96bc79-a29a-4e88-8d1d-e07845a52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4b2f4e7-b333-4133-9696-cdcd9b8dc49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bb5c4d-0532-4743-8157-8065115a43d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6b30017-1b1a-4ae7-a3db-d6b88d75b373}" ma:internalName="TaxCatchAll" ma:showField="CatchAllData" ma:web="42bb5c4d-0532-4743-8157-8065115a43dd">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E4BA00-0C0D-4BCE-8436-87CA5CAAFE07}">
  <ds:schemaRefs>
    <ds:schemaRef ds:uri="http://schemas.microsoft.com/sharepoint/v3/contenttype/forms"/>
  </ds:schemaRefs>
</ds:datastoreItem>
</file>

<file path=customXml/itemProps2.xml><?xml version="1.0" encoding="utf-8"?>
<ds:datastoreItem xmlns:ds="http://schemas.openxmlformats.org/officeDocument/2006/customXml" ds:itemID="{D38A7374-4BCF-46FB-9FFD-3E58D904C0DF}">
  <ds:schemaRefs>
    <ds:schemaRef ds:uri="http://schemas.microsoft.com/office/2006/metadata/properties"/>
    <ds:schemaRef ds:uri="http://schemas.microsoft.com/office/infopath/2007/PartnerControls"/>
    <ds:schemaRef ds:uri="6696bc79-a29a-4e88-8d1d-e07845a5273f"/>
    <ds:schemaRef ds:uri="42bb5c4d-0532-4743-8157-8065115a43dd"/>
  </ds:schemaRefs>
</ds:datastoreItem>
</file>

<file path=customXml/itemProps3.xml><?xml version="1.0" encoding="utf-8"?>
<ds:datastoreItem xmlns:ds="http://schemas.openxmlformats.org/officeDocument/2006/customXml" ds:itemID="{4F9FBB16-3FA9-4927-AC6D-30FE551FD0DC}">
  <ds:schemaRefs>
    <ds:schemaRef ds:uri="http://schemas.openxmlformats.org/officeDocument/2006/bibliography"/>
  </ds:schemaRefs>
</ds:datastoreItem>
</file>

<file path=customXml/itemProps4.xml><?xml version="1.0" encoding="utf-8"?>
<ds:datastoreItem xmlns:ds="http://schemas.openxmlformats.org/officeDocument/2006/customXml" ds:itemID="{2F72A0C2-B415-4FA7-A11B-5237C10C2D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96bc79-a29a-4e88-8d1d-e07845a5273f"/>
    <ds:schemaRef ds:uri="42bb5c4d-0532-4743-8157-8065115a43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CSI Template_20191018.dotx</Template>
  <TotalTime>2</TotalTime>
  <Pages>17</Pages>
  <Words>8572</Words>
  <Characters>48862</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 Buena</dc:creator>
  <cp:lastModifiedBy>Erin Wilson</cp:lastModifiedBy>
  <cp:revision>3</cp:revision>
  <cp:lastPrinted>2022-11-20T04:36:00Z</cp:lastPrinted>
  <dcterms:created xsi:type="dcterms:W3CDTF">2023-02-27T02:11:00Z</dcterms:created>
  <dcterms:modified xsi:type="dcterms:W3CDTF">2023-03-20T02:20:00Z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2019-01-18T00:00:00Z</vt:filetime>
  </property>
  <property fmtid="{D5CDD505-2E9C-101B-9397-08002B2CF9AE}" pid="3" name="Creator">
    <vt:lpwstr>Adobe InDesign CC 14.0 (Macintosh)</vt:lpwstr>
  </property>
  <property fmtid="{D5CDD505-2E9C-101B-9397-08002B2CF9AE}" pid="4" name="LastSaved">
    <vt:filetime>2019-01-17T00:00:00Z</vt:filetime>
  </property>
  <property fmtid="{D5CDD505-2E9C-101B-9397-08002B2CF9AE}" pid="5" name="ContentTypeId">
    <vt:lpwstr>0x0101000328441457815B4784C7AF49121AF3B0</vt:lpwstr>
  </property>
  <property fmtid="{D5CDD505-2E9C-101B-9397-08002B2CF9AE}" pid="6" name="AuthorIds_UIVersion_5632">
    <vt:lpwstr>601</vt:lpwstr>
  </property>
  <property fmtid="{D5CDD505-2E9C-101B-9397-08002B2CF9AE}" pid="7" name="_dlc_DocIdItemGuid">
    <vt:lpwstr>9c5f1bb1-4ac3-4e43-9c39-5edd10f79b7e</vt:lpwstr>
  </property>
</Properties>
</file>