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E8609" w14:textId="77777777" w:rsidR="003501D5" w:rsidRPr="00DA7CCA" w:rsidRDefault="003501D5" w:rsidP="00E36FED">
      <w:pPr>
        <w:pStyle w:val="Heading1"/>
        <w:pBdr>
          <w:bottom w:val="single" w:sz="4" w:space="1" w:color="auto"/>
        </w:pBdr>
        <w:spacing w:after="60"/>
        <w:rPr>
          <w:sz w:val="40"/>
          <w:szCs w:val="40"/>
        </w:rPr>
      </w:pPr>
      <w:bookmarkStart w:id="0" w:name="_Hlk118623870"/>
      <w:r w:rsidRPr="00DA7CCA">
        <w:rPr>
          <w:sz w:val="40"/>
          <w:szCs w:val="40"/>
        </w:rPr>
        <w:t>Explaining the evidence for reform series</w:t>
      </w:r>
    </w:p>
    <w:p w14:paraId="0708C337" w14:textId="4BF322AB" w:rsidR="003501D5" w:rsidRDefault="003501D5" w:rsidP="003501D5">
      <w:pPr>
        <w:pStyle w:val="Heading2"/>
      </w:pPr>
      <w:r>
        <w:t xml:space="preserve">Paper 3: School leaver employment support </w:t>
      </w:r>
      <w:r w:rsidR="00D66080">
        <w:t xml:space="preserve">(SLES) </w:t>
      </w:r>
      <w:r>
        <w:t>– reshaping the approach</w:t>
      </w:r>
    </w:p>
    <w:p w14:paraId="5C6E5AF9" w14:textId="10A4EC7C" w:rsidR="00FB3515" w:rsidRDefault="00FB3515" w:rsidP="00FB3515"/>
    <w:p w14:paraId="0206F8EF" w14:textId="3F7AF285" w:rsidR="00FB3515" w:rsidRPr="00931B40" w:rsidRDefault="00FB3515" w:rsidP="00FB3515">
      <w:pPr>
        <w:pStyle w:val="Subtitle"/>
        <w:rPr>
          <w:rFonts w:ascii="Arial Nova Cond Light" w:hAnsi="Arial Nova Cond Light"/>
        </w:rPr>
      </w:pPr>
      <w:r w:rsidRPr="00FB5E9B">
        <w:rPr>
          <w:rFonts w:ascii="Arial Nova Cond Light" w:hAnsi="Arial Nova Cond Light"/>
        </w:rPr>
        <w:t>Wilson, E.</w:t>
      </w:r>
      <w:r w:rsidR="00DA7CCA">
        <w:rPr>
          <w:rFonts w:ascii="Arial Nova Cond Light" w:hAnsi="Arial Nova Cond Light"/>
        </w:rPr>
        <w:t>,</w:t>
      </w:r>
      <w:r w:rsidRPr="00FB5E9B">
        <w:rPr>
          <w:rFonts w:ascii="Arial Nova Cond Light" w:hAnsi="Arial Nova Cond Light"/>
        </w:rPr>
        <w:t xml:space="preserve"> Crosbie, J.</w:t>
      </w:r>
      <w:r w:rsidR="00DA7CCA">
        <w:rPr>
          <w:rFonts w:ascii="Arial Nova Cond Light" w:hAnsi="Arial Nova Cond Light"/>
        </w:rPr>
        <w:t>,</w:t>
      </w:r>
      <w:r w:rsidRPr="00FB5E9B">
        <w:rPr>
          <w:rFonts w:ascii="Arial Nova Cond Light" w:hAnsi="Arial Nova Cond Light"/>
        </w:rPr>
        <w:t xml:space="preserve"> Qian-Khoo, J.</w:t>
      </w:r>
      <w:r w:rsidR="00DA7CCA">
        <w:rPr>
          <w:rFonts w:ascii="Arial Nova Cond Light" w:hAnsi="Arial Nova Cond Light"/>
        </w:rPr>
        <w:t>, &amp;</w:t>
      </w:r>
      <w:r w:rsidRPr="00FB5E9B">
        <w:rPr>
          <w:rFonts w:ascii="Arial Nova Cond Light" w:hAnsi="Arial Nova Cond Light"/>
        </w:rPr>
        <w:t xml:space="preserve"> Campbell, P. (2022). Paper </w:t>
      </w:r>
      <w:r>
        <w:rPr>
          <w:rFonts w:ascii="Arial Nova Cond Light" w:hAnsi="Arial Nova Cond Light"/>
        </w:rPr>
        <w:t>3</w:t>
      </w:r>
      <w:r w:rsidRPr="00FB5E9B">
        <w:rPr>
          <w:rFonts w:ascii="Arial Nova Cond Light" w:hAnsi="Arial Nova Cond Light"/>
        </w:rPr>
        <w:t xml:space="preserve">: </w:t>
      </w:r>
      <w:r>
        <w:rPr>
          <w:rFonts w:ascii="Arial Nova Cond Light" w:hAnsi="Arial Nova Cond Light"/>
        </w:rPr>
        <w:t>School Leaver Employment Support</w:t>
      </w:r>
      <w:r w:rsidR="00D66080">
        <w:rPr>
          <w:rFonts w:ascii="Arial Nova Cond Light" w:hAnsi="Arial Nova Cond Light"/>
        </w:rPr>
        <w:t xml:space="preserve"> (SLES) </w:t>
      </w:r>
      <w:r>
        <w:rPr>
          <w:rFonts w:ascii="Arial Nova Cond Light" w:hAnsi="Arial Nova Cond Light"/>
        </w:rPr>
        <w:t>– Reshaping the Approach</w:t>
      </w:r>
      <w:r w:rsidRPr="00FB5E9B">
        <w:rPr>
          <w:rFonts w:ascii="Arial Nova Cond Light" w:hAnsi="Arial Nova Cond Light"/>
        </w:rPr>
        <w:t xml:space="preserve">, </w:t>
      </w:r>
      <w:r w:rsidRPr="00285F02">
        <w:rPr>
          <w:rFonts w:ascii="Arial Nova Cond Light" w:hAnsi="Arial Nova Cond Light"/>
          <w:i/>
          <w:iCs/>
        </w:rPr>
        <w:t>Explaining the Evidence for Reform Series</w:t>
      </w:r>
      <w:r w:rsidRPr="00FB5E9B">
        <w:rPr>
          <w:rFonts w:ascii="Arial Nova Cond Light" w:hAnsi="Arial Nova Cond Light"/>
        </w:rPr>
        <w:t>. Hawthorn: Centre for Social Impact</w:t>
      </w:r>
      <w:r w:rsidRPr="00931B40">
        <w:rPr>
          <w:rFonts w:ascii="Arial Nova Cond Light" w:hAnsi="Arial Nova Cond Light"/>
          <w:b/>
          <w:bCs/>
        </w:rPr>
        <w:t>.</w:t>
      </w:r>
      <w:r w:rsidR="00931B40" w:rsidRPr="00931B40">
        <w:rPr>
          <w:rFonts w:ascii="Arial Nova Cond Light" w:hAnsi="Arial Nova Cond Light"/>
          <w:b/>
          <w:bCs/>
        </w:rPr>
        <w:t xml:space="preserve"> </w:t>
      </w:r>
      <w:r w:rsidR="00931B40" w:rsidRPr="00931B40">
        <w:t>DOI: 10.25916/tybt-a956</w:t>
      </w:r>
    </w:p>
    <w:p w14:paraId="7635D471" w14:textId="77777777" w:rsidR="003501D5" w:rsidRDefault="003501D5" w:rsidP="003501D5"/>
    <w:p w14:paraId="0A23ED7D" w14:textId="51426130" w:rsidR="003501D5" w:rsidRDefault="003501D5" w:rsidP="00FB3515">
      <w:pPr>
        <w:pStyle w:val="Heading2"/>
      </w:pPr>
      <w:r>
        <w:t>Headlines</w:t>
      </w:r>
    </w:p>
    <w:p w14:paraId="6327AF4C" w14:textId="77777777" w:rsidR="003069F6" w:rsidRDefault="003069F6" w:rsidP="003973A8">
      <w:pPr>
        <w:pStyle w:val="dotpoints"/>
      </w:pPr>
      <w:r>
        <w:t>The employment outcomes for young people with intellectual disability aged 15-24 years are extremely low.</w:t>
      </w:r>
    </w:p>
    <w:p w14:paraId="3F2B20DD" w14:textId="77777777" w:rsidR="00E27164" w:rsidRDefault="00E27164" w:rsidP="003973A8">
      <w:pPr>
        <w:pStyle w:val="dotpoints"/>
      </w:pPr>
      <w:r>
        <w:t>SLES was introduced by the NDIA in 2016 to support employment readiness of school leavers with a disability.</w:t>
      </w:r>
    </w:p>
    <w:p w14:paraId="1F5A8065" w14:textId="25ECC8DD" w:rsidR="003501D5" w:rsidRDefault="003501D5" w:rsidP="003973A8">
      <w:pPr>
        <w:pStyle w:val="dotpoints"/>
      </w:pPr>
      <w:r>
        <w:t xml:space="preserve">SLES is focused largely on preliminary jobseeker support </w:t>
      </w:r>
      <w:r w:rsidR="00E27164">
        <w:t xml:space="preserve">for those leaving school </w:t>
      </w:r>
      <w:r>
        <w:t>and offers little support to employers</w:t>
      </w:r>
      <w:r w:rsidR="00016CF1">
        <w:t>.</w:t>
      </w:r>
    </w:p>
    <w:p w14:paraId="6DFC6E11" w14:textId="32B3E684" w:rsidR="003501D5" w:rsidRDefault="003501D5" w:rsidP="003973A8">
      <w:pPr>
        <w:pStyle w:val="dotpoints"/>
      </w:pPr>
      <w:r>
        <w:t>SLES has a mildly positive affect on outcomes</w:t>
      </w:r>
      <w:r w:rsidR="00385741">
        <w:t>, though participants identify high levels of inadequate support.</w:t>
      </w:r>
    </w:p>
    <w:p w14:paraId="6755D5B0" w14:textId="6900A823" w:rsidR="00E36FED" w:rsidRDefault="00385741" w:rsidP="00F249BB">
      <w:pPr>
        <w:pStyle w:val="dotpoints"/>
      </w:pPr>
      <w:r>
        <w:t xml:space="preserve">The design of SLES activities does not reflect international evidence-based transition and employment support practice for young people with intellectual disability that emphasises early engagement in transition and employment planning (from age 14), paid and unpaid work experience, customised employment strategies, and work integrated learning opportunities. </w:t>
      </w:r>
    </w:p>
    <w:bookmarkEnd w:id="0"/>
    <w:p w14:paraId="49ECBB3C" w14:textId="77777777" w:rsidR="00601857" w:rsidRDefault="00601857" w:rsidP="00601857"/>
    <w:p w14:paraId="0764E6D6" w14:textId="4C231CEE" w:rsidR="003501D5" w:rsidRDefault="003501D5" w:rsidP="003501D5">
      <w:pPr>
        <w:pStyle w:val="Heading2"/>
      </w:pPr>
      <w:r>
        <w:t xml:space="preserve">The transition and employment situation of young people with disability </w:t>
      </w:r>
      <w:r w:rsidR="008D2F13">
        <w:t xml:space="preserve">aged </w:t>
      </w:r>
      <w:r>
        <w:t>15-24 years</w:t>
      </w:r>
    </w:p>
    <w:p w14:paraId="44F852FE" w14:textId="20BCC63D" w:rsidR="003501D5" w:rsidRDefault="003501D5" w:rsidP="005521C7">
      <w:pPr>
        <w:pStyle w:val="Normal4"/>
      </w:pPr>
      <w:r>
        <w:t>A range of data highlights that young people with disability experience significantly higher rates of unemployment than their non-disabled peers, with young people with intellectual disability being particularly marginalised from employment in community-based settings. NDIA data (2020) shows that NDIS participants aged 15-24 have vastly lower employment rates than the Australian norm for this age as evidenced in the Longitudinal Survey of Australian Youth (LSAY) (NDIA, 2020).</w:t>
      </w:r>
      <w:r w:rsidR="00E36FED">
        <w:t xml:space="preserve"> </w:t>
      </w:r>
      <w:r>
        <w:t xml:space="preserve">16% of NDIS participants in this age cohort had an intellectual disability, 17% with Down syndrome, and 14% with Autism (NDIA, 2020). NDIA data (2019) shows that only 18% of participants with an intellectual disability aged 15-24 have employment, rising to 25% in year 2 of participation in NDIS. </w:t>
      </w:r>
    </w:p>
    <w:p w14:paraId="0594BD68" w14:textId="0124D548" w:rsidR="003501D5" w:rsidRDefault="003501D5" w:rsidP="005521C7">
      <w:pPr>
        <w:pStyle w:val="Normal4"/>
      </w:pPr>
      <w:r>
        <w:t xml:space="preserve">Only 45% of NDIS participants aged 15-24 had work-related goals </w:t>
      </w:r>
      <w:r w:rsidR="00747E2D">
        <w:t xml:space="preserve">in their NDIS plans </w:t>
      </w:r>
      <w:r>
        <w:t xml:space="preserve">as of 31 December 2020, </w:t>
      </w:r>
      <w:r w:rsidR="005D2A9D">
        <w:t>al</w:t>
      </w:r>
      <w:r>
        <w:t xml:space="preserve">though this is higher for people with intellectual disability and Down syndrome. The number </w:t>
      </w:r>
      <w:r w:rsidR="005D2A9D">
        <w:t xml:space="preserve">of participants </w:t>
      </w:r>
      <w:r>
        <w:t xml:space="preserve">with a work-related goal peaks at 18-20 years </w:t>
      </w:r>
      <w:r w:rsidR="005D2A9D">
        <w:t xml:space="preserve">of age and </w:t>
      </w:r>
      <w:r>
        <w:t xml:space="preserve">then declines (NDIA, 2020). Of those in this age group who had been in the scheme for two years, only 21% felt the NDIS had helped them find a job right for them, and this proportion decreased the longer they had been in the scheme. </w:t>
      </w:r>
    </w:p>
    <w:p w14:paraId="3632FE2C" w14:textId="309E8BCE" w:rsidR="003501D5" w:rsidRDefault="003501D5" w:rsidP="005521C7">
      <w:pPr>
        <w:pStyle w:val="Normal4"/>
      </w:pPr>
      <w:r>
        <w:t xml:space="preserve">Of those with paid employment, </w:t>
      </w:r>
      <w:r w:rsidR="00526029">
        <w:t>somewhat more than half were in open employment by</w:t>
      </w:r>
      <w:r w:rsidR="008C0651">
        <w:t xml:space="preserve"> year three in the scheme</w:t>
      </w:r>
      <w:r w:rsidR="00526029">
        <w:t xml:space="preserve">: </w:t>
      </w:r>
      <w:r>
        <w:t>39% in open employment on full award wages, 24% in open employment on less than full award wages</w:t>
      </w:r>
      <w:r w:rsidR="008C0651">
        <w:t>. A bit less than one third of those employed (</w:t>
      </w:r>
      <w:r>
        <w:t>31%</w:t>
      </w:r>
      <w:r w:rsidR="008C0651">
        <w:t>) were</w:t>
      </w:r>
      <w:r>
        <w:t xml:space="preserve"> in ADEs (NDIA, 2019). Once in ADEs, where the primary cohort is people with intellectual disability, there is little movement into </w:t>
      </w:r>
      <w:r>
        <w:lastRenderedPageBreak/>
        <w:t>open employment. 2020 data from the NDIS reports that only 4% of 15-24 year</w:t>
      </w:r>
      <w:r w:rsidR="005D2A9D">
        <w:t>-</w:t>
      </w:r>
      <w:r>
        <w:t>olds moved from ADEs to open employment over a one year period (NDIA, 2020, p. 109).</w:t>
      </w:r>
    </w:p>
    <w:p w14:paraId="776676E1" w14:textId="77777777" w:rsidR="00601857" w:rsidRDefault="00601857" w:rsidP="00601857"/>
    <w:p w14:paraId="5D4DAB16" w14:textId="77777777" w:rsidR="003501D5" w:rsidRDefault="003501D5" w:rsidP="003501D5">
      <w:pPr>
        <w:pStyle w:val="Heading2"/>
      </w:pPr>
      <w:r>
        <w:t>What are School Leaver Employment Supports</w:t>
      </w:r>
    </w:p>
    <w:p w14:paraId="07A94150" w14:textId="193FCA13" w:rsidR="003501D5" w:rsidRDefault="003501D5" w:rsidP="005521C7">
      <w:pPr>
        <w:pStyle w:val="Normal4"/>
        <w:rPr>
          <w:lang w:eastAsia="en-AU"/>
        </w:rPr>
      </w:pPr>
      <w:r>
        <w:t>Since 2016, the NDIS has provided funding for up to two years to participants who are school leavers for ‘school leaver employment supports’ (SLES). These supports ‘help participants move from school to work’</w:t>
      </w:r>
      <w:r w:rsidR="003069F6">
        <w:t xml:space="preserve"> (NDIA, 2022a, p.</w:t>
      </w:r>
      <w:r w:rsidR="008D2F13">
        <w:t xml:space="preserve"> </w:t>
      </w:r>
      <w:r w:rsidR="003069F6">
        <w:t>7)</w:t>
      </w:r>
      <w:r>
        <w:t xml:space="preserve">. SLES is based on the NSW Transition to Work program that aimed to disrupt direct transition from school to segregated disability day and employment services. </w:t>
      </w:r>
      <w:r>
        <w:rPr>
          <w:lang w:eastAsia="en-AU"/>
        </w:rPr>
        <w:t>The framing of the SLES</w:t>
      </w:r>
      <w:r w:rsidR="00937977">
        <w:rPr>
          <w:lang w:eastAsia="en-AU"/>
        </w:rPr>
        <w:t>,</w:t>
      </w:r>
      <w:r>
        <w:rPr>
          <w:lang w:eastAsia="en-AU"/>
        </w:rPr>
        <w:t xml:space="preserve"> in a policy sense, is as an ‘early intervention support’ aimed at </w:t>
      </w:r>
    </w:p>
    <w:p w14:paraId="033B5722" w14:textId="54633719" w:rsidR="003501D5" w:rsidRDefault="003501D5" w:rsidP="00FB3515">
      <w:pPr>
        <w:pStyle w:val="Quote"/>
        <w:rPr>
          <w:lang w:eastAsia="en-AU"/>
        </w:rPr>
      </w:pPr>
      <w:r>
        <w:rPr>
          <w:lang w:eastAsia="en-AU"/>
        </w:rPr>
        <w:t>bridging gaps in mainstream services by recognising th</w:t>
      </w:r>
      <w:r w:rsidR="006E64CB">
        <w:rPr>
          <w:lang w:eastAsia="en-AU"/>
        </w:rPr>
        <w:t>at</w:t>
      </w:r>
      <w:r>
        <w:rPr>
          <w:lang w:eastAsia="en-AU"/>
        </w:rPr>
        <w:t xml:space="preserve"> many NDIS participants require significant investment early to gain generic competencies needed for work (NDIA, 2022a, p. 7). </w:t>
      </w:r>
    </w:p>
    <w:p w14:paraId="168A6841" w14:textId="77777777" w:rsidR="003501D5" w:rsidRDefault="003501D5" w:rsidP="005521C7">
      <w:pPr>
        <w:pStyle w:val="Normal4"/>
      </w:pPr>
      <w:r>
        <w:rPr>
          <w:lang w:eastAsia="en-AU"/>
        </w:rPr>
        <w:t>In this context it is seen as a precursor to and feeder into DES, though some support activities overlap.</w:t>
      </w:r>
    </w:p>
    <w:p w14:paraId="4471BA58" w14:textId="77777777" w:rsidR="009A0510" w:rsidRDefault="003501D5" w:rsidP="005521C7">
      <w:pPr>
        <w:pStyle w:val="Normal4"/>
      </w:pPr>
      <w:r>
        <w:t>Funding is available in the final years of school and directly after leaving school. As described by the NDIS</w:t>
      </w:r>
      <w:r w:rsidR="006E64CB">
        <w:t>:</w:t>
      </w:r>
    </w:p>
    <w:p w14:paraId="41CFC041" w14:textId="0631ED85" w:rsidR="003501D5" w:rsidRDefault="003501D5" w:rsidP="009A0510">
      <w:pPr>
        <w:pStyle w:val="Quote"/>
      </w:pPr>
      <w:r>
        <w:t>Providers who deliver school leaver employment supports help young people prepare, look for and gain employment. They provide meaningful, individualised capacity building activities so young people can achieve their employment goals</w:t>
      </w:r>
      <w:r w:rsidR="00A924CC">
        <w:t xml:space="preserve"> </w:t>
      </w:r>
      <w:r>
        <w:t>(</w:t>
      </w:r>
      <w:hyperlink r:id="rId11" w:history="1">
        <w:r w:rsidR="00800BB1" w:rsidRPr="0038557E">
          <w:rPr>
            <w:rStyle w:val="Hyperlink"/>
          </w:rPr>
          <w:t>https://www.ndis.gov.au/providers/working-provider/school-leaver-employment-supports</w:t>
        </w:r>
      </w:hyperlink>
      <w:r>
        <w:t>).</w:t>
      </w:r>
    </w:p>
    <w:p w14:paraId="5A0F49E4" w14:textId="0CE3688C" w:rsidR="003501D5" w:rsidRDefault="003501D5" w:rsidP="005521C7">
      <w:pPr>
        <w:pStyle w:val="Normal4"/>
      </w:pPr>
      <w:r>
        <w:t>SLES can be delivered individually or as part of a group, or a combination of both. During 2021, on average, somewhat more time was spent in group based activity (49%) than one on one (40%), and the remainder of time spent in distance/online delivery, noting that incidence of COVID-19 affected delivery modality</w:t>
      </w:r>
      <w:r w:rsidR="003069F6">
        <w:t xml:space="preserve"> of SLES activities</w:t>
      </w:r>
      <w:r>
        <w:t xml:space="preserve"> throughout this period</w:t>
      </w:r>
      <w:r w:rsidR="004771A8">
        <w:t xml:space="preserve"> (NDIA, 2022a)</w:t>
      </w:r>
      <w:r>
        <w:t>.</w:t>
      </w:r>
    </w:p>
    <w:p w14:paraId="17928639" w14:textId="77777777" w:rsidR="003501D5" w:rsidRDefault="003501D5" w:rsidP="005521C7">
      <w:pPr>
        <w:pStyle w:val="Normal4"/>
        <w:rPr>
          <w:rFonts w:eastAsia="Times New Roman" w:cstheme="minorHAnsi"/>
          <w:lang w:eastAsia="en-AU"/>
        </w:rPr>
      </w:pPr>
      <w:r>
        <w:t xml:space="preserve">While the selection of employment support activities is meant to be individually relevant, the NDIS provide several different descriptions of possible supports, outlined in Table 1. </w:t>
      </w:r>
      <w:r>
        <w:rPr>
          <w:rFonts w:eastAsia="Times New Roman" w:cstheme="minorHAnsi"/>
          <w:lang w:eastAsia="en-AU"/>
        </w:rPr>
        <w:t>The NDIS SLES Provider Reporting tool requires providers to list progress and hours of delivery across a range of areas, which go beyond shorter explanations offered to providers on the main website.</w:t>
      </w:r>
    </w:p>
    <w:p w14:paraId="2061D429" w14:textId="4005E202" w:rsidR="00BB46F5" w:rsidRPr="00AC1750" w:rsidRDefault="003501D5" w:rsidP="00FB3515">
      <w:pPr>
        <w:pStyle w:val="Table"/>
      </w:pPr>
      <w:r w:rsidRPr="00AC1750">
        <w:t xml:space="preserve">Table 1: </w:t>
      </w:r>
      <w:r>
        <w:t>Focus of employment supports in SLES</w:t>
      </w:r>
    </w:p>
    <w:tbl>
      <w:tblPr>
        <w:tblStyle w:val="TableGrid"/>
        <w:tblW w:w="9398" w:type="dxa"/>
        <w:tblLayout w:type="fixed"/>
        <w:tblLook w:val="04A0" w:firstRow="1" w:lastRow="0" w:firstColumn="1" w:lastColumn="0" w:noHBand="0" w:noVBand="1"/>
      </w:tblPr>
      <w:tblGrid>
        <w:gridCol w:w="6001"/>
        <w:gridCol w:w="3397"/>
      </w:tblGrid>
      <w:tr w:rsidR="003501D5" w:rsidRPr="00FB3515" w14:paraId="3866330B" w14:textId="77777777" w:rsidTr="004C43E1">
        <w:tc>
          <w:tcPr>
            <w:tcW w:w="6001" w:type="dxa"/>
            <w:shd w:val="clear" w:color="auto" w:fill="F2F2F2" w:themeFill="background1" w:themeFillShade="F2"/>
          </w:tcPr>
          <w:p w14:paraId="4473DC2A" w14:textId="77777777" w:rsidR="003501D5" w:rsidRPr="00FB3515" w:rsidRDefault="003501D5" w:rsidP="00E27164">
            <w:pPr>
              <w:rPr>
                <w:rFonts w:asciiTheme="minorHAnsi" w:hAnsiTheme="minorHAnsi" w:cstheme="minorHAnsi"/>
                <w:b/>
                <w:bCs/>
                <w:sz w:val="20"/>
                <w:szCs w:val="20"/>
                <w:lang w:eastAsia="en-AU"/>
              </w:rPr>
            </w:pPr>
            <w:r w:rsidRPr="00FB3515">
              <w:rPr>
                <w:rFonts w:asciiTheme="minorHAnsi" w:hAnsiTheme="minorHAnsi" w:cstheme="minorHAnsi"/>
                <w:b/>
                <w:bCs/>
                <w:sz w:val="20"/>
                <w:szCs w:val="20"/>
                <w:lang w:eastAsia="en-AU"/>
              </w:rPr>
              <w:t>NDIS SLES Provider Reporting tool</w:t>
            </w:r>
          </w:p>
          <w:p w14:paraId="2BD21AB0" w14:textId="77777777" w:rsidR="003501D5" w:rsidRPr="00FB3515" w:rsidRDefault="00111B19" w:rsidP="00E27164">
            <w:pPr>
              <w:rPr>
                <w:rFonts w:asciiTheme="minorHAnsi" w:hAnsiTheme="minorHAnsi" w:cstheme="minorHAnsi"/>
                <w:sz w:val="20"/>
                <w:szCs w:val="20"/>
              </w:rPr>
            </w:pPr>
            <w:hyperlink r:id="rId12" w:history="1">
              <w:r w:rsidR="003501D5" w:rsidRPr="00FB3515">
                <w:rPr>
                  <w:rStyle w:val="Hyperlink"/>
                  <w:rFonts w:asciiTheme="minorHAnsi" w:hAnsiTheme="minorHAnsi" w:cstheme="minorHAnsi"/>
                  <w:sz w:val="20"/>
                  <w:szCs w:val="20"/>
                  <w:lang w:eastAsia="en-AU"/>
                </w:rPr>
                <w:t>https://www.ndis.gov.au/providers/working-provider/school-leaver-employment-supports</w:t>
              </w:r>
            </w:hyperlink>
          </w:p>
        </w:tc>
        <w:tc>
          <w:tcPr>
            <w:tcW w:w="3397" w:type="dxa"/>
            <w:shd w:val="clear" w:color="auto" w:fill="F2F2F2" w:themeFill="background1" w:themeFillShade="F2"/>
          </w:tcPr>
          <w:p w14:paraId="3656AD33" w14:textId="77777777" w:rsidR="003501D5" w:rsidRPr="00FB3515" w:rsidRDefault="003501D5" w:rsidP="00E27164">
            <w:pPr>
              <w:ind w:left="119"/>
              <w:rPr>
                <w:rFonts w:asciiTheme="minorHAnsi" w:hAnsiTheme="minorHAnsi" w:cstheme="minorHAnsi"/>
                <w:b/>
                <w:bCs/>
                <w:sz w:val="20"/>
                <w:szCs w:val="20"/>
              </w:rPr>
            </w:pPr>
            <w:r w:rsidRPr="00FB3515">
              <w:rPr>
                <w:rFonts w:asciiTheme="minorHAnsi" w:hAnsiTheme="minorHAnsi" w:cstheme="minorHAnsi"/>
                <w:b/>
                <w:bCs/>
                <w:sz w:val="20"/>
                <w:szCs w:val="20"/>
              </w:rPr>
              <w:t>For Providers: SLES webpage, ‘How School Leaver Employment Supports work’ section:</w:t>
            </w:r>
          </w:p>
          <w:p w14:paraId="363F6082" w14:textId="77777777" w:rsidR="003501D5" w:rsidRPr="00FB3515" w:rsidRDefault="00111B19" w:rsidP="00E27164">
            <w:pPr>
              <w:ind w:left="119"/>
              <w:rPr>
                <w:rFonts w:asciiTheme="minorHAnsi" w:hAnsiTheme="minorHAnsi" w:cstheme="minorHAnsi"/>
                <w:sz w:val="20"/>
                <w:szCs w:val="20"/>
              </w:rPr>
            </w:pPr>
            <w:hyperlink r:id="rId13" w:history="1">
              <w:r w:rsidR="003501D5" w:rsidRPr="00FB3515">
                <w:rPr>
                  <w:rStyle w:val="Hyperlink"/>
                  <w:rFonts w:asciiTheme="minorHAnsi" w:hAnsiTheme="minorHAnsi" w:cstheme="minorHAnsi"/>
                  <w:sz w:val="20"/>
                  <w:szCs w:val="20"/>
                </w:rPr>
                <w:t>https://www.ndis.gov.au/providers/working-provider/school-leaver-employment-supports</w:t>
              </w:r>
            </w:hyperlink>
          </w:p>
        </w:tc>
      </w:tr>
      <w:tr w:rsidR="003501D5" w:rsidRPr="00FB3515" w14:paraId="5AC8C19D" w14:textId="77777777" w:rsidTr="004C43E1">
        <w:tc>
          <w:tcPr>
            <w:tcW w:w="6001" w:type="dxa"/>
          </w:tcPr>
          <w:p w14:paraId="43C10257"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 xml:space="preserve">Assessments (of individual’s capabilities, goals, </w:t>
            </w:r>
            <w:proofErr w:type="gramStart"/>
            <w:r w:rsidRPr="00FB3515">
              <w:rPr>
                <w:rFonts w:asciiTheme="minorHAnsi" w:hAnsiTheme="minorHAnsi" w:cstheme="minorHAnsi"/>
                <w:sz w:val="20"/>
                <w:szCs w:val="20"/>
                <w:lang w:eastAsia="en-AU"/>
              </w:rPr>
              <w:t>progress</w:t>
            </w:r>
            <w:proofErr w:type="gramEnd"/>
            <w:r w:rsidRPr="00FB3515">
              <w:rPr>
                <w:rFonts w:asciiTheme="minorHAnsi" w:hAnsiTheme="minorHAnsi" w:cstheme="minorHAnsi"/>
                <w:sz w:val="20"/>
                <w:szCs w:val="20"/>
                <w:lang w:eastAsia="en-AU"/>
              </w:rPr>
              <w:t xml:space="preserve"> and support requirements)</w:t>
            </w:r>
          </w:p>
        </w:tc>
        <w:tc>
          <w:tcPr>
            <w:tcW w:w="3397" w:type="dxa"/>
          </w:tcPr>
          <w:p w14:paraId="5E83992C"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discovery activities</w:t>
            </w:r>
          </w:p>
          <w:p w14:paraId="79981774" w14:textId="77777777" w:rsidR="003501D5" w:rsidRPr="00FB3515" w:rsidRDefault="003501D5" w:rsidP="00E27164">
            <w:pPr>
              <w:ind w:left="491"/>
              <w:rPr>
                <w:rFonts w:asciiTheme="minorHAnsi" w:hAnsiTheme="minorHAnsi" w:cstheme="minorHAnsi"/>
                <w:sz w:val="20"/>
                <w:szCs w:val="20"/>
              </w:rPr>
            </w:pPr>
          </w:p>
        </w:tc>
      </w:tr>
      <w:tr w:rsidR="003501D5" w:rsidRPr="00FB3515" w14:paraId="5B8B89E0" w14:textId="77777777" w:rsidTr="004C43E1">
        <w:tc>
          <w:tcPr>
            <w:tcW w:w="6001" w:type="dxa"/>
          </w:tcPr>
          <w:p w14:paraId="62B88344"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Planning and reviewing progress</w:t>
            </w:r>
          </w:p>
        </w:tc>
        <w:tc>
          <w:tcPr>
            <w:tcW w:w="3397" w:type="dxa"/>
          </w:tcPr>
          <w:p w14:paraId="5B90C2BC" w14:textId="77777777" w:rsidR="003501D5" w:rsidRPr="00FB3515" w:rsidRDefault="003501D5" w:rsidP="00E27164">
            <w:pPr>
              <w:pStyle w:val="ListParagraph"/>
              <w:ind w:left="491"/>
              <w:rPr>
                <w:rFonts w:asciiTheme="minorHAnsi" w:hAnsiTheme="minorHAnsi" w:cstheme="minorHAnsi"/>
                <w:sz w:val="20"/>
                <w:szCs w:val="20"/>
              </w:rPr>
            </w:pPr>
          </w:p>
        </w:tc>
      </w:tr>
      <w:tr w:rsidR="003501D5" w:rsidRPr="00FB3515" w14:paraId="099BCEA6" w14:textId="77777777" w:rsidTr="004C43E1">
        <w:tc>
          <w:tcPr>
            <w:tcW w:w="6001" w:type="dxa"/>
          </w:tcPr>
          <w:p w14:paraId="13353F94"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Exploring employment options (including via workplace visits)</w:t>
            </w:r>
          </w:p>
        </w:tc>
        <w:tc>
          <w:tcPr>
            <w:tcW w:w="3397" w:type="dxa"/>
          </w:tcPr>
          <w:p w14:paraId="7CD4C523" w14:textId="77777777" w:rsidR="003501D5" w:rsidRPr="00FB3515" w:rsidRDefault="003501D5" w:rsidP="00E27164">
            <w:pPr>
              <w:pStyle w:val="ListParagraph"/>
              <w:ind w:left="491"/>
              <w:rPr>
                <w:rFonts w:asciiTheme="minorHAnsi" w:hAnsiTheme="minorHAnsi" w:cstheme="minorHAnsi"/>
                <w:sz w:val="20"/>
                <w:szCs w:val="20"/>
              </w:rPr>
            </w:pPr>
          </w:p>
        </w:tc>
      </w:tr>
      <w:tr w:rsidR="003501D5" w:rsidRPr="00FB3515" w14:paraId="47D46386" w14:textId="77777777" w:rsidTr="004C43E1">
        <w:tc>
          <w:tcPr>
            <w:tcW w:w="6001" w:type="dxa"/>
          </w:tcPr>
          <w:p w14:paraId="39535E64"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Engagement with family/carer to support employment directions</w:t>
            </w:r>
          </w:p>
        </w:tc>
        <w:tc>
          <w:tcPr>
            <w:tcW w:w="3397" w:type="dxa"/>
          </w:tcPr>
          <w:p w14:paraId="4E5902FC" w14:textId="77777777" w:rsidR="003501D5" w:rsidRPr="00FB3515" w:rsidRDefault="003501D5" w:rsidP="00E27164">
            <w:pPr>
              <w:pStyle w:val="ListParagraph"/>
              <w:ind w:left="491"/>
              <w:rPr>
                <w:rFonts w:asciiTheme="minorHAnsi" w:hAnsiTheme="minorHAnsi" w:cstheme="minorHAnsi"/>
                <w:sz w:val="20"/>
                <w:szCs w:val="20"/>
              </w:rPr>
            </w:pPr>
          </w:p>
        </w:tc>
      </w:tr>
      <w:tr w:rsidR="003501D5" w:rsidRPr="00FB3515" w14:paraId="627C0961" w14:textId="77777777" w:rsidTr="004C43E1">
        <w:tc>
          <w:tcPr>
            <w:tcW w:w="6001" w:type="dxa"/>
          </w:tcPr>
          <w:p w14:paraId="39FAEDB0" w14:textId="6A420AB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Engagement with other professionals/providers to support employment goals</w:t>
            </w:r>
          </w:p>
        </w:tc>
        <w:tc>
          <w:tcPr>
            <w:tcW w:w="3397" w:type="dxa"/>
          </w:tcPr>
          <w:p w14:paraId="6A7D42E4" w14:textId="77777777" w:rsidR="003501D5" w:rsidRPr="00FB3515" w:rsidRDefault="003501D5" w:rsidP="00E27164">
            <w:pPr>
              <w:pStyle w:val="ListParagraph"/>
              <w:ind w:left="491"/>
              <w:rPr>
                <w:rFonts w:asciiTheme="minorHAnsi" w:hAnsiTheme="minorHAnsi" w:cstheme="minorHAnsi"/>
                <w:sz w:val="20"/>
                <w:szCs w:val="20"/>
              </w:rPr>
            </w:pPr>
          </w:p>
        </w:tc>
      </w:tr>
      <w:tr w:rsidR="003501D5" w:rsidRPr="00FB3515" w14:paraId="0D85ACF0" w14:textId="77777777" w:rsidTr="00E27164">
        <w:trPr>
          <w:trHeight w:val="913"/>
        </w:trPr>
        <w:tc>
          <w:tcPr>
            <w:tcW w:w="6001" w:type="dxa"/>
          </w:tcPr>
          <w:p w14:paraId="4B80C54D"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lastRenderedPageBreak/>
              <w:t>Building social, presentation and communication skills</w:t>
            </w:r>
          </w:p>
        </w:tc>
        <w:tc>
          <w:tcPr>
            <w:tcW w:w="3397" w:type="dxa"/>
          </w:tcPr>
          <w:p w14:paraId="261DE681"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time management skills</w:t>
            </w:r>
          </w:p>
          <w:p w14:paraId="642099EF"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communication skills</w:t>
            </w:r>
          </w:p>
          <w:p w14:paraId="51BE5312"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personal development skills</w:t>
            </w:r>
          </w:p>
        </w:tc>
      </w:tr>
      <w:tr w:rsidR="003501D5" w:rsidRPr="00FB3515" w14:paraId="573D930E" w14:textId="77777777" w:rsidTr="004C43E1">
        <w:tc>
          <w:tcPr>
            <w:tcW w:w="6001" w:type="dxa"/>
          </w:tcPr>
          <w:p w14:paraId="5C482D08"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Travel training</w:t>
            </w:r>
          </w:p>
        </w:tc>
        <w:tc>
          <w:tcPr>
            <w:tcW w:w="3397" w:type="dxa"/>
          </w:tcPr>
          <w:p w14:paraId="57F46E70"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travel skills</w:t>
            </w:r>
          </w:p>
        </w:tc>
      </w:tr>
      <w:tr w:rsidR="003501D5" w:rsidRPr="00FB3515" w14:paraId="2AFE39D1" w14:textId="77777777" w:rsidTr="004C43E1">
        <w:tc>
          <w:tcPr>
            <w:tcW w:w="6001" w:type="dxa"/>
          </w:tcPr>
          <w:p w14:paraId="703F6E27"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Work skills training</w:t>
            </w:r>
          </w:p>
          <w:p w14:paraId="4C71C7DA" w14:textId="77777777" w:rsidR="003501D5" w:rsidRPr="00FB3515" w:rsidRDefault="003501D5" w:rsidP="00E27164">
            <w:pPr>
              <w:pStyle w:val="ListParagraph"/>
              <w:rPr>
                <w:rFonts w:asciiTheme="minorHAnsi" w:hAnsiTheme="minorHAnsi" w:cstheme="minorHAnsi"/>
                <w:sz w:val="20"/>
                <w:szCs w:val="20"/>
                <w:lang w:eastAsia="en-AU"/>
              </w:rPr>
            </w:pPr>
          </w:p>
        </w:tc>
        <w:tc>
          <w:tcPr>
            <w:tcW w:w="3397" w:type="dxa"/>
          </w:tcPr>
          <w:p w14:paraId="440CCF6F"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money handling skills</w:t>
            </w:r>
          </w:p>
          <w:p w14:paraId="3A7EBBFA" w14:textId="77777777" w:rsidR="003501D5" w:rsidRPr="00FB3515" w:rsidRDefault="003501D5" w:rsidP="00DD78E1">
            <w:pPr>
              <w:pStyle w:val="ListParagraph"/>
              <w:widowControl/>
              <w:numPr>
                <w:ilvl w:val="0"/>
                <w:numId w:val="4"/>
              </w:numPr>
              <w:autoSpaceDE/>
              <w:autoSpaceDN/>
              <w:ind w:left="491"/>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job ready skills</w:t>
            </w:r>
          </w:p>
        </w:tc>
      </w:tr>
      <w:tr w:rsidR="003501D5" w:rsidRPr="00FB3515" w14:paraId="31EB1229" w14:textId="77777777" w:rsidTr="004C43E1">
        <w:tc>
          <w:tcPr>
            <w:tcW w:w="6001" w:type="dxa"/>
          </w:tcPr>
          <w:p w14:paraId="75FCD227"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Employer engagement education and job customisation</w:t>
            </w:r>
          </w:p>
        </w:tc>
        <w:tc>
          <w:tcPr>
            <w:tcW w:w="3397" w:type="dxa"/>
          </w:tcPr>
          <w:p w14:paraId="7F170A17" w14:textId="77777777" w:rsidR="003501D5" w:rsidRPr="00FB3515" w:rsidRDefault="003501D5" w:rsidP="00E27164">
            <w:pPr>
              <w:rPr>
                <w:rFonts w:asciiTheme="minorHAnsi" w:hAnsiTheme="minorHAnsi" w:cstheme="minorHAnsi"/>
                <w:sz w:val="20"/>
                <w:szCs w:val="20"/>
              </w:rPr>
            </w:pPr>
          </w:p>
        </w:tc>
      </w:tr>
      <w:tr w:rsidR="003501D5" w:rsidRPr="00FB3515" w14:paraId="226DBDCC" w14:textId="77777777" w:rsidTr="004C43E1">
        <w:trPr>
          <w:trHeight w:val="335"/>
        </w:trPr>
        <w:tc>
          <w:tcPr>
            <w:tcW w:w="6001" w:type="dxa"/>
          </w:tcPr>
          <w:p w14:paraId="222487D6"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Work experience support of the participant (on the job)</w:t>
            </w:r>
          </w:p>
        </w:tc>
        <w:tc>
          <w:tcPr>
            <w:tcW w:w="3397" w:type="dxa"/>
          </w:tcPr>
          <w:p w14:paraId="6E7BE785" w14:textId="77777777" w:rsidR="003501D5" w:rsidRPr="00FB3515" w:rsidRDefault="003501D5" w:rsidP="00DD78E1">
            <w:pPr>
              <w:pStyle w:val="ListParagraph"/>
              <w:widowControl/>
              <w:numPr>
                <w:ilvl w:val="0"/>
                <w:numId w:val="4"/>
              </w:numPr>
              <w:autoSpaceDE/>
              <w:autoSpaceDN/>
              <w:ind w:left="491" w:right="539"/>
              <w:contextualSpacing/>
              <w:rPr>
                <w:rFonts w:asciiTheme="minorHAnsi" w:hAnsiTheme="minorHAnsi" w:cstheme="minorHAnsi"/>
                <w:sz w:val="20"/>
                <w:szCs w:val="20"/>
                <w:lang w:eastAsia="en-AU"/>
              </w:rPr>
            </w:pPr>
            <w:r w:rsidRPr="00FB3515">
              <w:rPr>
                <w:rFonts w:asciiTheme="minorHAnsi" w:hAnsiTheme="minorHAnsi" w:cstheme="minorHAnsi"/>
                <w:sz w:val="20"/>
                <w:szCs w:val="20"/>
                <w:lang w:eastAsia="en-AU"/>
              </w:rPr>
              <w:t>work experience</w:t>
            </w:r>
          </w:p>
        </w:tc>
      </w:tr>
      <w:tr w:rsidR="003501D5" w:rsidRPr="00FB3515" w14:paraId="02DBE212" w14:textId="77777777" w:rsidTr="004C43E1">
        <w:tc>
          <w:tcPr>
            <w:tcW w:w="6001" w:type="dxa"/>
          </w:tcPr>
          <w:p w14:paraId="671704E9" w14:textId="77777777" w:rsidR="003501D5" w:rsidRPr="00FB3515" w:rsidRDefault="003501D5" w:rsidP="00E27164">
            <w:pPr>
              <w:rPr>
                <w:rFonts w:asciiTheme="minorHAnsi" w:hAnsiTheme="minorHAnsi" w:cstheme="minorHAnsi"/>
                <w:sz w:val="20"/>
                <w:szCs w:val="20"/>
                <w:lang w:eastAsia="en-AU"/>
              </w:rPr>
            </w:pPr>
            <w:r w:rsidRPr="00FB3515">
              <w:rPr>
                <w:rFonts w:asciiTheme="minorHAnsi" w:hAnsiTheme="minorHAnsi" w:cstheme="minorHAnsi"/>
                <w:sz w:val="20"/>
                <w:szCs w:val="20"/>
                <w:lang w:eastAsia="en-AU"/>
              </w:rPr>
              <w:t>On the job support of participant (when initially employed)</w:t>
            </w:r>
          </w:p>
        </w:tc>
        <w:tc>
          <w:tcPr>
            <w:tcW w:w="3397" w:type="dxa"/>
          </w:tcPr>
          <w:p w14:paraId="79245B9F" w14:textId="77777777" w:rsidR="003501D5" w:rsidRPr="00FB3515" w:rsidRDefault="003501D5" w:rsidP="00E27164">
            <w:pPr>
              <w:ind w:left="119"/>
              <w:rPr>
                <w:rFonts w:asciiTheme="minorHAnsi" w:hAnsiTheme="minorHAnsi" w:cstheme="minorHAnsi"/>
                <w:sz w:val="20"/>
                <w:szCs w:val="20"/>
              </w:rPr>
            </w:pPr>
          </w:p>
        </w:tc>
      </w:tr>
    </w:tbl>
    <w:p w14:paraId="487C7107" w14:textId="77777777" w:rsidR="003501D5" w:rsidRDefault="003501D5" w:rsidP="003501D5"/>
    <w:p w14:paraId="690904FE" w14:textId="02D95F3E" w:rsidR="003501D5" w:rsidRDefault="003501D5" w:rsidP="005521C7">
      <w:pPr>
        <w:pStyle w:val="Normal4"/>
        <w:rPr>
          <w:lang w:eastAsia="en-AU"/>
        </w:rPr>
      </w:pPr>
      <w:r>
        <w:rPr>
          <w:lang w:eastAsia="en-AU"/>
        </w:rPr>
        <w:t>Using the terminology of the Typology of Employment Support Interventions presented in Paper 2, this list of supports largely sits in two domains: Building foundation skills; and Planning and preparation for work. Supports almost exclusively fall only on the supply side and have little engagement with building employer-jobseeker interactions or employer capacity.</w:t>
      </w:r>
    </w:p>
    <w:p w14:paraId="17A6AFFD" w14:textId="77777777" w:rsidR="00601857" w:rsidRDefault="00601857" w:rsidP="00601857"/>
    <w:p w14:paraId="1A1160E3" w14:textId="77777777" w:rsidR="003501D5" w:rsidRDefault="003501D5" w:rsidP="003501D5">
      <w:pPr>
        <w:pStyle w:val="Heading2"/>
        <w:rPr>
          <w:lang w:eastAsia="en-AU"/>
        </w:rPr>
      </w:pPr>
      <w:r>
        <w:rPr>
          <w:lang w:eastAsia="en-AU"/>
        </w:rPr>
        <w:t>Emerging issues with SLES design</w:t>
      </w:r>
    </w:p>
    <w:p w14:paraId="27BEAB6C" w14:textId="77777777" w:rsidR="003501D5" w:rsidRDefault="003501D5" w:rsidP="005521C7">
      <w:pPr>
        <w:pStyle w:val="Normal4"/>
      </w:pPr>
      <w:r>
        <w:t xml:space="preserve">NDIS report a range of SLES design issues that have emerged from consultation: </w:t>
      </w:r>
    </w:p>
    <w:p w14:paraId="58C32899" w14:textId="4440B7CC" w:rsidR="003501D5" w:rsidRPr="005D6283" w:rsidRDefault="003501D5" w:rsidP="003973A8">
      <w:pPr>
        <w:pStyle w:val="dotpoints"/>
      </w:pPr>
      <w:r>
        <w:t>There is tension between the programmatic appearance of SLES and the need to ‘enable tailored supports based on individual needs and goals’</w:t>
      </w:r>
      <w:r w:rsidR="002E7DF4">
        <w:t>,</w:t>
      </w:r>
      <w:r>
        <w:t xml:space="preserve"> </w:t>
      </w:r>
    </w:p>
    <w:p w14:paraId="51F951AB" w14:textId="546A56F0" w:rsidR="003501D5" w:rsidRPr="005D6283" w:rsidRDefault="003501D5" w:rsidP="003973A8">
      <w:pPr>
        <w:pStyle w:val="dotpoints"/>
      </w:pPr>
      <w:r w:rsidRPr="005D6283">
        <w:t xml:space="preserve">The performance </w:t>
      </w:r>
      <w:r>
        <w:t xml:space="preserve">(skills, knowledge, experience, quality) </w:t>
      </w:r>
      <w:r w:rsidRPr="005D6283">
        <w:t>of providers varies markedly</w:t>
      </w:r>
      <w:r>
        <w:t xml:space="preserve"> and they need guidance on ‘best practice milestones’ </w:t>
      </w:r>
      <w:proofErr w:type="gramStart"/>
      <w:r>
        <w:t>so as to</w:t>
      </w:r>
      <w:proofErr w:type="gramEnd"/>
      <w:r>
        <w:t xml:space="preserve"> increase accountability to participants and their supporters, and for this to be linked to payment,</w:t>
      </w:r>
    </w:p>
    <w:p w14:paraId="64BEF006" w14:textId="7131C39F" w:rsidR="003501D5" w:rsidRDefault="003501D5" w:rsidP="003973A8">
      <w:pPr>
        <w:pStyle w:val="dotpoints"/>
      </w:pPr>
      <w:r>
        <w:t>‘</w:t>
      </w:r>
      <w:r w:rsidRPr="005D6283">
        <w:t>Participants lack information to guide decision-making in selecting the right provider</w:t>
      </w:r>
      <w:r>
        <w:t>’ and to navigate the complex disability employment system comprised of mainstream and NDIS employment supports</w:t>
      </w:r>
      <w:r w:rsidR="002E7DF4">
        <w:t>,</w:t>
      </w:r>
    </w:p>
    <w:p w14:paraId="0C0B0D65" w14:textId="3F37EE14" w:rsidR="003501D5" w:rsidRDefault="003501D5" w:rsidP="003973A8">
      <w:pPr>
        <w:pStyle w:val="dotpoints"/>
      </w:pPr>
      <w:r w:rsidRPr="005D6283">
        <w:t>Support commences too late for some participants</w:t>
      </w:r>
      <w:r>
        <w:t xml:space="preserve"> and needs to be available to all young people when they attain working age. Local Area Coordinators (LACs) and Planners need to support families and participants to connect to SLES providers</w:t>
      </w:r>
      <w:r w:rsidR="00E27164">
        <w:t xml:space="preserve"> (NDIA, 2022b</w:t>
      </w:r>
      <w:r w:rsidR="002E7DF4">
        <w:t>, pp.</w:t>
      </w:r>
      <w:r w:rsidR="008D2F13">
        <w:t xml:space="preserve"> </w:t>
      </w:r>
      <w:r w:rsidR="002E7DF4">
        <w:t>4-5</w:t>
      </w:r>
      <w:r w:rsidR="00E27164">
        <w:t>)</w:t>
      </w:r>
      <w:r>
        <w:t>.</w:t>
      </w:r>
    </w:p>
    <w:p w14:paraId="1F0D8ECB" w14:textId="77CF88EB" w:rsidR="003501D5" w:rsidRDefault="003501D5" w:rsidP="005521C7">
      <w:pPr>
        <w:pStyle w:val="Normal4"/>
        <w:rPr>
          <w:lang w:eastAsia="en-AU"/>
        </w:rPr>
      </w:pPr>
      <w:r>
        <w:rPr>
          <w:lang w:eastAsia="en-AU"/>
        </w:rPr>
        <w:t xml:space="preserve">Additionally, </w:t>
      </w:r>
      <w:r w:rsidR="00E27164">
        <w:rPr>
          <w:lang w:eastAsia="en-AU"/>
        </w:rPr>
        <w:t xml:space="preserve">given that SLES is positioned as preparatory for entrance to DES, </w:t>
      </w:r>
      <w:r>
        <w:rPr>
          <w:lang w:eastAsia="en-AU"/>
        </w:rPr>
        <w:t>problems with access to and relevance of DES have also been a noted problem for people with intellectual disability who are either not well supported within DES or are ineligible to access DES. Extremely low levels of transfer of SLES participants in the data reported below (2%) highlight this issue. In this context, NDIS participants exiting SLES are left unsupported to secure and maintain suitable employment.</w:t>
      </w:r>
    </w:p>
    <w:p w14:paraId="466AC54A" w14:textId="77777777" w:rsidR="00601857" w:rsidRDefault="00601857" w:rsidP="00601857"/>
    <w:p w14:paraId="662BD6F0" w14:textId="77777777" w:rsidR="003501D5" w:rsidRDefault="003501D5" w:rsidP="003501D5">
      <w:pPr>
        <w:pStyle w:val="Heading2"/>
      </w:pPr>
      <w:r>
        <w:t>Current SLES scope and performance</w:t>
      </w:r>
    </w:p>
    <w:p w14:paraId="3AE1A32F" w14:textId="77777777" w:rsidR="003501D5" w:rsidRDefault="003501D5" w:rsidP="005521C7">
      <w:pPr>
        <w:pStyle w:val="Normal4"/>
      </w:pPr>
      <w:r>
        <w:t xml:space="preserve">The NDIA’s Provider data on SLES (NDIA, 2022a) shows 6,397 SLES participants throughout 2021, aged 15-24. Detailed data is available for only 4,530 of these, reported below. </w:t>
      </w:r>
    </w:p>
    <w:p w14:paraId="7D3E0E6C" w14:textId="77777777" w:rsidR="003501D5" w:rsidRDefault="003501D5" w:rsidP="003501D5">
      <w:pPr>
        <w:pStyle w:val="Heading3"/>
      </w:pPr>
      <w:r>
        <w:t>Cohort</w:t>
      </w:r>
    </w:p>
    <w:p w14:paraId="50BC48F5" w14:textId="7F7CA1AD" w:rsidR="003501D5" w:rsidRDefault="003501D5" w:rsidP="005521C7">
      <w:pPr>
        <w:pStyle w:val="Normal4"/>
      </w:pPr>
      <w:r>
        <w:t xml:space="preserve">SLES </w:t>
      </w:r>
      <w:r w:rsidR="00E27164">
        <w:t xml:space="preserve">participation </w:t>
      </w:r>
      <w:r>
        <w:t>appears to accurately reflect the NDIS participant cohort demographics for the age group 15-24 years</w:t>
      </w:r>
      <w:r w:rsidR="00C71776">
        <w:t xml:space="preserve"> old</w:t>
      </w:r>
      <w:r>
        <w:t>. Most SLES recipients have Autism (51%) or intellectual disability (36%), and a further 3% with Down syndrome, with most being male (67%). Similarly</w:t>
      </w:r>
      <w:r w:rsidR="00E27164">
        <w:t>,</w:t>
      </w:r>
      <w:r>
        <w:t xml:space="preserve"> the proportions of those identifying as Aboriginal or Torres Strait Islander (6%) or as from a Culturally and Linguistically diverse </w:t>
      </w:r>
      <w:r>
        <w:lastRenderedPageBreak/>
        <w:t>community (7%) are roughly consistent with the overall numbers of NDIS participants from these categories in the 15-24 year old age group.</w:t>
      </w:r>
    </w:p>
    <w:p w14:paraId="6247C56E" w14:textId="77777777" w:rsidR="003501D5" w:rsidRDefault="003501D5" w:rsidP="005521C7">
      <w:pPr>
        <w:pStyle w:val="Normal4"/>
      </w:pPr>
      <w:r>
        <w:t>Most SLES participants are aged 18-20 (76%) (NDIA, 2022a), and most (89%) had completed year 12 (NDIA, 2022b).</w:t>
      </w:r>
    </w:p>
    <w:p w14:paraId="766DF269" w14:textId="20EC5384" w:rsidR="003501D5" w:rsidRDefault="003501D5" w:rsidP="005521C7">
      <w:pPr>
        <w:pStyle w:val="Normal4"/>
      </w:pPr>
      <w:r>
        <w:t>SLES has higher participant numbers in the more populous states, with the lowest SLES participant numbers in the NT (</w:t>
      </w:r>
      <w:r w:rsidR="002C46A2">
        <w:t>fewer</w:t>
      </w:r>
      <w:r>
        <w:t xml:space="preserve"> than 11)</w:t>
      </w:r>
      <w:r w:rsidR="00C65F6F">
        <w:t xml:space="preserve"> and</w:t>
      </w:r>
      <w:r>
        <w:t xml:space="preserve"> ACT (70). </w:t>
      </w:r>
    </w:p>
    <w:p w14:paraId="72F9A419" w14:textId="77777777" w:rsidR="003501D5" w:rsidRDefault="003501D5" w:rsidP="005521C7">
      <w:pPr>
        <w:pStyle w:val="Normal4"/>
      </w:pPr>
      <w:r>
        <w:t xml:space="preserve">This data also highlights that, of those participants surveyed, the most common areas of functional impact in school settings were: </w:t>
      </w:r>
    </w:p>
    <w:p w14:paraId="6E1939F5" w14:textId="79AEA440" w:rsidR="003501D5" w:rsidRPr="00820A48" w:rsidRDefault="003501D5" w:rsidP="003973A8">
      <w:pPr>
        <w:pStyle w:val="dotpoints"/>
      </w:pPr>
      <w:r w:rsidRPr="00820A48">
        <w:t>learning (68%)</w:t>
      </w:r>
    </w:p>
    <w:p w14:paraId="58D154FA" w14:textId="22460F02" w:rsidR="003501D5" w:rsidRPr="00820A48" w:rsidRDefault="003501D5" w:rsidP="003973A8">
      <w:pPr>
        <w:pStyle w:val="dotpoints"/>
      </w:pPr>
      <w:r w:rsidRPr="00820A48">
        <w:t>mixing with people (65%)</w:t>
      </w:r>
    </w:p>
    <w:p w14:paraId="71B5E717" w14:textId="355484D7" w:rsidR="003501D5" w:rsidRPr="00820A48" w:rsidRDefault="003501D5" w:rsidP="003973A8">
      <w:pPr>
        <w:pStyle w:val="dotpoints"/>
      </w:pPr>
      <w:r w:rsidRPr="00820A48">
        <w:t>going out by myself (59%)</w:t>
      </w:r>
    </w:p>
    <w:p w14:paraId="6A6F4940" w14:textId="6B44EDD3" w:rsidR="003501D5" w:rsidRPr="00820A48" w:rsidRDefault="003501D5" w:rsidP="003973A8">
      <w:pPr>
        <w:pStyle w:val="dotpoints"/>
      </w:pPr>
      <w:r w:rsidRPr="00820A48">
        <w:t>managing emotions (59%)</w:t>
      </w:r>
    </w:p>
    <w:p w14:paraId="4A5A0BAB" w14:textId="4E64B801" w:rsidR="003501D5" w:rsidRPr="00820A48" w:rsidRDefault="003501D5" w:rsidP="003973A8">
      <w:pPr>
        <w:pStyle w:val="dotpoints"/>
      </w:pPr>
      <w:r w:rsidRPr="00820A48">
        <w:t>using money (58%)</w:t>
      </w:r>
    </w:p>
    <w:p w14:paraId="7B7E7CC7" w14:textId="08F3DE0D" w:rsidR="003501D5" w:rsidRPr="00820A48" w:rsidRDefault="003501D5" w:rsidP="003973A8">
      <w:pPr>
        <w:pStyle w:val="dotpoints"/>
      </w:pPr>
      <w:r w:rsidRPr="00820A48">
        <w:t>using public transport (53%)</w:t>
      </w:r>
    </w:p>
    <w:p w14:paraId="3E85E072" w14:textId="0E9A4A7A" w:rsidR="003501D5" w:rsidRPr="00820A48" w:rsidRDefault="003501D5" w:rsidP="003973A8">
      <w:pPr>
        <w:pStyle w:val="dotpoints"/>
      </w:pPr>
      <w:r w:rsidRPr="00820A48">
        <w:t>remembering things (52%)</w:t>
      </w:r>
    </w:p>
    <w:p w14:paraId="31003C86" w14:textId="5027F52C" w:rsidR="003501D5" w:rsidRPr="00820A48" w:rsidRDefault="003501D5" w:rsidP="003973A8">
      <w:pPr>
        <w:pStyle w:val="dotpoints"/>
      </w:pPr>
      <w:r w:rsidRPr="00820A48">
        <w:t>following instructions (51%)</w:t>
      </w:r>
    </w:p>
    <w:p w14:paraId="711EA29D" w14:textId="27F5846F" w:rsidR="003501D5" w:rsidRPr="00820A48" w:rsidRDefault="008D2F13" w:rsidP="003973A8">
      <w:pPr>
        <w:pStyle w:val="dotpoints"/>
      </w:pPr>
      <w:r w:rsidRPr="00820A48">
        <w:t>self-care</w:t>
      </w:r>
      <w:r w:rsidR="003501D5" w:rsidRPr="00820A48">
        <w:t xml:space="preserve"> (32%)</w:t>
      </w:r>
    </w:p>
    <w:p w14:paraId="3F515B3E" w14:textId="55E1CBA8" w:rsidR="003501D5" w:rsidRPr="00820A48" w:rsidRDefault="003501D5" w:rsidP="003973A8">
      <w:pPr>
        <w:pStyle w:val="dotpoints"/>
      </w:pPr>
      <w:r w:rsidRPr="00820A48">
        <w:t xml:space="preserve">talking (32%) (NDIA, 2022b). </w:t>
      </w:r>
    </w:p>
    <w:p w14:paraId="2F263D41" w14:textId="77777777" w:rsidR="003501D5" w:rsidRDefault="003501D5" w:rsidP="005521C7">
      <w:pPr>
        <w:pStyle w:val="Normal4"/>
      </w:pPr>
      <w:r w:rsidRPr="00AD14C1">
        <w:t>This is useful data as it forecasts potential barriers to employment requiring targeted supports.</w:t>
      </w:r>
      <w:r>
        <w:t xml:space="preserve"> For example, as more than half of SLES participants identify cognitive functioning related to common employment skills such as following instructions and remembering things, then employment supports need to be </w:t>
      </w:r>
      <w:proofErr w:type="gramStart"/>
      <w:r>
        <w:t>provided that</w:t>
      </w:r>
      <w:proofErr w:type="gramEnd"/>
      <w:r>
        <w:t xml:space="preserve"> match and support the requirements of the individual’s workplace.</w:t>
      </w:r>
    </w:p>
    <w:p w14:paraId="6908B762" w14:textId="194E1270" w:rsidR="003501D5" w:rsidRPr="00AD14C1" w:rsidRDefault="003501D5" w:rsidP="005521C7">
      <w:pPr>
        <w:pStyle w:val="Normal4"/>
      </w:pPr>
      <w:r>
        <w:t>Data</w:t>
      </w:r>
      <w:r w:rsidR="00BB3292">
        <w:t xml:space="preserve"> from a limited sample of survey respondents</w:t>
      </w:r>
      <w:r>
        <w:t xml:space="preserve"> for the period 2018</w:t>
      </w:r>
      <w:r w:rsidR="008B6DAA">
        <w:t xml:space="preserve"> </w:t>
      </w:r>
      <w:r w:rsidR="00AB7A3E">
        <w:t>and 2019</w:t>
      </w:r>
      <w:r w:rsidR="00F96138">
        <w:t>,</w:t>
      </w:r>
      <w:r>
        <w:t xml:space="preserve"> shows that </w:t>
      </w:r>
      <w:r w:rsidR="001E4DF7">
        <w:t>26</w:t>
      </w:r>
      <w:r>
        <w:t>% who ha</w:t>
      </w:r>
      <w:r w:rsidR="00982377">
        <w:t>d</w:t>
      </w:r>
      <w:r>
        <w:t xml:space="preserve"> SLES in their NDIS plan did not use their SLES funding, frequently related to having no explanation of purpose of funding</w:t>
      </w:r>
      <w:r w:rsidR="00D91C14">
        <w:t>;</w:t>
      </w:r>
      <w:r>
        <w:t xml:space="preserve"> funding not being suitable or at right time</w:t>
      </w:r>
      <w:r w:rsidR="00D91C14">
        <w:t>;</w:t>
      </w:r>
      <w:r>
        <w:t xml:space="preserve"> and a range of other factors</w:t>
      </w:r>
      <w:r w:rsidR="001E4DF7">
        <w:t xml:space="preserve"> (NDIA, 2022b)</w:t>
      </w:r>
      <w:r>
        <w:t>.</w:t>
      </w:r>
    </w:p>
    <w:p w14:paraId="0E702377" w14:textId="77777777" w:rsidR="003501D5" w:rsidRDefault="003501D5" w:rsidP="003501D5">
      <w:pPr>
        <w:pStyle w:val="Heading3"/>
      </w:pPr>
      <w:r>
        <w:t>How providers are selected</w:t>
      </w:r>
    </w:p>
    <w:p w14:paraId="7F0D3F2E" w14:textId="1F8091FA" w:rsidR="003501D5" w:rsidRDefault="003501D5" w:rsidP="005521C7">
      <w:pPr>
        <w:pStyle w:val="Normal4"/>
      </w:pPr>
      <w:r>
        <w:t>The 2016-18 data highlights that the most common means of selecting a SLES provider is through support from the participant’s parents (40%), followed by support from the school (33%)</w:t>
      </w:r>
      <w:r w:rsidR="00FE0CEE">
        <w:t>,</w:t>
      </w:r>
      <w:r>
        <w:t xml:space="preserve"> and meetings with a provider (28%). This is consistent with a study by Crosbie (2022), where family members explained their key role in supporting the decision to access SLES, and the role of the school in linking them to providers. Only 15% were supported by a LAC (NDIA, 2022b). This is a considerable burden for families who have been forced to undertake a quasi-formal navigation and support coordination role to manage selection of</w:t>
      </w:r>
      <w:r w:rsidR="00CC39B4">
        <w:t>,</w:t>
      </w:r>
      <w:r>
        <w:t xml:space="preserve"> and access to</w:t>
      </w:r>
      <w:r w:rsidR="00CC39B4">
        <w:t>,</w:t>
      </w:r>
      <w:r>
        <w:t xml:space="preserve"> employment supports, with some family members not having adequate skills or resources to do so (Crosbie, 2022).</w:t>
      </w:r>
    </w:p>
    <w:p w14:paraId="3A3DB555" w14:textId="77777777" w:rsidR="003501D5" w:rsidRDefault="003501D5" w:rsidP="003501D5">
      <w:pPr>
        <w:pStyle w:val="Heading3"/>
      </w:pPr>
      <w:r>
        <w:t>The type of support provided</w:t>
      </w:r>
    </w:p>
    <w:p w14:paraId="6C624DD3" w14:textId="0E9CB966" w:rsidR="003501D5" w:rsidRDefault="003501D5" w:rsidP="005521C7">
      <w:pPr>
        <w:pStyle w:val="Normal4"/>
      </w:pPr>
      <w:r>
        <w:t>Around half of SLES support delivery is spent in skills building and training, including social, presentation and communication skills (around 23%); and work skills (24%). Very minimal amounts of time are spent on employer education and job customisation (5%), evidencing the almost exclusive focus on the Supply side of employment support provision</w:t>
      </w:r>
      <w:r w:rsidR="0009717C">
        <w:t xml:space="preserve"> (NDIA, 2022a)</w:t>
      </w:r>
      <w:r>
        <w:t>.</w:t>
      </w:r>
    </w:p>
    <w:p w14:paraId="24BC7A63" w14:textId="5D87A25A" w:rsidR="00E238F0" w:rsidRPr="00820A48" w:rsidRDefault="003501D5" w:rsidP="00FB3515">
      <w:pPr>
        <w:pStyle w:val="Table"/>
      </w:pPr>
      <w:r w:rsidRPr="00820A48">
        <w:lastRenderedPageBreak/>
        <w:t xml:space="preserve">Table </w:t>
      </w:r>
      <w:r>
        <w:t>2</w:t>
      </w:r>
      <w:r w:rsidRPr="00820A48">
        <w:t>:</w:t>
      </w:r>
      <w:r w:rsidR="00E36FED">
        <w:t xml:space="preserve"> </w:t>
      </w:r>
      <w:r w:rsidRPr="00820A48">
        <w:t>Types of support provided by SLES (actual)</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126"/>
      </w:tblGrid>
      <w:tr w:rsidR="003501D5" w:rsidRPr="00FB3515" w14:paraId="3286BAFE" w14:textId="77777777" w:rsidTr="00516802">
        <w:trPr>
          <w:trHeight w:val="255"/>
        </w:trPr>
        <w:tc>
          <w:tcPr>
            <w:tcW w:w="6663" w:type="dxa"/>
            <w:tcBorders>
              <w:bottom w:val="nil"/>
              <w:right w:val="nil"/>
            </w:tcBorders>
            <w:shd w:val="clear" w:color="auto" w:fill="F2F2F2" w:themeFill="background1" w:themeFillShade="F2"/>
            <w:noWrap/>
            <w:vAlign w:val="bottom"/>
          </w:tcPr>
          <w:p w14:paraId="37C7AAED" w14:textId="77777777" w:rsidR="003501D5" w:rsidRPr="00FB3515" w:rsidRDefault="003501D5" w:rsidP="004C43E1">
            <w:pPr>
              <w:rPr>
                <w:rFonts w:asciiTheme="minorHAnsi" w:hAnsiTheme="minorHAnsi" w:cstheme="minorHAnsi"/>
                <w:b/>
                <w:bCs/>
                <w:color w:val="000000"/>
                <w:sz w:val="20"/>
                <w:szCs w:val="20"/>
                <w:lang w:eastAsia="zh-CN" w:bidi="th-TH"/>
              </w:rPr>
            </w:pPr>
            <w:r w:rsidRPr="00FB3515">
              <w:rPr>
                <w:rFonts w:asciiTheme="minorHAnsi" w:hAnsiTheme="minorHAnsi" w:cstheme="minorHAnsi"/>
                <w:b/>
                <w:bCs/>
                <w:color w:val="000000"/>
                <w:sz w:val="20"/>
                <w:szCs w:val="20"/>
                <w:lang w:eastAsia="zh-CN" w:bidi="th-TH"/>
              </w:rPr>
              <w:t>Support type provided (% of hours per participant)</w:t>
            </w:r>
          </w:p>
        </w:tc>
        <w:tc>
          <w:tcPr>
            <w:tcW w:w="2126" w:type="dxa"/>
            <w:tcBorders>
              <w:left w:val="nil"/>
              <w:bottom w:val="nil"/>
            </w:tcBorders>
            <w:shd w:val="clear" w:color="auto" w:fill="F2F2F2" w:themeFill="background1" w:themeFillShade="F2"/>
            <w:noWrap/>
            <w:vAlign w:val="bottom"/>
          </w:tcPr>
          <w:p w14:paraId="01F5172D" w14:textId="77777777" w:rsidR="003501D5" w:rsidRPr="00FB3515" w:rsidRDefault="003501D5" w:rsidP="004C43E1">
            <w:pPr>
              <w:jc w:val="center"/>
              <w:rPr>
                <w:rFonts w:asciiTheme="minorHAnsi" w:hAnsiTheme="minorHAnsi" w:cstheme="minorHAnsi"/>
                <w:b/>
                <w:bCs/>
                <w:color w:val="000000"/>
                <w:sz w:val="20"/>
                <w:szCs w:val="20"/>
                <w:lang w:eastAsia="zh-CN" w:bidi="th-TH"/>
              </w:rPr>
            </w:pPr>
            <w:r w:rsidRPr="00FB3515">
              <w:rPr>
                <w:rFonts w:asciiTheme="minorHAnsi" w:hAnsiTheme="minorHAnsi" w:cstheme="minorHAnsi"/>
                <w:b/>
                <w:bCs/>
                <w:color w:val="000000"/>
                <w:sz w:val="20"/>
                <w:szCs w:val="20"/>
                <w:lang w:eastAsia="zh-CN" w:bidi="th-TH"/>
              </w:rPr>
              <w:t>Oct-Dec quarter 2021</w:t>
            </w:r>
          </w:p>
        </w:tc>
      </w:tr>
      <w:tr w:rsidR="003501D5" w:rsidRPr="00FB3515" w14:paraId="4B3CFBE9" w14:textId="77777777" w:rsidTr="00516802">
        <w:trPr>
          <w:trHeight w:val="255"/>
        </w:trPr>
        <w:tc>
          <w:tcPr>
            <w:tcW w:w="6663" w:type="dxa"/>
            <w:tcBorders>
              <w:bottom w:val="nil"/>
              <w:right w:val="nil"/>
            </w:tcBorders>
            <w:shd w:val="clear" w:color="000000" w:fill="FFFFFF"/>
            <w:noWrap/>
            <w:vAlign w:val="bottom"/>
            <w:hideMark/>
          </w:tcPr>
          <w:p w14:paraId="75C06B1A"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Assessments</w:t>
            </w:r>
          </w:p>
        </w:tc>
        <w:tc>
          <w:tcPr>
            <w:tcW w:w="2126" w:type="dxa"/>
            <w:tcBorders>
              <w:left w:val="nil"/>
              <w:bottom w:val="nil"/>
            </w:tcBorders>
            <w:shd w:val="clear" w:color="000000" w:fill="FFFFFF"/>
            <w:noWrap/>
            <w:vAlign w:val="bottom"/>
            <w:hideMark/>
          </w:tcPr>
          <w:p w14:paraId="71D9CA90"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3%</w:t>
            </w:r>
          </w:p>
        </w:tc>
      </w:tr>
      <w:tr w:rsidR="003501D5" w:rsidRPr="00FB3515" w14:paraId="297E24D2" w14:textId="77777777" w:rsidTr="00516802">
        <w:trPr>
          <w:trHeight w:val="255"/>
        </w:trPr>
        <w:tc>
          <w:tcPr>
            <w:tcW w:w="6663" w:type="dxa"/>
            <w:tcBorders>
              <w:top w:val="nil"/>
              <w:bottom w:val="nil"/>
              <w:right w:val="nil"/>
            </w:tcBorders>
            <w:shd w:val="clear" w:color="000000" w:fill="FFFFFF"/>
            <w:noWrap/>
            <w:vAlign w:val="bottom"/>
            <w:hideMark/>
          </w:tcPr>
          <w:p w14:paraId="7D98EE63" w14:textId="31BDBD8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Planning and reviewing progress</w:t>
            </w:r>
            <w:r w:rsidR="00E36FED">
              <w:rPr>
                <w:rFonts w:asciiTheme="minorHAnsi" w:hAnsiTheme="minorHAnsi" w:cstheme="minorHAnsi"/>
                <w:color w:val="000000"/>
                <w:sz w:val="20"/>
                <w:szCs w:val="20"/>
                <w:lang w:eastAsia="zh-CN" w:bidi="th-TH"/>
              </w:rPr>
              <w:t xml:space="preserve"> </w:t>
            </w:r>
          </w:p>
        </w:tc>
        <w:tc>
          <w:tcPr>
            <w:tcW w:w="2126" w:type="dxa"/>
            <w:tcBorders>
              <w:top w:val="nil"/>
              <w:left w:val="nil"/>
              <w:bottom w:val="nil"/>
            </w:tcBorders>
            <w:shd w:val="clear" w:color="000000" w:fill="FFFFFF"/>
            <w:noWrap/>
            <w:vAlign w:val="bottom"/>
            <w:hideMark/>
          </w:tcPr>
          <w:p w14:paraId="6EFE3683"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6%</w:t>
            </w:r>
          </w:p>
        </w:tc>
      </w:tr>
      <w:tr w:rsidR="003501D5" w:rsidRPr="00FB3515" w14:paraId="2AC1B376" w14:textId="77777777" w:rsidTr="00516802">
        <w:trPr>
          <w:trHeight w:val="255"/>
        </w:trPr>
        <w:tc>
          <w:tcPr>
            <w:tcW w:w="6663" w:type="dxa"/>
            <w:tcBorders>
              <w:top w:val="nil"/>
              <w:bottom w:val="nil"/>
              <w:right w:val="nil"/>
            </w:tcBorders>
            <w:shd w:val="clear" w:color="000000" w:fill="FFFFFF"/>
            <w:noWrap/>
            <w:vAlign w:val="bottom"/>
            <w:hideMark/>
          </w:tcPr>
          <w:p w14:paraId="67574F0C"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Exploring employment options</w:t>
            </w:r>
          </w:p>
        </w:tc>
        <w:tc>
          <w:tcPr>
            <w:tcW w:w="2126" w:type="dxa"/>
            <w:tcBorders>
              <w:top w:val="nil"/>
              <w:left w:val="nil"/>
              <w:bottom w:val="nil"/>
            </w:tcBorders>
            <w:shd w:val="clear" w:color="000000" w:fill="FFFFFF"/>
            <w:noWrap/>
            <w:vAlign w:val="bottom"/>
            <w:hideMark/>
          </w:tcPr>
          <w:p w14:paraId="1B80797F" w14:textId="77777777" w:rsidR="003501D5" w:rsidRPr="00FB3515" w:rsidRDefault="003501D5" w:rsidP="004C43E1">
            <w:pPr>
              <w:jc w:val="center"/>
              <w:rPr>
                <w:rFonts w:asciiTheme="minorHAnsi" w:hAnsiTheme="minorHAnsi" w:cstheme="minorHAnsi"/>
                <w:b/>
                <w:bCs/>
                <w:color w:val="000000"/>
                <w:sz w:val="20"/>
                <w:szCs w:val="20"/>
                <w:lang w:eastAsia="zh-CN" w:bidi="th-TH"/>
              </w:rPr>
            </w:pPr>
            <w:r w:rsidRPr="00FB3515">
              <w:rPr>
                <w:rFonts w:asciiTheme="minorHAnsi" w:hAnsiTheme="minorHAnsi" w:cstheme="minorHAnsi"/>
                <w:b/>
                <w:bCs/>
                <w:color w:val="000000"/>
                <w:sz w:val="20"/>
                <w:szCs w:val="20"/>
                <w:lang w:eastAsia="zh-CN" w:bidi="th-TH"/>
              </w:rPr>
              <w:t>10%</w:t>
            </w:r>
          </w:p>
        </w:tc>
      </w:tr>
      <w:tr w:rsidR="003501D5" w:rsidRPr="00FB3515" w14:paraId="68AB3E5F" w14:textId="77777777" w:rsidTr="00516802">
        <w:trPr>
          <w:trHeight w:val="255"/>
        </w:trPr>
        <w:tc>
          <w:tcPr>
            <w:tcW w:w="6663" w:type="dxa"/>
            <w:tcBorders>
              <w:top w:val="nil"/>
              <w:bottom w:val="nil"/>
              <w:right w:val="nil"/>
            </w:tcBorders>
            <w:shd w:val="clear" w:color="000000" w:fill="FFFFFF"/>
            <w:noWrap/>
            <w:vAlign w:val="bottom"/>
            <w:hideMark/>
          </w:tcPr>
          <w:p w14:paraId="640E83CA" w14:textId="301CC719"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Engagement with family/carer to support employment directions</w:t>
            </w:r>
          </w:p>
        </w:tc>
        <w:tc>
          <w:tcPr>
            <w:tcW w:w="2126" w:type="dxa"/>
            <w:tcBorders>
              <w:top w:val="nil"/>
              <w:left w:val="nil"/>
              <w:bottom w:val="nil"/>
            </w:tcBorders>
            <w:shd w:val="clear" w:color="000000" w:fill="FFFFFF"/>
            <w:noWrap/>
            <w:vAlign w:val="bottom"/>
            <w:hideMark/>
          </w:tcPr>
          <w:p w14:paraId="1BE2D8FE"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4%</w:t>
            </w:r>
          </w:p>
        </w:tc>
      </w:tr>
      <w:tr w:rsidR="003501D5" w:rsidRPr="00FB3515" w14:paraId="5AE25D72" w14:textId="77777777" w:rsidTr="00516802">
        <w:trPr>
          <w:trHeight w:val="255"/>
        </w:trPr>
        <w:tc>
          <w:tcPr>
            <w:tcW w:w="6663" w:type="dxa"/>
            <w:tcBorders>
              <w:top w:val="nil"/>
              <w:bottom w:val="nil"/>
              <w:right w:val="nil"/>
            </w:tcBorders>
            <w:shd w:val="clear" w:color="000000" w:fill="FFFFFF"/>
            <w:noWrap/>
            <w:vAlign w:val="bottom"/>
            <w:hideMark/>
          </w:tcPr>
          <w:p w14:paraId="0C84A1E6" w14:textId="60EF6F96"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Engagement with other professionals/providers to support employment goals</w:t>
            </w:r>
          </w:p>
        </w:tc>
        <w:tc>
          <w:tcPr>
            <w:tcW w:w="2126" w:type="dxa"/>
            <w:tcBorders>
              <w:top w:val="nil"/>
              <w:left w:val="nil"/>
              <w:bottom w:val="nil"/>
            </w:tcBorders>
            <w:shd w:val="clear" w:color="000000" w:fill="FFFFFF"/>
            <w:noWrap/>
            <w:vAlign w:val="bottom"/>
            <w:hideMark/>
          </w:tcPr>
          <w:p w14:paraId="5743B0CC"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3%</w:t>
            </w:r>
          </w:p>
        </w:tc>
      </w:tr>
      <w:tr w:rsidR="003501D5" w:rsidRPr="00FB3515" w14:paraId="63AE2366" w14:textId="77777777" w:rsidTr="00516802">
        <w:trPr>
          <w:trHeight w:val="255"/>
        </w:trPr>
        <w:tc>
          <w:tcPr>
            <w:tcW w:w="6663" w:type="dxa"/>
            <w:tcBorders>
              <w:top w:val="nil"/>
              <w:bottom w:val="nil"/>
              <w:right w:val="nil"/>
            </w:tcBorders>
            <w:shd w:val="clear" w:color="000000" w:fill="FFFFFF"/>
            <w:noWrap/>
            <w:vAlign w:val="bottom"/>
            <w:hideMark/>
          </w:tcPr>
          <w:p w14:paraId="3927C85D"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Building social, presentation and communication skills</w:t>
            </w:r>
          </w:p>
        </w:tc>
        <w:tc>
          <w:tcPr>
            <w:tcW w:w="2126" w:type="dxa"/>
            <w:tcBorders>
              <w:top w:val="nil"/>
              <w:left w:val="nil"/>
              <w:bottom w:val="nil"/>
            </w:tcBorders>
            <w:shd w:val="clear" w:color="000000" w:fill="FFFFFF"/>
            <w:noWrap/>
            <w:vAlign w:val="bottom"/>
            <w:hideMark/>
          </w:tcPr>
          <w:p w14:paraId="463E6B7B" w14:textId="77777777" w:rsidR="003501D5" w:rsidRPr="00FB3515" w:rsidRDefault="003501D5" w:rsidP="004C43E1">
            <w:pPr>
              <w:jc w:val="center"/>
              <w:rPr>
                <w:rFonts w:asciiTheme="minorHAnsi" w:hAnsiTheme="minorHAnsi" w:cstheme="minorHAnsi"/>
                <w:b/>
                <w:bCs/>
                <w:color w:val="000000"/>
                <w:sz w:val="20"/>
                <w:szCs w:val="20"/>
                <w:lang w:eastAsia="zh-CN" w:bidi="th-TH"/>
              </w:rPr>
            </w:pPr>
            <w:r w:rsidRPr="00FB3515">
              <w:rPr>
                <w:rFonts w:asciiTheme="minorHAnsi" w:hAnsiTheme="minorHAnsi" w:cstheme="minorHAnsi"/>
                <w:b/>
                <w:bCs/>
                <w:color w:val="000000"/>
                <w:sz w:val="20"/>
                <w:szCs w:val="20"/>
                <w:lang w:eastAsia="zh-CN" w:bidi="th-TH"/>
              </w:rPr>
              <w:t>23%</w:t>
            </w:r>
          </w:p>
        </w:tc>
      </w:tr>
      <w:tr w:rsidR="003501D5" w:rsidRPr="00FB3515" w14:paraId="7D817610" w14:textId="77777777" w:rsidTr="00516802">
        <w:trPr>
          <w:trHeight w:val="255"/>
        </w:trPr>
        <w:tc>
          <w:tcPr>
            <w:tcW w:w="6663" w:type="dxa"/>
            <w:tcBorders>
              <w:top w:val="nil"/>
              <w:bottom w:val="nil"/>
              <w:right w:val="nil"/>
            </w:tcBorders>
            <w:shd w:val="clear" w:color="000000" w:fill="FFFFFF"/>
            <w:noWrap/>
            <w:vAlign w:val="bottom"/>
            <w:hideMark/>
          </w:tcPr>
          <w:p w14:paraId="2A90F877"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Travel training</w:t>
            </w:r>
          </w:p>
        </w:tc>
        <w:tc>
          <w:tcPr>
            <w:tcW w:w="2126" w:type="dxa"/>
            <w:tcBorders>
              <w:top w:val="nil"/>
              <w:left w:val="nil"/>
              <w:bottom w:val="nil"/>
            </w:tcBorders>
            <w:shd w:val="clear" w:color="000000" w:fill="FFFFFF"/>
            <w:noWrap/>
            <w:vAlign w:val="bottom"/>
            <w:hideMark/>
          </w:tcPr>
          <w:p w14:paraId="1698C31A"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4%</w:t>
            </w:r>
          </w:p>
        </w:tc>
      </w:tr>
      <w:tr w:rsidR="003501D5" w:rsidRPr="00FB3515" w14:paraId="471A7BD6" w14:textId="77777777" w:rsidTr="00516802">
        <w:trPr>
          <w:trHeight w:val="255"/>
        </w:trPr>
        <w:tc>
          <w:tcPr>
            <w:tcW w:w="6663" w:type="dxa"/>
            <w:tcBorders>
              <w:top w:val="nil"/>
              <w:bottom w:val="nil"/>
              <w:right w:val="nil"/>
            </w:tcBorders>
            <w:shd w:val="clear" w:color="000000" w:fill="FFFFFF"/>
            <w:noWrap/>
            <w:vAlign w:val="bottom"/>
            <w:hideMark/>
          </w:tcPr>
          <w:p w14:paraId="6A9B37CD"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Work skills training</w:t>
            </w:r>
          </w:p>
        </w:tc>
        <w:tc>
          <w:tcPr>
            <w:tcW w:w="2126" w:type="dxa"/>
            <w:tcBorders>
              <w:top w:val="nil"/>
              <w:left w:val="nil"/>
              <w:bottom w:val="nil"/>
            </w:tcBorders>
            <w:shd w:val="clear" w:color="000000" w:fill="FFFFFF"/>
            <w:noWrap/>
            <w:vAlign w:val="bottom"/>
            <w:hideMark/>
          </w:tcPr>
          <w:p w14:paraId="5FB89434" w14:textId="77777777" w:rsidR="003501D5" w:rsidRPr="00FB3515" w:rsidRDefault="003501D5" w:rsidP="004C43E1">
            <w:pPr>
              <w:jc w:val="center"/>
              <w:rPr>
                <w:rFonts w:asciiTheme="minorHAnsi" w:hAnsiTheme="minorHAnsi" w:cstheme="minorHAnsi"/>
                <w:b/>
                <w:bCs/>
                <w:color w:val="000000"/>
                <w:sz w:val="20"/>
                <w:szCs w:val="20"/>
                <w:lang w:eastAsia="zh-CN" w:bidi="th-TH"/>
              </w:rPr>
            </w:pPr>
            <w:r w:rsidRPr="00FB3515">
              <w:rPr>
                <w:rFonts w:asciiTheme="minorHAnsi" w:hAnsiTheme="minorHAnsi" w:cstheme="minorHAnsi"/>
                <w:b/>
                <w:bCs/>
                <w:color w:val="000000"/>
                <w:sz w:val="20"/>
                <w:szCs w:val="20"/>
                <w:lang w:eastAsia="zh-CN" w:bidi="th-TH"/>
              </w:rPr>
              <w:t>24%</w:t>
            </w:r>
          </w:p>
        </w:tc>
      </w:tr>
      <w:tr w:rsidR="003501D5" w:rsidRPr="00FB3515" w14:paraId="3AA842F5" w14:textId="77777777" w:rsidTr="00516802">
        <w:trPr>
          <w:trHeight w:val="255"/>
        </w:trPr>
        <w:tc>
          <w:tcPr>
            <w:tcW w:w="6663" w:type="dxa"/>
            <w:tcBorders>
              <w:top w:val="nil"/>
              <w:bottom w:val="nil"/>
              <w:right w:val="nil"/>
            </w:tcBorders>
            <w:shd w:val="clear" w:color="000000" w:fill="FFFFFF"/>
            <w:noWrap/>
            <w:vAlign w:val="bottom"/>
            <w:hideMark/>
          </w:tcPr>
          <w:p w14:paraId="5E0D9EA0"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Employer engagement education and job customisation</w:t>
            </w:r>
          </w:p>
        </w:tc>
        <w:tc>
          <w:tcPr>
            <w:tcW w:w="2126" w:type="dxa"/>
            <w:tcBorders>
              <w:top w:val="nil"/>
              <w:left w:val="nil"/>
              <w:bottom w:val="nil"/>
            </w:tcBorders>
            <w:shd w:val="clear" w:color="000000" w:fill="FFFFFF"/>
            <w:noWrap/>
            <w:vAlign w:val="bottom"/>
            <w:hideMark/>
          </w:tcPr>
          <w:p w14:paraId="4B8B50D1"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5%</w:t>
            </w:r>
          </w:p>
        </w:tc>
      </w:tr>
      <w:tr w:rsidR="003501D5" w:rsidRPr="00FB3515" w14:paraId="195199E6" w14:textId="77777777" w:rsidTr="00516802">
        <w:trPr>
          <w:trHeight w:val="255"/>
        </w:trPr>
        <w:tc>
          <w:tcPr>
            <w:tcW w:w="6663" w:type="dxa"/>
            <w:tcBorders>
              <w:top w:val="nil"/>
              <w:bottom w:val="nil"/>
              <w:right w:val="nil"/>
            </w:tcBorders>
            <w:shd w:val="clear" w:color="000000" w:fill="FFFFFF"/>
            <w:noWrap/>
            <w:vAlign w:val="bottom"/>
            <w:hideMark/>
          </w:tcPr>
          <w:p w14:paraId="641D9375"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Work experience support (on the job)</w:t>
            </w:r>
          </w:p>
        </w:tc>
        <w:tc>
          <w:tcPr>
            <w:tcW w:w="2126" w:type="dxa"/>
            <w:tcBorders>
              <w:top w:val="nil"/>
              <w:left w:val="nil"/>
              <w:bottom w:val="nil"/>
            </w:tcBorders>
            <w:shd w:val="clear" w:color="000000" w:fill="FFFFFF"/>
            <w:noWrap/>
            <w:vAlign w:val="bottom"/>
            <w:hideMark/>
          </w:tcPr>
          <w:p w14:paraId="5DAEE344" w14:textId="77777777" w:rsidR="003501D5" w:rsidRPr="00FB3515" w:rsidRDefault="003501D5" w:rsidP="004C43E1">
            <w:pPr>
              <w:jc w:val="center"/>
              <w:rPr>
                <w:rFonts w:asciiTheme="minorHAnsi" w:hAnsiTheme="minorHAnsi" w:cstheme="minorHAnsi"/>
                <w:b/>
                <w:bCs/>
                <w:color w:val="000000"/>
                <w:sz w:val="20"/>
                <w:szCs w:val="20"/>
                <w:lang w:eastAsia="zh-CN" w:bidi="th-TH"/>
              </w:rPr>
            </w:pPr>
            <w:r w:rsidRPr="00FB3515">
              <w:rPr>
                <w:rFonts w:asciiTheme="minorHAnsi" w:hAnsiTheme="minorHAnsi" w:cstheme="minorHAnsi"/>
                <w:b/>
                <w:bCs/>
                <w:color w:val="000000"/>
                <w:sz w:val="20"/>
                <w:szCs w:val="20"/>
                <w:lang w:eastAsia="zh-CN" w:bidi="th-TH"/>
              </w:rPr>
              <w:t>13%</w:t>
            </w:r>
          </w:p>
        </w:tc>
      </w:tr>
      <w:tr w:rsidR="003501D5" w:rsidRPr="00FB3515" w14:paraId="7B6C2D36" w14:textId="77777777" w:rsidTr="00516802">
        <w:trPr>
          <w:trHeight w:val="255"/>
        </w:trPr>
        <w:tc>
          <w:tcPr>
            <w:tcW w:w="6663" w:type="dxa"/>
            <w:tcBorders>
              <w:top w:val="nil"/>
              <w:bottom w:val="nil"/>
              <w:right w:val="nil"/>
            </w:tcBorders>
            <w:shd w:val="clear" w:color="000000" w:fill="FFFFFF"/>
            <w:noWrap/>
            <w:vAlign w:val="bottom"/>
            <w:hideMark/>
          </w:tcPr>
          <w:p w14:paraId="6A89B922"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Other (Field 1)</w:t>
            </w:r>
          </w:p>
        </w:tc>
        <w:tc>
          <w:tcPr>
            <w:tcW w:w="2126" w:type="dxa"/>
            <w:tcBorders>
              <w:top w:val="nil"/>
              <w:left w:val="nil"/>
              <w:bottom w:val="nil"/>
            </w:tcBorders>
            <w:shd w:val="clear" w:color="000000" w:fill="FFFFFF"/>
            <w:noWrap/>
            <w:vAlign w:val="bottom"/>
            <w:hideMark/>
          </w:tcPr>
          <w:p w14:paraId="4090507A"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3%</w:t>
            </w:r>
          </w:p>
        </w:tc>
      </w:tr>
      <w:tr w:rsidR="003501D5" w:rsidRPr="00FB3515" w14:paraId="30989105" w14:textId="77777777" w:rsidTr="00516802">
        <w:trPr>
          <w:trHeight w:val="255"/>
        </w:trPr>
        <w:tc>
          <w:tcPr>
            <w:tcW w:w="6663" w:type="dxa"/>
            <w:tcBorders>
              <w:top w:val="nil"/>
              <w:bottom w:val="single" w:sz="4" w:space="0" w:color="auto"/>
              <w:right w:val="nil"/>
            </w:tcBorders>
            <w:shd w:val="clear" w:color="000000" w:fill="FFFFFF"/>
            <w:noWrap/>
            <w:vAlign w:val="bottom"/>
            <w:hideMark/>
          </w:tcPr>
          <w:p w14:paraId="000F691B" w14:textId="77777777" w:rsidR="003501D5" w:rsidRPr="00FB3515" w:rsidRDefault="003501D5" w:rsidP="004C43E1">
            <w:pP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Other (Field 2)</w:t>
            </w:r>
          </w:p>
        </w:tc>
        <w:tc>
          <w:tcPr>
            <w:tcW w:w="2126" w:type="dxa"/>
            <w:tcBorders>
              <w:top w:val="nil"/>
              <w:left w:val="nil"/>
              <w:bottom w:val="single" w:sz="4" w:space="0" w:color="auto"/>
            </w:tcBorders>
            <w:shd w:val="clear" w:color="000000" w:fill="FFFFFF"/>
            <w:noWrap/>
            <w:vAlign w:val="bottom"/>
            <w:hideMark/>
          </w:tcPr>
          <w:p w14:paraId="6A3FE747" w14:textId="77777777" w:rsidR="003501D5" w:rsidRPr="00FB3515" w:rsidRDefault="003501D5" w:rsidP="004C43E1">
            <w:pPr>
              <w:jc w:val="center"/>
              <w:rPr>
                <w:rFonts w:asciiTheme="minorHAnsi" w:hAnsiTheme="minorHAnsi" w:cstheme="minorHAnsi"/>
                <w:color w:val="000000"/>
                <w:sz w:val="20"/>
                <w:szCs w:val="20"/>
                <w:lang w:eastAsia="zh-CN" w:bidi="th-TH"/>
              </w:rPr>
            </w:pPr>
            <w:r w:rsidRPr="00FB3515">
              <w:rPr>
                <w:rFonts w:asciiTheme="minorHAnsi" w:hAnsiTheme="minorHAnsi" w:cstheme="minorHAnsi"/>
                <w:color w:val="000000"/>
                <w:sz w:val="20"/>
                <w:szCs w:val="20"/>
                <w:lang w:eastAsia="zh-CN" w:bidi="th-TH"/>
              </w:rPr>
              <w:t>1%</w:t>
            </w:r>
          </w:p>
        </w:tc>
      </w:tr>
    </w:tbl>
    <w:p w14:paraId="68004874" w14:textId="179DD036" w:rsidR="003501D5" w:rsidRDefault="003501D5" w:rsidP="00FB3515">
      <w:pPr>
        <w:pStyle w:val="Table"/>
      </w:pPr>
      <w:r>
        <w:t>Table adapted from NDIA (2022a), p. 17.</w:t>
      </w:r>
    </w:p>
    <w:p w14:paraId="1C495999" w14:textId="77777777" w:rsidR="00FB3515" w:rsidRDefault="00FB3515" w:rsidP="00FB3515">
      <w:pPr>
        <w:pStyle w:val="Table"/>
      </w:pPr>
    </w:p>
    <w:p w14:paraId="6DE86999" w14:textId="77777777" w:rsidR="003501D5" w:rsidRDefault="003501D5" w:rsidP="005521C7">
      <w:pPr>
        <w:pStyle w:val="Normal4"/>
      </w:pPr>
      <w:r>
        <w:t>While the 2021 data (NDIA, 2022a) in Table 2 identifies the proportion of support time spent on each activity for each participant, data from an earlier 2018 SLES cohort identifies the proportion of the cohort receiving specific types of support. This data suggests that only a proportion are receiving effective support in these areas:</w:t>
      </w:r>
    </w:p>
    <w:p w14:paraId="0827FC29" w14:textId="77777777" w:rsidR="003501D5" w:rsidRPr="00820A48" w:rsidRDefault="003501D5" w:rsidP="003973A8">
      <w:pPr>
        <w:pStyle w:val="dotpoints"/>
      </w:pPr>
      <w:r w:rsidRPr="00820A48">
        <w:t>44% of these participants reported that their SLES provider helped them arrange work experience in a role they were interested in (and a further 18% in a role they were not interested in</w:t>
      </w:r>
      <w:proofErr w:type="gramStart"/>
      <w:r w:rsidRPr="00820A48">
        <w:t>)</w:t>
      </w:r>
      <w:r>
        <w:t>;</w:t>
      </w:r>
      <w:proofErr w:type="gramEnd"/>
    </w:p>
    <w:p w14:paraId="010161D4" w14:textId="53518985" w:rsidR="003501D5" w:rsidRPr="00820A48" w:rsidRDefault="003501D5" w:rsidP="003973A8">
      <w:pPr>
        <w:pStyle w:val="dotpoints"/>
      </w:pPr>
      <w:r w:rsidRPr="00820A48">
        <w:t xml:space="preserve">57% said they were supported on the job by the </w:t>
      </w:r>
      <w:r w:rsidR="00C65F6F">
        <w:t xml:space="preserve">SLES </w:t>
      </w:r>
      <w:r w:rsidRPr="00820A48">
        <w:t>provider during work experience, with a further 35% reporting that while they were supported</w:t>
      </w:r>
      <w:r w:rsidR="00207A08">
        <w:t>,</w:t>
      </w:r>
      <w:r w:rsidRPr="00820A48">
        <w:t xml:space="preserve"> they needed more support than they were given, and 8% received no support</w:t>
      </w:r>
      <w:r>
        <w:t>. Support on the job is a potentially important element of SLES provision, given the wider context where NDIA participants aged 15-24 have identified that they are inadequately supported on the job when in open employment and are largely reliant on the employer to provide support (NDIA, 2020).</w:t>
      </w:r>
    </w:p>
    <w:p w14:paraId="6A7046A5" w14:textId="356A7709" w:rsidR="00C65F6F" w:rsidRDefault="003501D5" w:rsidP="003973A8">
      <w:pPr>
        <w:pStyle w:val="dotpoints"/>
      </w:pPr>
      <w:r w:rsidRPr="00820A48">
        <w:t>30% said that they were supported to undertake courses related to employment goals (NDIA, 2022b)</w:t>
      </w:r>
      <w:r w:rsidR="00C65F6F">
        <w:t>.</w:t>
      </w:r>
    </w:p>
    <w:p w14:paraId="506566D7" w14:textId="3A2082E2" w:rsidR="00C65F6F" w:rsidRPr="00820A48" w:rsidRDefault="008D0500" w:rsidP="005521C7">
      <w:pPr>
        <w:pStyle w:val="Normal4"/>
      </w:pPr>
      <w:r>
        <w:t>Around half</w:t>
      </w:r>
      <w:r w:rsidR="00C65F6F">
        <w:t xml:space="preserve"> of SLES participants are receiving support in relevant areas to their employment support needs.</w:t>
      </w:r>
    </w:p>
    <w:p w14:paraId="3F8D6E2F" w14:textId="77777777" w:rsidR="003501D5" w:rsidRDefault="003501D5" w:rsidP="003501D5">
      <w:pPr>
        <w:pStyle w:val="Heading3"/>
      </w:pPr>
      <w:r>
        <w:t>Outcomes</w:t>
      </w:r>
    </w:p>
    <w:p w14:paraId="2FC8CE10" w14:textId="2CC870F6" w:rsidR="003501D5" w:rsidRPr="00ED7711" w:rsidRDefault="003501D5" w:rsidP="005521C7">
      <w:pPr>
        <w:pStyle w:val="Normal4"/>
      </w:pPr>
      <w:r>
        <w:t xml:space="preserve">Overall, the reported outcomes of SLES are moderate, with some elements echoing evidence from research, such as work experience </w:t>
      </w:r>
      <w:r w:rsidR="00C65F6F">
        <w:t>a</w:t>
      </w:r>
      <w:r>
        <w:t xml:space="preserve">s a predictor of employment outcomes (NDIA, 2022a). However, the modest SLES outcomes do not appear to have greatly impacted employment outcomes </w:t>
      </w:r>
      <w:r w:rsidR="00497F3A">
        <w:t xml:space="preserve">for this age cohort </w:t>
      </w:r>
      <w:r>
        <w:t>overall</w:t>
      </w:r>
      <w:r w:rsidR="00C65F6F">
        <w:t>.</w:t>
      </w:r>
      <w:r>
        <w:t xml:space="preserve"> NDIS data indicates that the rates of young people without work but wanting work remains consistent (at 51%) between entry and four years</w:t>
      </w:r>
      <w:r w:rsidR="00C65F6F">
        <w:t xml:space="preserve"> post SLES commencement</w:t>
      </w:r>
      <w:r>
        <w:t xml:space="preserve"> (NDIA, 2020).</w:t>
      </w:r>
    </w:p>
    <w:p w14:paraId="45961AD2" w14:textId="6C16A835" w:rsidR="003501D5" w:rsidRDefault="003501D5" w:rsidP="005521C7">
      <w:pPr>
        <w:pStyle w:val="Normal4"/>
      </w:pPr>
      <w:r>
        <w:t xml:space="preserve">The NDIA reports that longitudinal data on employment supports from the NDIA Office of the Scheme Actuary, shows that of those receiving SLES at 2 years, 10% more are in paid employment than those in a matched comparison group (NDIA, 2022b). Similarly, modelling of NDIA data from 2020 shows that a higher proportion of NDIS participants who received SLES than those who did not were in non-ADE employment at </w:t>
      </w:r>
      <w:r w:rsidR="00293659">
        <w:t xml:space="preserve">the </w:t>
      </w:r>
      <w:r>
        <w:t>end of the one year review period</w:t>
      </w:r>
      <w:r w:rsidR="00915A00">
        <w:t>,</w:t>
      </w:r>
      <w:r>
        <w:t xml:space="preserve"> and fewer were in ADE employment (NDIA. 2020, p. 149). </w:t>
      </w:r>
      <w:r w:rsidR="00C65F6F">
        <w:t>A</w:t>
      </w:r>
      <w:r>
        <w:t xml:space="preserve">lmost double the proportion of SLES participants were in non </w:t>
      </w:r>
      <w:r>
        <w:lastRenderedPageBreak/>
        <w:t xml:space="preserve">ADE employment two years after SLES than a similar group who had not received SLES (15% vs 8%) (NDIA, 2020). While the proportion of SLES participants with such outcomes is </w:t>
      </w:r>
      <w:r w:rsidR="00C65F6F">
        <w:t>small</w:t>
      </w:r>
      <w:r>
        <w:t>, these results appear to indicate a comparative benefit to SLES participation.</w:t>
      </w:r>
    </w:p>
    <w:p w14:paraId="2A8FD06B" w14:textId="7E3ED7D8" w:rsidR="003501D5" w:rsidRDefault="003501D5" w:rsidP="005521C7">
      <w:pPr>
        <w:pStyle w:val="Normal4"/>
      </w:pPr>
      <w:r>
        <w:t xml:space="preserve">In 2021, despite </w:t>
      </w:r>
      <w:proofErr w:type="gramStart"/>
      <w:r>
        <w:t>the majority of</w:t>
      </w:r>
      <w:proofErr w:type="gramEnd"/>
      <w:r>
        <w:t xml:space="preserve"> time being dedicated to skills training, progress was moderate</w:t>
      </w:r>
      <w:r w:rsidR="000A0807">
        <w:t xml:space="preserve"> (NDIA, 2022a)</w:t>
      </w:r>
      <w:r>
        <w:t xml:space="preserve">. Across support areas, in the main, less than one third </w:t>
      </w:r>
      <w:r w:rsidR="00C65F6F">
        <w:t xml:space="preserve">of participants </w:t>
      </w:r>
      <w:r>
        <w:t>achieved their goals or made significant progress. Around two thirds made ‘some progress’ at the reporting point at each quarter.</w:t>
      </w:r>
    </w:p>
    <w:p w14:paraId="6A3B6273" w14:textId="77777777" w:rsidR="003501D5" w:rsidRDefault="003501D5" w:rsidP="003973A8">
      <w:pPr>
        <w:pStyle w:val="dotpoints"/>
      </w:pPr>
      <w:r>
        <w:t>For Social, presentation and communication skills: 1% fully achieved goals; 24% had significant progress; 69% had some progress; 5% had no progress.</w:t>
      </w:r>
    </w:p>
    <w:p w14:paraId="033CBDDB" w14:textId="77777777" w:rsidR="003501D5" w:rsidRDefault="003501D5" w:rsidP="003973A8">
      <w:pPr>
        <w:pStyle w:val="dotpoints"/>
      </w:pPr>
      <w:r>
        <w:t>For Work skills: 5% fully achieved goals; 25% had significant progress; 64% had some progress; 6% had no progress.</w:t>
      </w:r>
    </w:p>
    <w:p w14:paraId="4C4C397F" w14:textId="77777777" w:rsidR="003501D5" w:rsidRDefault="003501D5" w:rsidP="003973A8">
      <w:pPr>
        <w:pStyle w:val="dotpoints"/>
      </w:pPr>
      <w:r>
        <w:t>For Work experience: 3% fully achieved goals; 40% had significant progress; 52% had some progress; 5% had no progress.</w:t>
      </w:r>
    </w:p>
    <w:p w14:paraId="2346AD29" w14:textId="2EB06C71" w:rsidR="003501D5" w:rsidRPr="00235F46" w:rsidRDefault="003501D5" w:rsidP="005521C7">
      <w:pPr>
        <w:pStyle w:val="Normal4"/>
      </w:pPr>
      <w:r w:rsidRPr="00422A96">
        <w:rPr>
          <w:rStyle w:val="normaltextrun"/>
          <w:color w:val="000000"/>
        </w:rPr>
        <w:t>This is echoed in earlier 2018 data</w:t>
      </w:r>
      <w:r>
        <w:rPr>
          <w:rStyle w:val="normaltextrun"/>
          <w:color w:val="000000"/>
        </w:rPr>
        <w:t xml:space="preserve"> </w:t>
      </w:r>
      <w:r w:rsidRPr="00422A96">
        <w:rPr>
          <w:rStyle w:val="normaltextrun"/>
          <w:color w:val="000000"/>
        </w:rPr>
        <w:t xml:space="preserve">that suggests that only </w:t>
      </w:r>
      <w:r w:rsidR="008560D6">
        <w:rPr>
          <w:rStyle w:val="normaltextrun"/>
          <w:color w:val="000000"/>
        </w:rPr>
        <w:t>46</w:t>
      </w:r>
      <w:r w:rsidRPr="00422A96">
        <w:rPr>
          <w:rStyle w:val="normaltextrun"/>
          <w:color w:val="000000"/>
        </w:rPr>
        <w:t>% of SLES participants felt that all support</w:t>
      </w:r>
      <w:r>
        <w:rPr>
          <w:rStyle w:val="normaltextrun"/>
          <w:color w:val="000000"/>
        </w:rPr>
        <w:t xml:space="preserve">s </w:t>
      </w:r>
      <w:r w:rsidR="008560D6">
        <w:rPr>
          <w:rStyle w:val="normaltextrun"/>
          <w:color w:val="000000"/>
        </w:rPr>
        <w:t>(23%)</w:t>
      </w:r>
      <w:r w:rsidR="000E237F">
        <w:rPr>
          <w:rStyle w:val="normaltextrun"/>
          <w:color w:val="000000"/>
        </w:rPr>
        <w:t>,</w:t>
      </w:r>
      <w:r w:rsidR="008560D6">
        <w:rPr>
          <w:rStyle w:val="normaltextrun"/>
          <w:color w:val="000000"/>
        </w:rPr>
        <w:t xml:space="preserve"> </w:t>
      </w:r>
      <w:r>
        <w:rPr>
          <w:rStyle w:val="normaltextrun"/>
          <w:color w:val="000000"/>
        </w:rPr>
        <w:t>or most supports (23%)</w:t>
      </w:r>
      <w:r w:rsidR="000E237F">
        <w:rPr>
          <w:rStyle w:val="normaltextrun"/>
          <w:color w:val="000000"/>
        </w:rPr>
        <w:t>,</w:t>
      </w:r>
      <w:r w:rsidRPr="00422A96">
        <w:rPr>
          <w:rStyle w:val="normaltextrun"/>
          <w:color w:val="000000"/>
        </w:rPr>
        <w:t xml:space="preserve"> helped them in achieving employment goals</w:t>
      </w:r>
      <w:r>
        <w:rPr>
          <w:rStyle w:val="normaltextrun"/>
          <w:color w:val="000000"/>
        </w:rPr>
        <w:t xml:space="preserve">, with 15% noting that no supports helped </w:t>
      </w:r>
      <w:r w:rsidRPr="00422A96">
        <w:rPr>
          <w:rStyle w:val="normaltextrun"/>
          <w:color w:val="000000"/>
        </w:rPr>
        <w:t>(NDIA, 2022b).</w:t>
      </w:r>
    </w:p>
    <w:p w14:paraId="311A9119" w14:textId="2345D1A1" w:rsidR="003501D5" w:rsidRDefault="003501D5" w:rsidP="001565B8">
      <w:pPr>
        <w:pStyle w:val="Normal4"/>
        <w:rPr>
          <w:rStyle w:val="normaltextrun"/>
          <w:rFonts w:ascii="Times New Roman" w:eastAsiaTheme="minorEastAsia" w:hAnsi="Times New Roman"/>
          <w:color w:val="000000"/>
        </w:rPr>
      </w:pPr>
      <w:r>
        <w:rPr>
          <w:rStyle w:val="normaltextrun"/>
          <w:color w:val="000000"/>
        </w:rPr>
        <w:t>Of those who exited SLES in 2021</w:t>
      </w:r>
      <w:r w:rsidR="00A327D7">
        <w:rPr>
          <w:rStyle w:val="normaltextrun"/>
          <w:color w:val="000000"/>
        </w:rPr>
        <w:t xml:space="preserve">, </w:t>
      </w:r>
      <w:r w:rsidR="003973A8">
        <w:rPr>
          <w:rStyle w:val="normaltextrun"/>
          <w:rFonts w:eastAsiaTheme="minorEastAsia"/>
          <w:color w:val="000000"/>
        </w:rPr>
        <w:t>m</w:t>
      </w:r>
      <w:r w:rsidRPr="003B1961">
        <w:rPr>
          <w:rStyle w:val="normaltextrun"/>
          <w:rFonts w:eastAsiaTheme="minorEastAsia"/>
          <w:color w:val="000000"/>
        </w:rPr>
        <w:t xml:space="preserve">ost </w:t>
      </w:r>
      <w:r>
        <w:rPr>
          <w:rStyle w:val="normaltextrun"/>
          <w:rFonts w:eastAsiaTheme="minorEastAsia"/>
          <w:color w:val="000000"/>
        </w:rPr>
        <w:t xml:space="preserve">(46%) </w:t>
      </w:r>
      <w:r w:rsidRPr="003B1961">
        <w:rPr>
          <w:rStyle w:val="normaltextrun"/>
          <w:rFonts w:eastAsiaTheme="minorEastAsia"/>
          <w:color w:val="000000"/>
        </w:rPr>
        <w:t>did not have an employment outcome</w:t>
      </w:r>
      <w:r>
        <w:rPr>
          <w:rStyle w:val="normaltextrun"/>
          <w:rFonts w:eastAsiaTheme="minorEastAsia"/>
          <w:color w:val="000000"/>
        </w:rPr>
        <w:t xml:space="preserve">. </w:t>
      </w:r>
      <w:r w:rsidRPr="00555396">
        <w:rPr>
          <w:rStyle w:val="normaltextrun"/>
          <w:rFonts w:eastAsiaTheme="minorEastAsia"/>
          <w:b/>
          <w:bCs/>
          <w:color w:val="000000"/>
        </w:rPr>
        <w:t>Non employment</w:t>
      </w:r>
      <w:r>
        <w:rPr>
          <w:rStyle w:val="normaltextrun"/>
          <w:rFonts w:eastAsiaTheme="minorEastAsia"/>
          <w:color w:val="000000"/>
        </w:rPr>
        <w:t xml:space="preserve"> outcomes included:</w:t>
      </w:r>
    </w:p>
    <w:p w14:paraId="633D36EF" w14:textId="77777777"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4% entered education or further study</w:t>
      </w:r>
      <w:r w:rsidRPr="003B1961">
        <w:rPr>
          <w:rStyle w:val="normaltextrun"/>
          <w:rFonts w:eastAsiaTheme="minorEastAsia" w:cs="Arial"/>
          <w:color w:val="000000"/>
        </w:rPr>
        <w:t xml:space="preserve"> </w:t>
      </w:r>
      <w:r>
        <w:rPr>
          <w:rStyle w:val="normaltextrun"/>
          <w:rFonts w:eastAsiaTheme="minorEastAsia" w:cs="Arial"/>
          <w:color w:val="000000"/>
        </w:rPr>
        <w:t>(9% in 2018 data, NDIA, 2022b)</w:t>
      </w:r>
    </w:p>
    <w:p w14:paraId="3E715A46" w14:textId="77777777"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10% undertook volunteering or other unpaid work experience (9% in 2018 data, NDIA, 2022b)</w:t>
      </w:r>
    </w:p>
    <w:p w14:paraId="1DA0F50A" w14:textId="77777777"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2% of participants were referred to DES (12% in 2018 data, NDIA, 2022b)</w:t>
      </w:r>
    </w:p>
    <w:p w14:paraId="42E550A8" w14:textId="77777777"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4% were referred to another provider (5% in 2018 data, NDIA, 2022b)</w:t>
      </w:r>
    </w:p>
    <w:p w14:paraId="72541691" w14:textId="77777777"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26% exited SLES (no other data provided).</w:t>
      </w:r>
    </w:p>
    <w:p w14:paraId="1EF2BB34" w14:textId="1909BB93"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 xml:space="preserve">whereas the 2018 data shows 20% employed exited to </w:t>
      </w:r>
      <w:r w:rsidRPr="00555396">
        <w:rPr>
          <w:rStyle w:val="normaltextrun"/>
          <w:rFonts w:eastAsiaTheme="minorEastAsia" w:cs="Arial"/>
          <w:b/>
          <w:bCs/>
          <w:color w:val="000000"/>
        </w:rPr>
        <w:t>open employment</w:t>
      </w:r>
      <w:r>
        <w:rPr>
          <w:rStyle w:val="normaltextrun"/>
          <w:rFonts w:eastAsiaTheme="minorEastAsia" w:cs="Arial"/>
          <w:color w:val="000000"/>
        </w:rPr>
        <w:t xml:space="preserve"> (NDIA, 2022b), 2021 data shows 27% exited to open employment (5% full time, 43% part time, 34% casual, 4% </w:t>
      </w:r>
      <w:r w:rsidR="00E36FED">
        <w:rPr>
          <w:rStyle w:val="normaltextrun"/>
          <w:rFonts w:eastAsiaTheme="minorEastAsia" w:cs="Arial"/>
          <w:color w:val="000000"/>
        </w:rPr>
        <w:t>self-employed</w:t>
      </w:r>
      <w:r>
        <w:rPr>
          <w:rStyle w:val="normaltextrun"/>
          <w:rFonts w:eastAsiaTheme="minorEastAsia" w:cs="Arial"/>
          <w:color w:val="000000"/>
        </w:rPr>
        <w:t>)</w:t>
      </w:r>
    </w:p>
    <w:p w14:paraId="045164E4" w14:textId="54271B60" w:rsidR="003501D5" w:rsidRPr="00887204" w:rsidRDefault="003501D5" w:rsidP="003973A8">
      <w:pPr>
        <w:pStyle w:val="dotpoints"/>
        <w:rPr>
          <w:rStyle w:val="normaltextrun"/>
          <w:rFonts w:eastAsiaTheme="minorEastAsia" w:cs="Arial"/>
          <w:color w:val="000000"/>
        </w:rPr>
      </w:pPr>
      <w:r>
        <w:rPr>
          <w:rStyle w:val="normaltextrun"/>
          <w:rFonts w:eastAsiaTheme="minorEastAsia" w:cs="Arial"/>
          <w:color w:val="000000"/>
        </w:rPr>
        <w:t>1</w:t>
      </w:r>
      <w:r w:rsidR="00887204">
        <w:rPr>
          <w:rStyle w:val="normaltextrun"/>
          <w:rFonts w:eastAsiaTheme="minorEastAsia" w:cs="Arial"/>
          <w:color w:val="000000"/>
        </w:rPr>
        <w:t>6</w:t>
      </w:r>
      <w:r>
        <w:rPr>
          <w:rStyle w:val="normaltextrun"/>
          <w:rFonts w:eastAsiaTheme="minorEastAsia" w:cs="Arial"/>
          <w:color w:val="000000"/>
        </w:rPr>
        <w:t>% on full award wage</w:t>
      </w:r>
      <w:r w:rsidR="00887204">
        <w:rPr>
          <w:rStyle w:val="normaltextrun"/>
          <w:rFonts w:eastAsiaTheme="minorEastAsia" w:cs="Arial"/>
          <w:color w:val="000000"/>
        </w:rPr>
        <w:t xml:space="preserve"> (</w:t>
      </w:r>
      <w:r w:rsidRPr="00887204">
        <w:rPr>
          <w:rStyle w:val="normaltextrun"/>
          <w:rFonts w:eastAsiaTheme="minorEastAsia" w:cs="Arial"/>
          <w:color w:val="000000"/>
        </w:rPr>
        <w:t xml:space="preserve">6% </w:t>
      </w:r>
      <w:r w:rsidR="00887204">
        <w:rPr>
          <w:rStyle w:val="normaltextrun"/>
          <w:rFonts w:eastAsiaTheme="minorEastAsia" w:cs="Arial"/>
          <w:color w:val="000000"/>
        </w:rPr>
        <w:t>of these</w:t>
      </w:r>
      <w:r w:rsidRPr="00887204">
        <w:rPr>
          <w:rStyle w:val="normaltextrun"/>
          <w:rFonts w:eastAsiaTheme="minorEastAsia" w:cs="Arial"/>
          <w:color w:val="000000"/>
        </w:rPr>
        <w:t xml:space="preserve"> with assistance from DES</w:t>
      </w:r>
      <w:r w:rsidR="00887204">
        <w:rPr>
          <w:rStyle w:val="normaltextrun"/>
          <w:rFonts w:eastAsiaTheme="minorEastAsia" w:cs="Arial"/>
          <w:color w:val="000000"/>
        </w:rPr>
        <w:t>)</w:t>
      </w:r>
    </w:p>
    <w:p w14:paraId="05927A3D" w14:textId="6FE70CDF" w:rsidR="003501D5" w:rsidRPr="00887204" w:rsidRDefault="00887204" w:rsidP="003973A8">
      <w:pPr>
        <w:pStyle w:val="dotpoints"/>
        <w:rPr>
          <w:rStyle w:val="normaltextrun"/>
          <w:rFonts w:eastAsiaTheme="minorEastAsia" w:cs="Arial"/>
          <w:color w:val="000000"/>
        </w:rPr>
      </w:pPr>
      <w:r>
        <w:rPr>
          <w:rStyle w:val="normaltextrun"/>
          <w:rFonts w:eastAsiaTheme="minorEastAsia" w:cs="Arial"/>
          <w:color w:val="000000"/>
        </w:rPr>
        <w:t>10</w:t>
      </w:r>
      <w:r w:rsidR="003501D5">
        <w:rPr>
          <w:rStyle w:val="normaltextrun"/>
          <w:rFonts w:eastAsiaTheme="minorEastAsia" w:cs="Arial"/>
          <w:color w:val="000000"/>
        </w:rPr>
        <w:t>% on supported wage</w:t>
      </w:r>
      <w:r>
        <w:rPr>
          <w:rStyle w:val="normaltextrun"/>
          <w:rFonts w:eastAsiaTheme="minorEastAsia" w:cs="Arial"/>
          <w:color w:val="000000"/>
        </w:rPr>
        <w:t xml:space="preserve"> (</w:t>
      </w:r>
      <w:r w:rsidR="003501D5" w:rsidRPr="00887204">
        <w:rPr>
          <w:rStyle w:val="normaltextrun"/>
          <w:rFonts w:eastAsiaTheme="minorEastAsia" w:cs="Arial"/>
          <w:color w:val="000000"/>
        </w:rPr>
        <w:t xml:space="preserve">7% </w:t>
      </w:r>
      <w:r>
        <w:rPr>
          <w:rStyle w:val="normaltextrun"/>
          <w:rFonts w:eastAsiaTheme="minorEastAsia" w:cs="Arial"/>
          <w:color w:val="000000"/>
        </w:rPr>
        <w:t>of these</w:t>
      </w:r>
      <w:r w:rsidR="003501D5" w:rsidRPr="00887204">
        <w:rPr>
          <w:rStyle w:val="normaltextrun"/>
          <w:rFonts w:eastAsiaTheme="minorEastAsia" w:cs="Arial"/>
          <w:color w:val="000000"/>
        </w:rPr>
        <w:t xml:space="preserve"> with assistance from DES</w:t>
      </w:r>
      <w:r w:rsidR="00341C0A">
        <w:rPr>
          <w:rStyle w:val="normaltextrun"/>
          <w:rFonts w:eastAsiaTheme="minorEastAsia" w:cs="Arial"/>
          <w:color w:val="000000"/>
        </w:rPr>
        <w:t>)</w:t>
      </w:r>
    </w:p>
    <w:p w14:paraId="5F682224" w14:textId="60B1119C"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1% self-employed/micro enterprise (NDIA, 2022a)</w:t>
      </w:r>
    </w:p>
    <w:p w14:paraId="38F2B0D2" w14:textId="1ED322BB" w:rsidR="003501D5" w:rsidRPr="00555396" w:rsidRDefault="003501D5" w:rsidP="003973A8">
      <w:pPr>
        <w:pStyle w:val="dotpoints"/>
        <w:rPr>
          <w:rStyle w:val="normaltextrun"/>
          <w:rFonts w:eastAsiaTheme="minorEastAsia" w:cs="Arial"/>
          <w:color w:val="000000"/>
        </w:rPr>
      </w:pPr>
      <w:r w:rsidRPr="00555396">
        <w:rPr>
          <w:rStyle w:val="normaltextrun"/>
          <w:rFonts w:eastAsiaTheme="minorEastAsia" w:cs="Arial"/>
          <w:color w:val="000000"/>
        </w:rPr>
        <w:t xml:space="preserve">6% exited to an </w:t>
      </w:r>
      <w:r w:rsidRPr="00555396">
        <w:rPr>
          <w:rStyle w:val="normaltextrun"/>
          <w:rFonts w:eastAsiaTheme="minorEastAsia" w:cs="Arial"/>
          <w:b/>
          <w:bCs/>
          <w:color w:val="000000"/>
        </w:rPr>
        <w:t>ADE/supported employment</w:t>
      </w:r>
      <w:r w:rsidRPr="00555396">
        <w:rPr>
          <w:rStyle w:val="normaltextrun"/>
          <w:rFonts w:eastAsiaTheme="minorEastAsia" w:cs="Arial"/>
          <w:color w:val="000000"/>
        </w:rPr>
        <w:t xml:space="preserve"> (NDIA, 2022a). This is </w:t>
      </w:r>
      <w:proofErr w:type="gramStart"/>
      <w:r w:rsidRPr="00555396">
        <w:rPr>
          <w:rStyle w:val="normaltextrun"/>
          <w:rFonts w:eastAsiaTheme="minorEastAsia" w:cs="Arial"/>
          <w:color w:val="000000"/>
        </w:rPr>
        <w:t>similar to</w:t>
      </w:r>
      <w:proofErr w:type="gramEnd"/>
      <w:r w:rsidRPr="00555396">
        <w:rPr>
          <w:rStyle w:val="normaltextrun"/>
          <w:rFonts w:eastAsiaTheme="minorEastAsia" w:cs="Arial"/>
          <w:color w:val="000000"/>
        </w:rPr>
        <w:t xml:space="preserve"> 2018 data of 7% (NDIA, 2022b). Interestingly, this level of exit to an ADE is far less than the 23% of NDIS participants aged 15-24 having a job in an ADE (NDIA, 2020)</w:t>
      </w:r>
    </w:p>
    <w:p w14:paraId="517637CA" w14:textId="77777777" w:rsidR="003501D5" w:rsidRPr="00555396" w:rsidRDefault="003501D5" w:rsidP="003973A8">
      <w:pPr>
        <w:pStyle w:val="dotpoints"/>
        <w:rPr>
          <w:rStyle w:val="normaltextrun"/>
          <w:rFonts w:eastAsiaTheme="minorEastAsia" w:cs="Arial"/>
          <w:color w:val="000000"/>
        </w:rPr>
      </w:pPr>
      <w:r>
        <w:rPr>
          <w:rStyle w:val="normaltextrun"/>
          <w:rFonts w:eastAsiaTheme="minorEastAsia" w:cs="Arial"/>
          <w:color w:val="000000"/>
        </w:rPr>
        <w:t>the remainder are unknown (NDIA, 2022a).</w:t>
      </w:r>
    </w:p>
    <w:p w14:paraId="3F470F82" w14:textId="77777777" w:rsidR="003501D5" w:rsidRPr="001E3F8D" w:rsidRDefault="003501D5" w:rsidP="005521C7">
      <w:pPr>
        <w:pStyle w:val="Normal4"/>
        <w:rPr>
          <w:rStyle w:val="normaltextrun"/>
          <w:color w:val="000000"/>
        </w:rPr>
      </w:pPr>
      <w:r>
        <w:rPr>
          <w:rStyle w:val="normaltextrun"/>
          <w:color w:val="000000"/>
        </w:rPr>
        <w:t>However, other data shows an increase in employment outcomes over time since SLES exit, increasing to 33% in open employment, and 7% in ADEs across the subsequent two years post exit (NDIA, 2022b).</w:t>
      </w:r>
    </w:p>
    <w:p w14:paraId="242AC0E0" w14:textId="029C7093" w:rsidR="003501D5" w:rsidRDefault="00227B3C" w:rsidP="005521C7">
      <w:pPr>
        <w:pStyle w:val="Normal4"/>
        <w:rPr>
          <w:rStyle w:val="normaltextrun"/>
          <w:color w:val="000000"/>
        </w:rPr>
      </w:pPr>
      <w:r>
        <w:rPr>
          <w:rStyle w:val="normaltextrun"/>
          <w:color w:val="000000"/>
        </w:rPr>
        <w:t>The majority of SLES participants worked 15-21 hours per week on exit.</w:t>
      </w:r>
      <w:r w:rsidR="00E36FED">
        <w:rPr>
          <w:rStyle w:val="normaltextrun"/>
          <w:color w:val="000000"/>
        </w:rPr>
        <w:t xml:space="preserve"> </w:t>
      </w:r>
      <w:r>
        <w:rPr>
          <w:rStyle w:val="normaltextrun"/>
          <w:color w:val="000000"/>
        </w:rPr>
        <w:t>H</w:t>
      </w:r>
      <w:r w:rsidR="003501D5">
        <w:rPr>
          <w:rStyle w:val="normaltextrun"/>
          <w:color w:val="000000"/>
        </w:rPr>
        <w:t>ours worked by 2021 participants exiting SLES to employment</w:t>
      </w:r>
      <w:r>
        <w:rPr>
          <w:rStyle w:val="normaltextrun"/>
          <w:color w:val="000000"/>
        </w:rPr>
        <w:t xml:space="preserve"> were</w:t>
      </w:r>
      <w:r w:rsidR="003501D5">
        <w:rPr>
          <w:rStyle w:val="normaltextrun"/>
          <w:color w:val="000000"/>
        </w:rPr>
        <w:t>:</w:t>
      </w:r>
    </w:p>
    <w:p w14:paraId="17361244" w14:textId="4B16E043"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0-7/w</w:t>
      </w:r>
      <w:r w:rsidR="00C06BE9">
        <w:rPr>
          <w:rStyle w:val="normaltextrun"/>
          <w:rFonts w:eastAsiaTheme="minorEastAsia" w:cs="Arial"/>
          <w:color w:val="000000"/>
        </w:rPr>
        <w:t>ee</w:t>
      </w:r>
      <w:r>
        <w:rPr>
          <w:rStyle w:val="normaltextrun"/>
          <w:rFonts w:eastAsiaTheme="minorEastAsia" w:cs="Arial"/>
          <w:color w:val="000000"/>
        </w:rPr>
        <w:t>k</w:t>
      </w:r>
      <w:r w:rsidR="00E36FED">
        <w:rPr>
          <w:rStyle w:val="normaltextrun"/>
          <w:rFonts w:eastAsiaTheme="minorEastAsia" w:cs="Arial"/>
          <w:color w:val="000000"/>
        </w:rPr>
        <w:t xml:space="preserve"> </w:t>
      </w:r>
      <w:r>
        <w:rPr>
          <w:rStyle w:val="normaltextrun"/>
          <w:rFonts w:eastAsiaTheme="minorEastAsia" w:cs="Arial"/>
          <w:color w:val="000000"/>
        </w:rPr>
        <w:t>11%</w:t>
      </w:r>
    </w:p>
    <w:p w14:paraId="106779B9" w14:textId="4F52A13C"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8-14/w</w:t>
      </w:r>
      <w:r w:rsidR="00C06BE9">
        <w:rPr>
          <w:rStyle w:val="normaltextrun"/>
          <w:rFonts w:eastAsiaTheme="minorEastAsia" w:cs="Arial"/>
          <w:color w:val="000000"/>
        </w:rPr>
        <w:t>ee</w:t>
      </w:r>
      <w:r>
        <w:rPr>
          <w:rStyle w:val="normaltextrun"/>
          <w:rFonts w:eastAsiaTheme="minorEastAsia" w:cs="Arial"/>
          <w:color w:val="000000"/>
        </w:rPr>
        <w:t>k</w:t>
      </w:r>
      <w:r w:rsidR="00E36FED">
        <w:rPr>
          <w:rStyle w:val="normaltextrun"/>
          <w:rFonts w:eastAsiaTheme="minorEastAsia" w:cs="Arial"/>
          <w:color w:val="000000"/>
        </w:rPr>
        <w:t xml:space="preserve"> </w:t>
      </w:r>
      <w:r>
        <w:rPr>
          <w:rStyle w:val="normaltextrun"/>
          <w:rFonts w:eastAsiaTheme="minorEastAsia" w:cs="Arial"/>
          <w:color w:val="000000"/>
        </w:rPr>
        <w:t>24%</w:t>
      </w:r>
    </w:p>
    <w:p w14:paraId="6CB55877" w14:textId="30AA7E77"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t>15-21/w</w:t>
      </w:r>
      <w:r w:rsidR="00C06BE9">
        <w:rPr>
          <w:rStyle w:val="normaltextrun"/>
          <w:rFonts w:eastAsiaTheme="minorEastAsia" w:cs="Arial"/>
          <w:color w:val="000000"/>
        </w:rPr>
        <w:t>ee</w:t>
      </w:r>
      <w:r>
        <w:rPr>
          <w:rStyle w:val="normaltextrun"/>
          <w:rFonts w:eastAsiaTheme="minorEastAsia" w:cs="Arial"/>
          <w:color w:val="000000"/>
        </w:rPr>
        <w:t>k</w:t>
      </w:r>
      <w:r w:rsidR="00E36FED">
        <w:rPr>
          <w:rStyle w:val="normaltextrun"/>
          <w:rFonts w:eastAsiaTheme="minorEastAsia" w:cs="Arial"/>
          <w:color w:val="000000"/>
        </w:rPr>
        <w:t xml:space="preserve"> </w:t>
      </w:r>
      <w:r>
        <w:rPr>
          <w:rStyle w:val="normaltextrun"/>
          <w:rFonts w:eastAsiaTheme="minorEastAsia" w:cs="Arial"/>
          <w:color w:val="000000"/>
        </w:rPr>
        <w:t>36%</w:t>
      </w:r>
    </w:p>
    <w:p w14:paraId="040FB828" w14:textId="49BD59B3" w:rsidR="003501D5" w:rsidRDefault="003501D5" w:rsidP="003973A8">
      <w:pPr>
        <w:pStyle w:val="dotpoints"/>
        <w:rPr>
          <w:rStyle w:val="normaltextrun"/>
          <w:rFonts w:eastAsiaTheme="minorEastAsia" w:cs="Arial"/>
          <w:color w:val="000000"/>
        </w:rPr>
      </w:pPr>
      <w:r>
        <w:rPr>
          <w:rStyle w:val="normaltextrun"/>
          <w:rFonts w:eastAsiaTheme="minorEastAsia" w:cs="Arial"/>
          <w:color w:val="000000"/>
        </w:rPr>
        <w:lastRenderedPageBreak/>
        <w:t>22+/w</w:t>
      </w:r>
      <w:r w:rsidR="00C06BE9">
        <w:rPr>
          <w:rStyle w:val="normaltextrun"/>
          <w:rFonts w:eastAsiaTheme="minorEastAsia" w:cs="Arial"/>
          <w:color w:val="000000"/>
        </w:rPr>
        <w:t>ee</w:t>
      </w:r>
      <w:r>
        <w:rPr>
          <w:rStyle w:val="normaltextrun"/>
          <w:rFonts w:eastAsiaTheme="minorEastAsia" w:cs="Arial"/>
          <w:color w:val="000000"/>
        </w:rPr>
        <w:t>k 15% (NDIA, 2022a).</w:t>
      </w:r>
    </w:p>
    <w:p w14:paraId="6A1891CC" w14:textId="7D9C0892" w:rsidR="003501D5" w:rsidRDefault="003501D5" w:rsidP="005521C7">
      <w:pPr>
        <w:pStyle w:val="Normal4"/>
        <w:rPr>
          <w:rStyle w:val="normaltextrun"/>
          <w:color w:val="000000"/>
        </w:rPr>
      </w:pPr>
      <w:r>
        <w:rPr>
          <w:rStyle w:val="normaltextrun"/>
          <w:color w:val="000000"/>
        </w:rPr>
        <w:t xml:space="preserve">Most (29%) entered employed in hospitality and tourism, 19% in retail and consumer products, 16% in trades and services, </w:t>
      </w:r>
      <w:r w:rsidR="00227B3C">
        <w:rPr>
          <w:rStyle w:val="normaltextrun"/>
          <w:color w:val="000000"/>
        </w:rPr>
        <w:t xml:space="preserve">and </w:t>
      </w:r>
      <w:r>
        <w:rPr>
          <w:rStyle w:val="normaltextrun"/>
          <w:color w:val="000000"/>
        </w:rPr>
        <w:t xml:space="preserve">9% in manufacturing and operation (NDIA, 2022a). This has some similarities with employment data for NDIS participants (including SLES and non SLES) aged 15-24 years, where 13% had employment in retail, 11% in hospitality (NDIA, 2022, p. 56), </w:t>
      </w:r>
      <w:r w:rsidR="00227B3C">
        <w:rPr>
          <w:rStyle w:val="normaltextrun"/>
          <w:color w:val="000000"/>
        </w:rPr>
        <w:t xml:space="preserve">and </w:t>
      </w:r>
      <w:r>
        <w:rPr>
          <w:rStyle w:val="normaltextrun"/>
          <w:color w:val="000000"/>
        </w:rPr>
        <w:t xml:space="preserve">around 1% had </w:t>
      </w:r>
      <w:r w:rsidR="00E36FED">
        <w:rPr>
          <w:rStyle w:val="normaltextrun"/>
          <w:color w:val="000000"/>
        </w:rPr>
        <w:t>self-employment</w:t>
      </w:r>
      <w:r>
        <w:rPr>
          <w:rStyle w:val="normaltextrun"/>
          <w:color w:val="000000"/>
        </w:rPr>
        <w:t xml:space="preserve">, though the categories and figures are not easily comparable. A key question requiring more data is whether SLES offers a full scope of employment outcomes, or overly narrows fields and types of employment. </w:t>
      </w:r>
    </w:p>
    <w:p w14:paraId="4B9E32F3" w14:textId="459306FE" w:rsidR="003501D5" w:rsidRDefault="003501D5" w:rsidP="005521C7">
      <w:pPr>
        <w:pStyle w:val="Normal4"/>
        <w:rPr>
          <w:rStyle w:val="normaltextrun"/>
          <w:color w:val="000000"/>
        </w:rPr>
      </w:pPr>
      <w:r>
        <w:rPr>
          <w:rStyle w:val="normaltextrun"/>
          <w:color w:val="000000"/>
        </w:rPr>
        <w:t xml:space="preserve">Of those moving into employment, only 18% </w:t>
      </w:r>
      <w:r w:rsidR="00227B3C">
        <w:rPr>
          <w:rStyle w:val="normaltextrun"/>
          <w:color w:val="000000"/>
        </w:rPr>
        <w:t>of SLES participants think they will</w:t>
      </w:r>
      <w:r>
        <w:rPr>
          <w:rStyle w:val="normaltextrun"/>
          <w:color w:val="000000"/>
        </w:rPr>
        <w:t xml:space="preserve"> be using NDIS Supports in Employment (NDIA, 2022a).</w:t>
      </w:r>
    </w:p>
    <w:p w14:paraId="0F156714" w14:textId="2C80FBDB" w:rsidR="003501D5" w:rsidRDefault="003501D5" w:rsidP="005521C7">
      <w:pPr>
        <w:pStyle w:val="Normal4"/>
        <w:rPr>
          <w:rStyle w:val="normaltextrun"/>
          <w:color w:val="000000"/>
        </w:rPr>
      </w:pPr>
      <w:r>
        <w:rPr>
          <w:rStyle w:val="normaltextrun"/>
          <w:color w:val="000000"/>
        </w:rPr>
        <w:t>There is somewhat contradictory data in relation to the employer use of supported wages, for SLES participant</w:t>
      </w:r>
      <w:r w:rsidR="00227B3C">
        <w:rPr>
          <w:rStyle w:val="normaltextrun"/>
          <w:color w:val="000000"/>
        </w:rPr>
        <w:t>s</w:t>
      </w:r>
      <w:r>
        <w:rPr>
          <w:rStyle w:val="normaltextrun"/>
          <w:color w:val="000000"/>
        </w:rPr>
        <w:t xml:space="preserve"> exiting to employment. While the employment data (above) shows 10% of participants moving into open employment on supported wages</w:t>
      </w:r>
      <w:r w:rsidR="003B0E9A">
        <w:rPr>
          <w:rStyle w:val="normaltextrun"/>
          <w:color w:val="000000"/>
        </w:rPr>
        <w:t xml:space="preserve">, </w:t>
      </w:r>
      <w:r>
        <w:rPr>
          <w:rStyle w:val="normaltextrun"/>
          <w:color w:val="000000"/>
        </w:rPr>
        <w:t>with a further 6% moving into ADEs (potentially on supported wages), SLES providers report that 37% (nearly three times that number) of employers say they will use supported wages for the participants’ employment (NDIA, 2022a).</w:t>
      </w:r>
      <w:r w:rsidR="00E36FED">
        <w:rPr>
          <w:rStyle w:val="normaltextrun"/>
          <w:color w:val="000000"/>
        </w:rPr>
        <w:t xml:space="preserve"> </w:t>
      </w:r>
      <w:r>
        <w:rPr>
          <w:rStyle w:val="normaltextrun"/>
          <w:color w:val="000000"/>
        </w:rPr>
        <w:t>Data from the NDIA in 2020 across all NDIS participants aged 15-24 (including those using SLES) who are employed, shows 12% being employed in open employment on a supported wage. In this data, 15% are employed in retail, 11% in hospitality, 6% in food/fast food, 6% in packaging/packing and 4% in cleaning on supported wages (NDIA, 2020, p. 57). This data suggests that the use of supported wage in open employment is higher in the 15-24 year</w:t>
      </w:r>
      <w:r w:rsidR="00F4680C">
        <w:rPr>
          <w:rStyle w:val="normaltextrun"/>
          <w:color w:val="000000"/>
        </w:rPr>
        <w:t>-old</w:t>
      </w:r>
      <w:r>
        <w:rPr>
          <w:rStyle w:val="normaltextrun"/>
          <w:color w:val="000000"/>
        </w:rPr>
        <w:t xml:space="preserve"> cohort than it is for 25 years and above cohort, where it is 8% less (NDIA, 2020). Overall, it would appear that the use of supported wage in open employment for SLES participants is somewhere between 10-37%</w:t>
      </w:r>
      <w:r w:rsidR="008B6180">
        <w:rPr>
          <w:rStyle w:val="normaltextrun"/>
          <w:color w:val="000000"/>
        </w:rPr>
        <w:t xml:space="preserve"> of those exiting SLES</w:t>
      </w:r>
      <w:r>
        <w:rPr>
          <w:rStyle w:val="normaltextrun"/>
          <w:color w:val="000000"/>
        </w:rPr>
        <w:t>.</w:t>
      </w:r>
    </w:p>
    <w:p w14:paraId="72130BA8" w14:textId="0398074F" w:rsidR="00227B3C" w:rsidRDefault="00227B3C" w:rsidP="005521C7">
      <w:pPr>
        <w:pStyle w:val="Normal4"/>
        <w:rPr>
          <w:rStyle w:val="normaltextrun"/>
          <w:color w:val="000000"/>
        </w:rPr>
      </w:pPr>
      <w:r>
        <w:rPr>
          <w:rStyle w:val="normaltextrun"/>
          <w:color w:val="000000"/>
        </w:rPr>
        <w:t xml:space="preserve">Taken together, the </w:t>
      </w:r>
      <w:r w:rsidR="006F460E">
        <w:rPr>
          <w:rStyle w:val="normaltextrun"/>
          <w:color w:val="000000"/>
        </w:rPr>
        <w:t xml:space="preserve">moderate </w:t>
      </w:r>
      <w:r>
        <w:rPr>
          <w:rStyle w:val="normaltextrun"/>
          <w:color w:val="000000"/>
        </w:rPr>
        <w:t>utilisation of supported wages in open employment and the low utilisation of NDIS funding for supports in employment, raises questions about the extent to which young people are being equipped with adequate employment supports to maximise their productivity, linked to the level of wages paid, in open employment.</w:t>
      </w:r>
    </w:p>
    <w:p w14:paraId="432012BA" w14:textId="77777777" w:rsidR="003501D5" w:rsidRDefault="003501D5" w:rsidP="003501D5">
      <w:pPr>
        <w:pStyle w:val="Heading3"/>
        <w:rPr>
          <w:rStyle w:val="normaltextrun"/>
        </w:rPr>
      </w:pPr>
      <w:r w:rsidRPr="00D44C1E">
        <w:rPr>
          <w:rStyle w:val="normaltextrun"/>
        </w:rPr>
        <w:t>Effective SLES activities</w:t>
      </w:r>
      <w:r>
        <w:rPr>
          <w:rStyle w:val="normaltextrun"/>
        </w:rPr>
        <w:t xml:space="preserve"> (from NDIA data)</w:t>
      </w:r>
    </w:p>
    <w:p w14:paraId="54545F20" w14:textId="77777777" w:rsidR="003501D5" w:rsidRDefault="003501D5" w:rsidP="005521C7">
      <w:pPr>
        <w:pStyle w:val="Normal4"/>
      </w:pPr>
      <w:r>
        <w:t>A range of NDIA data for SLES participants and for NDIS participants aged 15-24 identifies employment support activities that function as drivers of employment. Broadly these include:</w:t>
      </w:r>
    </w:p>
    <w:p w14:paraId="43D23281" w14:textId="77777777" w:rsidR="003501D5" w:rsidRDefault="003501D5" w:rsidP="003973A8">
      <w:pPr>
        <w:pStyle w:val="dotpoints"/>
      </w:pPr>
      <w:r>
        <w:t xml:space="preserve">support to develop work skills (where participants showed significant progress toward or full achievement of their goals) </w:t>
      </w:r>
      <w:r>
        <w:rPr>
          <w:rStyle w:val="normaltextrun"/>
          <w:rFonts w:eastAsiaTheme="minorEastAsia" w:cs="Arial"/>
          <w:color w:val="000000"/>
        </w:rPr>
        <w:t>(NDIA, 2022a)</w:t>
      </w:r>
    </w:p>
    <w:p w14:paraId="71E85D92" w14:textId="3013B513" w:rsidR="003501D5" w:rsidRDefault="003501D5" w:rsidP="003973A8">
      <w:pPr>
        <w:pStyle w:val="dotpoints"/>
      </w:pPr>
      <w:r>
        <w:t xml:space="preserve">work experience and volunteering (NDIA, </w:t>
      </w:r>
      <w:r w:rsidR="00BE3A28">
        <w:t xml:space="preserve">2020, </w:t>
      </w:r>
      <w:r>
        <w:t>2022a)</w:t>
      </w:r>
    </w:p>
    <w:p w14:paraId="7A5A9AA7" w14:textId="77777777" w:rsidR="003501D5" w:rsidRPr="001E3F8D" w:rsidRDefault="003501D5" w:rsidP="003973A8">
      <w:pPr>
        <w:pStyle w:val="dotpoints"/>
      </w:pPr>
      <w:r>
        <w:t xml:space="preserve">employer engagement and job customisation </w:t>
      </w:r>
      <w:r>
        <w:rPr>
          <w:rStyle w:val="normaltextrun"/>
          <w:rFonts w:eastAsiaTheme="minorEastAsia" w:cs="Arial"/>
          <w:color w:val="000000"/>
        </w:rPr>
        <w:t>(NDIA, 2022a)</w:t>
      </w:r>
    </w:p>
    <w:p w14:paraId="00EBF92D" w14:textId="77777777" w:rsidR="003501D5" w:rsidRPr="002F5C9E" w:rsidRDefault="003501D5" w:rsidP="003973A8">
      <w:pPr>
        <w:pStyle w:val="dotpoints"/>
        <w:rPr>
          <w:rStyle w:val="normaltextrun"/>
          <w:rFonts w:eastAsiaTheme="minorEastAsia"/>
        </w:rPr>
      </w:pPr>
      <w:r>
        <w:rPr>
          <w:rStyle w:val="normaltextrun"/>
          <w:rFonts w:eastAsiaTheme="minorEastAsia" w:cs="Arial"/>
          <w:color w:val="000000"/>
        </w:rPr>
        <w:t>h</w:t>
      </w:r>
      <w:r w:rsidRPr="0003430D">
        <w:rPr>
          <w:rStyle w:val="normaltextrun"/>
          <w:rFonts w:eastAsiaTheme="minorEastAsia" w:cs="Arial"/>
          <w:color w:val="000000"/>
        </w:rPr>
        <w:t xml:space="preserve">igher levels of </w:t>
      </w:r>
      <w:proofErr w:type="gramStart"/>
      <w:r w:rsidRPr="0003430D">
        <w:rPr>
          <w:rStyle w:val="normaltextrun"/>
          <w:rFonts w:eastAsiaTheme="minorEastAsia" w:cs="Arial"/>
          <w:color w:val="000000"/>
        </w:rPr>
        <w:t>one to one</w:t>
      </w:r>
      <w:proofErr w:type="gramEnd"/>
      <w:r w:rsidRPr="0003430D">
        <w:rPr>
          <w:rStyle w:val="normaltextrun"/>
          <w:rFonts w:eastAsiaTheme="minorEastAsia" w:cs="Arial"/>
          <w:color w:val="000000"/>
        </w:rPr>
        <w:t xml:space="preserve"> support </w:t>
      </w:r>
      <w:r>
        <w:rPr>
          <w:rStyle w:val="normaltextrun"/>
          <w:rFonts w:eastAsiaTheme="minorEastAsia" w:cs="Arial"/>
          <w:color w:val="000000"/>
        </w:rPr>
        <w:t>(NDIA, 2022a)</w:t>
      </w:r>
    </w:p>
    <w:p w14:paraId="77C2D43D" w14:textId="77777777" w:rsidR="003501D5" w:rsidRDefault="003501D5" w:rsidP="003973A8">
      <w:pPr>
        <w:pStyle w:val="dotpoints"/>
      </w:pPr>
      <w:r>
        <w:t>receiving assistance to find a job</w:t>
      </w:r>
    </w:p>
    <w:p w14:paraId="08551E67" w14:textId="77777777" w:rsidR="003501D5" w:rsidRDefault="003501D5" w:rsidP="003973A8">
      <w:pPr>
        <w:pStyle w:val="dotpoints"/>
      </w:pPr>
      <w:r>
        <w:t xml:space="preserve">early employment discussions and planning with young people and families </w:t>
      </w:r>
    </w:p>
    <w:p w14:paraId="447C0632" w14:textId="77777777" w:rsidR="003501D5" w:rsidRDefault="003501D5" w:rsidP="003973A8">
      <w:pPr>
        <w:pStyle w:val="dotpoints"/>
      </w:pPr>
      <w:r>
        <w:t>post school educational attainment (NDIA, 2020).</w:t>
      </w:r>
    </w:p>
    <w:p w14:paraId="1641C001" w14:textId="77777777" w:rsidR="00BD5366" w:rsidRDefault="00BD5366" w:rsidP="005521C7">
      <w:pPr>
        <w:pStyle w:val="Normal4"/>
      </w:pPr>
      <w:r>
        <w:t>This data has a high resonance with international research evidence about the factors influencing open employment outcomes for school leavers with disability.</w:t>
      </w:r>
    </w:p>
    <w:p w14:paraId="65068F84" w14:textId="765E2F19" w:rsidR="003501D5" w:rsidRDefault="003501D5" w:rsidP="005521C7">
      <w:pPr>
        <w:pStyle w:val="Normal4"/>
      </w:pPr>
      <w:r>
        <w:t xml:space="preserve">Other data suggests that outcomes are related to providers who regularly (i.e. once a fortnight) undertake progress reviews and have very good understanding of participants’ support needs (NDIA, 2022b). </w:t>
      </w:r>
    </w:p>
    <w:p w14:paraId="47BCB59C" w14:textId="4DC0EB2D" w:rsidR="003501D5" w:rsidRDefault="003501D5" w:rsidP="005521C7">
      <w:pPr>
        <w:pStyle w:val="Normal4"/>
      </w:pPr>
      <w:r w:rsidRPr="0099399B">
        <w:lastRenderedPageBreak/>
        <w:t xml:space="preserve">Participants felt services could be improved by providers arranging more work experience (52%), </w:t>
      </w:r>
      <w:r>
        <w:t xml:space="preserve">providing </w:t>
      </w:r>
      <w:r w:rsidRPr="0099399B">
        <w:t xml:space="preserve">more skill building </w:t>
      </w:r>
      <w:r w:rsidRPr="00606B1C">
        <w:t>opportunities (42%)</w:t>
      </w:r>
      <w:r>
        <w:t xml:space="preserve">, </w:t>
      </w:r>
      <w:r w:rsidR="00D211C2">
        <w:t xml:space="preserve">and </w:t>
      </w:r>
      <w:r>
        <w:t>spending more time helping to identify work goals (35%) (NDIA, 2022b).</w:t>
      </w:r>
    </w:p>
    <w:p w14:paraId="493418EB" w14:textId="77777777" w:rsidR="00AB1A63" w:rsidRDefault="00AB1A63" w:rsidP="00AB1A63"/>
    <w:p w14:paraId="2D9008C6" w14:textId="18A94A96" w:rsidR="003501D5" w:rsidRDefault="00BC4564" w:rsidP="003501D5">
      <w:pPr>
        <w:pStyle w:val="Heading2"/>
      </w:pPr>
      <w:r>
        <w:t xml:space="preserve">international </w:t>
      </w:r>
      <w:r w:rsidR="003501D5">
        <w:t>Research evidence about transition from school to work for young people with disability</w:t>
      </w:r>
    </w:p>
    <w:p w14:paraId="45EFD9FF" w14:textId="4814A0CF" w:rsidR="00D211C2" w:rsidRDefault="00D211C2" w:rsidP="005521C7">
      <w:pPr>
        <w:pStyle w:val="Normal4"/>
      </w:pPr>
      <w:r>
        <w:t>There is no information about the design principles of SLES as an NDIS funded program, nor about the design logic used by SLES providers in the selection and delivery of employment support interventions.</w:t>
      </w:r>
      <w:r w:rsidR="0016016B">
        <w:t xml:space="preserve"> </w:t>
      </w:r>
    </w:p>
    <w:p w14:paraId="09AD6B60" w14:textId="0925953A" w:rsidR="003501D5" w:rsidRDefault="0016016B" w:rsidP="005521C7">
      <w:pPr>
        <w:pStyle w:val="Normal4"/>
      </w:pPr>
      <w:r>
        <w:t>By contrast, t</w:t>
      </w:r>
      <w:r w:rsidR="003501D5">
        <w:t xml:space="preserve">here is substantial research evidence underpinning an internationally accepted best-practice model of school to work transition for </w:t>
      </w:r>
      <w:r w:rsidR="002323DD">
        <w:t xml:space="preserve">young </w:t>
      </w:r>
      <w:r w:rsidR="003501D5">
        <w:t>people with disability (Kohler</w:t>
      </w:r>
      <w:r w:rsidR="001B7CC1">
        <w:t xml:space="preserve"> et al.,</w:t>
      </w:r>
      <w:r w:rsidR="003501D5">
        <w:t xml:space="preserve"> 2016). Seven best practice elements of transition planning and support provision for young people with disability have been repeatedly identified in research internationally. A much smaller body of evidence explores the elements most effective for young people with intellectual disability, identifying a more limited set. These are captured in Table 3.</w:t>
      </w:r>
    </w:p>
    <w:p w14:paraId="2013C0AB" w14:textId="47DDAD5D" w:rsidR="00E84083" w:rsidRDefault="003501D5" w:rsidP="00FB3515">
      <w:pPr>
        <w:pStyle w:val="Table"/>
      </w:pPr>
      <w:r>
        <w:t>T</w:t>
      </w:r>
      <w:r w:rsidRPr="005C104B">
        <w:t xml:space="preserve">able </w:t>
      </w:r>
      <w:r>
        <w:t>3:</w:t>
      </w:r>
      <w:r w:rsidRPr="005C104B">
        <w:t xml:space="preserve"> Evidence based best practices for transition for young people with disability</w:t>
      </w:r>
      <w:r>
        <w:t xml:space="preserve"> (based on </w:t>
      </w:r>
      <w:proofErr w:type="spellStart"/>
      <w:r>
        <w:t>Papay</w:t>
      </w:r>
      <w:proofErr w:type="spellEnd"/>
      <w:r>
        <w:t xml:space="preserve"> </w:t>
      </w:r>
      <w:r w:rsidR="00125B6B">
        <w:t>&amp;</w:t>
      </w:r>
      <w:r>
        <w:t xml:space="preserve"> Bambara, 2014)</w:t>
      </w:r>
    </w:p>
    <w:tbl>
      <w:tblPr>
        <w:tblStyle w:val="TableGrid"/>
        <w:tblW w:w="0" w:type="auto"/>
        <w:tblLook w:val="04A0" w:firstRow="1" w:lastRow="0" w:firstColumn="1" w:lastColumn="0" w:noHBand="0" w:noVBand="1"/>
      </w:tblPr>
      <w:tblGrid>
        <w:gridCol w:w="6658"/>
        <w:gridCol w:w="2126"/>
      </w:tblGrid>
      <w:tr w:rsidR="003501D5" w:rsidRPr="00FB3515" w14:paraId="502741F5" w14:textId="77777777" w:rsidTr="004C43E1">
        <w:tc>
          <w:tcPr>
            <w:tcW w:w="8784" w:type="dxa"/>
            <w:gridSpan w:val="2"/>
            <w:shd w:val="clear" w:color="auto" w:fill="F2F2F2" w:themeFill="background1" w:themeFillShade="F2"/>
          </w:tcPr>
          <w:p w14:paraId="6F37F10C" w14:textId="77777777" w:rsidR="003501D5" w:rsidRPr="00FB3515" w:rsidRDefault="003501D5" w:rsidP="004C43E1">
            <w:pPr>
              <w:rPr>
                <w:rFonts w:asciiTheme="minorHAnsi" w:hAnsiTheme="minorHAnsi" w:cstheme="minorHAnsi"/>
                <w:b/>
                <w:bCs/>
                <w:sz w:val="20"/>
                <w:szCs w:val="20"/>
              </w:rPr>
            </w:pPr>
            <w:r w:rsidRPr="00FB3515">
              <w:rPr>
                <w:rFonts w:asciiTheme="minorHAnsi" w:hAnsiTheme="minorHAnsi" w:cstheme="minorHAnsi"/>
                <w:b/>
                <w:bCs/>
                <w:sz w:val="20"/>
                <w:szCs w:val="20"/>
              </w:rPr>
              <w:t>Best practice elements of transition planning and support for young people, related to post school outcomes</w:t>
            </w:r>
          </w:p>
        </w:tc>
      </w:tr>
      <w:tr w:rsidR="003501D5" w:rsidRPr="00FB3515" w14:paraId="27B3CB8B" w14:textId="77777777" w:rsidTr="004C43E1">
        <w:tc>
          <w:tcPr>
            <w:tcW w:w="6658" w:type="dxa"/>
            <w:shd w:val="clear" w:color="auto" w:fill="F2F2F2" w:themeFill="background1" w:themeFillShade="F2"/>
          </w:tcPr>
          <w:p w14:paraId="0D1A43BA" w14:textId="77777777" w:rsidR="003501D5" w:rsidRPr="00FB3515" w:rsidRDefault="003501D5" w:rsidP="004C43E1">
            <w:pPr>
              <w:jc w:val="center"/>
              <w:rPr>
                <w:rFonts w:asciiTheme="minorHAnsi" w:hAnsiTheme="minorHAnsi" w:cstheme="minorHAnsi"/>
                <w:b/>
                <w:bCs/>
                <w:sz w:val="20"/>
                <w:szCs w:val="20"/>
              </w:rPr>
            </w:pPr>
            <w:r w:rsidRPr="00FB3515">
              <w:rPr>
                <w:rFonts w:asciiTheme="minorHAnsi" w:hAnsiTheme="minorHAnsi" w:cstheme="minorHAnsi"/>
                <w:b/>
                <w:bCs/>
                <w:sz w:val="20"/>
                <w:szCs w:val="20"/>
              </w:rPr>
              <w:t>All disability</w:t>
            </w:r>
          </w:p>
        </w:tc>
        <w:tc>
          <w:tcPr>
            <w:tcW w:w="2126" w:type="dxa"/>
            <w:shd w:val="clear" w:color="auto" w:fill="F2F2F2" w:themeFill="background1" w:themeFillShade="F2"/>
          </w:tcPr>
          <w:p w14:paraId="43A4E361" w14:textId="77777777" w:rsidR="003501D5" w:rsidRPr="00FB3515" w:rsidRDefault="003501D5" w:rsidP="004C43E1">
            <w:pPr>
              <w:jc w:val="center"/>
              <w:rPr>
                <w:rFonts w:asciiTheme="minorHAnsi" w:hAnsiTheme="minorHAnsi" w:cstheme="minorHAnsi"/>
                <w:b/>
                <w:bCs/>
                <w:sz w:val="20"/>
                <w:szCs w:val="20"/>
              </w:rPr>
            </w:pPr>
            <w:r w:rsidRPr="00FB3515">
              <w:rPr>
                <w:rFonts w:asciiTheme="minorHAnsi" w:hAnsiTheme="minorHAnsi" w:cstheme="minorHAnsi"/>
                <w:b/>
                <w:bCs/>
                <w:sz w:val="20"/>
                <w:szCs w:val="20"/>
              </w:rPr>
              <w:t>Intellectual disability</w:t>
            </w:r>
          </w:p>
        </w:tc>
      </w:tr>
      <w:tr w:rsidR="003501D5" w:rsidRPr="00FB3515" w14:paraId="4DB756A7" w14:textId="77777777" w:rsidTr="004C43E1">
        <w:tc>
          <w:tcPr>
            <w:tcW w:w="6658" w:type="dxa"/>
          </w:tcPr>
          <w:p w14:paraId="37945C07" w14:textId="7131A97B"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Youth involvement in transition planning/strategies to foster self</w:t>
            </w:r>
            <w:r w:rsidR="008D2F13">
              <w:rPr>
                <w:rFonts w:asciiTheme="minorHAnsi" w:hAnsiTheme="minorHAnsi" w:cstheme="minorHAnsi"/>
                <w:sz w:val="20"/>
                <w:szCs w:val="20"/>
              </w:rPr>
              <w:t>-</w:t>
            </w:r>
            <w:r w:rsidRPr="00FB3515">
              <w:rPr>
                <w:rFonts w:asciiTheme="minorHAnsi" w:hAnsiTheme="minorHAnsi" w:cstheme="minorHAnsi"/>
                <w:sz w:val="20"/>
                <w:szCs w:val="20"/>
              </w:rPr>
              <w:t xml:space="preserve"> determination </w:t>
            </w:r>
          </w:p>
        </w:tc>
        <w:tc>
          <w:tcPr>
            <w:tcW w:w="2126" w:type="dxa"/>
          </w:tcPr>
          <w:p w14:paraId="519B4BCA" w14:textId="77777777" w:rsidR="003501D5" w:rsidRPr="0016016B" w:rsidRDefault="003501D5" w:rsidP="004C43E1">
            <w:pPr>
              <w:jc w:val="center"/>
              <w:rPr>
                <w:rFonts w:ascii="Wingdings 2" w:hAnsi="Wingdings 2" w:cstheme="minorHAnsi"/>
                <w:sz w:val="20"/>
                <w:szCs w:val="20"/>
              </w:rPr>
            </w:pPr>
            <w:r w:rsidRPr="0016016B">
              <w:rPr>
                <w:rFonts w:ascii="Wingdings 2" w:hAnsi="Wingdings 2" w:cstheme="minorHAnsi"/>
                <w:sz w:val="20"/>
                <w:szCs w:val="20"/>
              </w:rPr>
              <w:t>P</w:t>
            </w:r>
          </w:p>
        </w:tc>
      </w:tr>
      <w:tr w:rsidR="003501D5" w:rsidRPr="00FB3515" w14:paraId="243DF63C" w14:textId="77777777" w:rsidTr="004C43E1">
        <w:tc>
          <w:tcPr>
            <w:tcW w:w="6658" w:type="dxa"/>
          </w:tcPr>
          <w:p w14:paraId="0D842F72" w14:textId="77777777"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Family involvement in transition planning</w:t>
            </w:r>
          </w:p>
        </w:tc>
        <w:tc>
          <w:tcPr>
            <w:tcW w:w="2126" w:type="dxa"/>
          </w:tcPr>
          <w:p w14:paraId="231CD5AC" w14:textId="77777777" w:rsidR="003501D5" w:rsidRPr="0016016B" w:rsidRDefault="003501D5" w:rsidP="004C43E1">
            <w:pPr>
              <w:jc w:val="center"/>
              <w:rPr>
                <w:rFonts w:ascii="Wingdings 2" w:hAnsi="Wingdings 2" w:cstheme="minorHAnsi"/>
                <w:sz w:val="20"/>
                <w:szCs w:val="20"/>
              </w:rPr>
            </w:pPr>
            <w:r w:rsidRPr="0016016B">
              <w:rPr>
                <w:rFonts w:ascii="Wingdings 2" w:hAnsi="Wingdings 2" w:cstheme="minorHAnsi"/>
                <w:sz w:val="20"/>
                <w:szCs w:val="20"/>
              </w:rPr>
              <w:t>P</w:t>
            </w:r>
          </w:p>
        </w:tc>
      </w:tr>
      <w:tr w:rsidR="003501D5" w:rsidRPr="00FB3515" w14:paraId="0FB6BC4A" w14:textId="77777777" w:rsidTr="004C43E1">
        <w:tc>
          <w:tcPr>
            <w:tcW w:w="6658" w:type="dxa"/>
          </w:tcPr>
          <w:p w14:paraId="781C31F6" w14:textId="77777777"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Individualised transition planning</w:t>
            </w:r>
          </w:p>
        </w:tc>
        <w:tc>
          <w:tcPr>
            <w:tcW w:w="2126" w:type="dxa"/>
          </w:tcPr>
          <w:p w14:paraId="6CB5A639" w14:textId="77777777" w:rsidR="003501D5" w:rsidRPr="0016016B" w:rsidRDefault="003501D5" w:rsidP="004C43E1">
            <w:pPr>
              <w:jc w:val="center"/>
              <w:rPr>
                <w:rFonts w:ascii="Wingdings 2" w:hAnsi="Wingdings 2" w:cstheme="minorHAnsi"/>
                <w:sz w:val="20"/>
                <w:szCs w:val="20"/>
              </w:rPr>
            </w:pPr>
          </w:p>
        </w:tc>
      </w:tr>
      <w:tr w:rsidR="003501D5" w:rsidRPr="00FB3515" w14:paraId="0ECC152C" w14:textId="77777777" w:rsidTr="004C43E1">
        <w:tc>
          <w:tcPr>
            <w:tcW w:w="6658" w:type="dxa"/>
          </w:tcPr>
          <w:p w14:paraId="706225CB" w14:textId="77777777"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Vocational education and work experiences</w:t>
            </w:r>
          </w:p>
        </w:tc>
        <w:tc>
          <w:tcPr>
            <w:tcW w:w="2126" w:type="dxa"/>
          </w:tcPr>
          <w:p w14:paraId="0050BE75" w14:textId="78989B7E" w:rsidR="003501D5" w:rsidRPr="0016016B" w:rsidRDefault="003501D5" w:rsidP="004C43E1">
            <w:pPr>
              <w:jc w:val="center"/>
              <w:rPr>
                <w:rFonts w:ascii="Wingdings 2" w:hAnsi="Wingdings 2" w:cstheme="minorHAnsi"/>
                <w:sz w:val="20"/>
                <w:szCs w:val="20"/>
              </w:rPr>
            </w:pPr>
            <w:r w:rsidRPr="0016016B">
              <w:rPr>
                <w:rFonts w:ascii="Wingdings 2" w:hAnsi="Wingdings 2" w:cstheme="minorHAnsi"/>
                <w:sz w:val="20"/>
                <w:szCs w:val="20"/>
              </w:rPr>
              <w:t>P</w:t>
            </w:r>
          </w:p>
          <w:p w14:paraId="34A73C96" w14:textId="77777777" w:rsidR="003501D5" w:rsidRPr="00FB3515" w:rsidRDefault="003501D5" w:rsidP="004C43E1">
            <w:pPr>
              <w:jc w:val="center"/>
              <w:rPr>
                <w:rFonts w:asciiTheme="minorHAnsi" w:hAnsiTheme="minorHAnsi" w:cstheme="minorHAnsi"/>
                <w:sz w:val="20"/>
                <w:szCs w:val="20"/>
              </w:rPr>
            </w:pPr>
            <w:r w:rsidRPr="00FB3515">
              <w:rPr>
                <w:rFonts w:asciiTheme="minorHAnsi" w:hAnsiTheme="minorHAnsi" w:cstheme="minorHAnsi"/>
                <w:sz w:val="20"/>
                <w:szCs w:val="20"/>
              </w:rPr>
              <w:t>(</w:t>
            </w:r>
            <w:proofErr w:type="gramStart"/>
            <w:r w:rsidRPr="00FB3515">
              <w:rPr>
                <w:rFonts w:asciiTheme="minorHAnsi" w:hAnsiTheme="minorHAnsi" w:cstheme="minorHAnsi"/>
                <w:sz w:val="20"/>
                <w:szCs w:val="20"/>
              </w:rPr>
              <w:t>work</w:t>
            </w:r>
            <w:proofErr w:type="gramEnd"/>
            <w:r w:rsidRPr="00FB3515">
              <w:rPr>
                <w:rFonts w:asciiTheme="minorHAnsi" w:hAnsiTheme="minorHAnsi" w:cstheme="minorHAnsi"/>
                <w:sz w:val="20"/>
                <w:szCs w:val="20"/>
              </w:rPr>
              <w:t xml:space="preserve"> experiences)</w:t>
            </w:r>
          </w:p>
        </w:tc>
      </w:tr>
      <w:tr w:rsidR="003501D5" w:rsidRPr="00FB3515" w14:paraId="04E0020F" w14:textId="77777777" w:rsidTr="004C43E1">
        <w:tc>
          <w:tcPr>
            <w:tcW w:w="6658" w:type="dxa"/>
          </w:tcPr>
          <w:p w14:paraId="4654F035" w14:textId="77777777"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Independent living preparation (life skills instruction and experiences)</w:t>
            </w:r>
          </w:p>
        </w:tc>
        <w:tc>
          <w:tcPr>
            <w:tcW w:w="2126" w:type="dxa"/>
          </w:tcPr>
          <w:p w14:paraId="438FF613" w14:textId="77777777" w:rsidR="003501D5" w:rsidRPr="0016016B" w:rsidRDefault="003501D5" w:rsidP="004C43E1">
            <w:pPr>
              <w:jc w:val="center"/>
              <w:rPr>
                <w:rFonts w:ascii="Wingdings 2" w:hAnsi="Wingdings 2" w:cstheme="minorHAnsi"/>
                <w:sz w:val="20"/>
                <w:szCs w:val="20"/>
              </w:rPr>
            </w:pPr>
            <w:r w:rsidRPr="0016016B">
              <w:rPr>
                <w:rFonts w:ascii="Wingdings 2" w:hAnsi="Wingdings 2" w:cstheme="minorHAnsi"/>
                <w:sz w:val="20"/>
                <w:szCs w:val="20"/>
              </w:rPr>
              <w:t>P</w:t>
            </w:r>
          </w:p>
        </w:tc>
      </w:tr>
      <w:tr w:rsidR="003501D5" w:rsidRPr="00FB3515" w14:paraId="29CE9792" w14:textId="77777777" w:rsidTr="004C43E1">
        <w:tc>
          <w:tcPr>
            <w:tcW w:w="6658" w:type="dxa"/>
          </w:tcPr>
          <w:p w14:paraId="20BBB40C" w14:textId="77777777"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General education and inclusion activities with peers without disability</w:t>
            </w:r>
          </w:p>
        </w:tc>
        <w:tc>
          <w:tcPr>
            <w:tcW w:w="2126" w:type="dxa"/>
          </w:tcPr>
          <w:p w14:paraId="5BF6E57B" w14:textId="77777777" w:rsidR="003501D5" w:rsidRPr="0016016B" w:rsidRDefault="003501D5" w:rsidP="004C43E1">
            <w:pPr>
              <w:jc w:val="center"/>
              <w:rPr>
                <w:rFonts w:ascii="Wingdings 2" w:hAnsi="Wingdings 2" w:cstheme="minorHAnsi"/>
                <w:sz w:val="20"/>
                <w:szCs w:val="20"/>
              </w:rPr>
            </w:pPr>
          </w:p>
        </w:tc>
      </w:tr>
      <w:tr w:rsidR="003501D5" w:rsidRPr="00FB3515" w14:paraId="1221ECAE" w14:textId="77777777" w:rsidTr="004C43E1">
        <w:tc>
          <w:tcPr>
            <w:tcW w:w="6658" w:type="dxa"/>
          </w:tcPr>
          <w:p w14:paraId="7599877D" w14:textId="77777777" w:rsidR="003501D5" w:rsidRPr="00FB3515" w:rsidRDefault="003501D5" w:rsidP="00DD78E1">
            <w:pPr>
              <w:pStyle w:val="ListParagraph"/>
              <w:widowControl/>
              <w:numPr>
                <w:ilvl w:val="0"/>
                <w:numId w:val="5"/>
              </w:numPr>
              <w:autoSpaceDE/>
              <w:autoSpaceDN/>
              <w:ind w:left="306"/>
              <w:contextualSpacing/>
              <w:rPr>
                <w:rFonts w:asciiTheme="minorHAnsi" w:hAnsiTheme="minorHAnsi" w:cstheme="minorHAnsi"/>
                <w:sz w:val="20"/>
                <w:szCs w:val="20"/>
              </w:rPr>
            </w:pPr>
            <w:r w:rsidRPr="00FB3515">
              <w:rPr>
                <w:rFonts w:asciiTheme="minorHAnsi" w:hAnsiTheme="minorHAnsi" w:cstheme="minorHAnsi"/>
                <w:sz w:val="20"/>
                <w:szCs w:val="20"/>
              </w:rPr>
              <w:t>Interagency involvement and collaboration</w:t>
            </w:r>
          </w:p>
        </w:tc>
        <w:tc>
          <w:tcPr>
            <w:tcW w:w="2126" w:type="dxa"/>
          </w:tcPr>
          <w:p w14:paraId="1DEFC33E" w14:textId="77777777" w:rsidR="003501D5" w:rsidRPr="0016016B" w:rsidRDefault="003501D5" w:rsidP="004C43E1">
            <w:pPr>
              <w:jc w:val="center"/>
              <w:rPr>
                <w:rFonts w:ascii="Wingdings 2" w:hAnsi="Wingdings 2" w:cstheme="minorHAnsi"/>
                <w:sz w:val="20"/>
                <w:szCs w:val="20"/>
              </w:rPr>
            </w:pPr>
            <w:r w:rsidRPr="0016016B">
              <w:rPr>
                <w:rFonts w:ascii="Wingdings 2" w:hAnsi="Wingdings 2" w:cstheme="minorHAnsi"/>
                <w:sz w:val="20"/>
                <w:szCs w:val="20"/>
              </w:rPr>
              <w:t>P</w:t>
            </w:r>
          </w:p>
        </w:tc>
      </w:tr>
    </w:tbl>
    <w:p w14:paraId="3A8189CE" w14:textId="77777777" w:rsidR="003501D5" w:rsidRDefault="003501D5" w:rsidP="003501D5"/>
    <w:p w14:paraId="16907F54" w14:textId="426C09FC" w:rsidR="003501D5" w:rsidRDefault="003501D5" w:rsidP="005521C7">
      <w:pPr>
        <w:pStyle w:val="Normal4"/>
      </w:pPr>
      <w:r>
        <w:t xml:space="preserve">As depicted in Table 3, </w:t>
      </w:r>
      <w:r w:rsidR="0016016B">
        <w:t xml:space="preserve">the </w:t>
      </w:r>
      <w:r>
        <w:t xml:space="preserve">transition practices </w:t>
      </w:r>
      <w:r w:rsidR="0016016B">
        <w:t xml:space="preserve">that </w:t>
      </w:r>
      <w:r>
        <w:t xml:space="preserve">have been found to be particularly predictive of </w:t>
      </w:r>
      <w:r w:rsidRPr="00192E5F">
        <w:t>post</w:t>
      </w:r>
      <w:r>
        <w:t>-</w:t>
      </w:r>
      <w:r w:rsidRPr="00192E5F">
        <w:t>school outcomes</w:t>
      </w:r>
      <w:r>
        <w:t>,</w:t>
      </w:r>
      <w:r w:rsidRPr="00192E5F">
        <w:t xml:space="preserve"> including employment, independent living, and quality of life</w:t>
      </w:r>
      <w:r>
        <w:t>, for young people with intellectual disability</w:t>
      </w:r>
      <w:r w:rsidR="0016016B">
        <w:t xml:space="preserve"> are</w:t>
      </w:r>
      <w:r>
        <w:t xml:space="preserve">: </w:t>
      </w:r>
    </w:p>
    <w:p w14:paraId="407164AD" w14:textId="77777777" w:rsidR="003501D5" w:rsidRDefault="003501D5" w:rsidP="003973A8">
      <w:pPr>
        <w:pStyle w:val="dotpoints"/>
        <w:numPr>
          <w:ilvl w:val="0"/>
          <w:numId w:val="6"/>
        </w:numPr>
      </w:pPr>
      <w:r>
        <w:t>youth involvement in transition planning</w:t>
      </w:r>
    </w:p>
    <w:p w14:paraId="59300C4D" w14:textId="10DA4B43" w:rsidR="003501D5" w:rsidRDefault="003501D5" w:rsidP="003973A8">
      <w:pPr>
        <w:pStyle w:val="dotpoints"/>
        <w:numPr>
          <w:ilvl w:val="0"/>
          <w:numId w:val="6"/>
        </w:numPr>
      </w:pPr>
      <w:r w:rsidRPr="00192E5F">
        <w:t>family involvement</w:t>
      </w:r>
      <w:r>
        <w:t xml:space="preserve"> in transition planning and implementation</w:t>
      </w:r>
    </w:p>
    <w:p w14:paraId="2354BC71" w14:textId="77777777" w:rsidR="003501D5" w:rsidRPr="00192E5F" w:rsidRDefault="003501D5" w:rsidP="003973A8">
      <w:pPr>
        <w:pStyle w:val="dotpoints"/>
        <w:numPr>
          <w:ilvl w:val="0"/>
          <w:numId w:val="6"/>
        </w:numPr>
      </w:pPr>
      <w:r>
        <w:t>work experiences</w:t>
      </w:r>
    </w:p>
    <w:p w14:paraId="04CE060F" w14:textId="77777777" w:rsidR="003501D5" w:rsidRDefault="003501D5" w:rsidP="003973A8">
      <w:pPr>
        <w:pStyle w:val="dotpoints"/>
        <w:numPr>
          <w:ilvl w:val="0"/>
          <w:numId w:val="6"/>
        </w:numPr>
      </w:pPr>
      <w:r w:rsidRPr="00192E5F">
        <w:t xml:space="preserve">life skills instruction </w:t>
      </w:r>
      <w:r>
        <w:t>and experience</w:t>
      </w:r>
    </w:p>
    <w:p w14:paraId="6ECB1A1B" w14:textId="77777777" w:rsidR="003501D5" w:rsidRPr="00192E5F" w:rsidRDefault="003501D5" w:rsidP="003973A8">
      <w:pPr>
        <w:pStyle w:val="dotpoints"/>
        <w:numPr>
          <w:ilvl w:val="0"/>
          <w:numId w:val="6"/>
        </w:numPr>
      </w:pPr>
      <w:r>
        <w:t>inter-agency collaboration</w:t>
      </w:r>
      <w:r w:rsidRPr="00192E5F">
        <w:t xml:space="preserve"> </w:t>
      </w:r>
      <w:r>
        <w:rPr>
          <w:noProof/>
        </w:rPr>
        <w:t>(Papay &amp; Bambara, 2014).</w:t>
      </w:r>
    </w:p>
    <w:p w14:paraId="00B5618B" w14:textId="77777777" w:rsidR="003501D5" w:rsidRPr="00FB3515" w:rsidRDefault="003501D5" w:rsidP="005521C7">
      <w:pPr>
        <w:pStyle w:val="Normal4"/>
        <w:rPr>
          <w:rStyle w:val="Normal4Char"/>
        </w:rPr>
      </w:pPr>
      <w:r>
        <w:t xml:space="preserve">There is a broad literature base to each of these elements, largely in the international context (US), that </w:t>
      </w:r>
      <w:r w:rsidRPr="00FB3515">
        <w:rPr>
          <w:rStyle w:val="Normal4Char"/>
        </w:rPr>
        <w:t xml:space="preserve">offers evidence about the types or ingredients of employment support practices related to these five broad areas. </w:t>
      </w:r>
    </w:p>
    <w:p w14:paraId="496BBBFB" w14:textId="77777777" w:rsidR="003501D5" w:rsidRDefault="003501D5" w:rsidP="003501D5">
      <w:pPr>
        <w:pStyle w:val="Heading3"/>
      </w:pPr>
      <w:r>
        <w:t>Youth involvement in transition planning</w:t>
      </w:r>
    </w:p>
    <w:p w14:paraId="451765A6" w14:textId="4009D40D" w:rsidR="003501D5" w:rsidRDefault="003501D5" w:rsidP="005521C7">
      <w:pPr>
        <w:pStyle w:val="Normal4"/>
      </w:pPr>
      <w:r>
        <w:t>Youth involvement in transition planning has been shown to have significant effect on post school employment outcomes (</w:t>
      </w:r>
      <w:proofErr w:type="spellStart"/>
      <w:r>
        <w:t>Papay</w:t>
      </w:r>
      <w:proofErr w:type="spellEnd"/>
      <w:r>
        <w:t xml:space="preserve"> &amp; Bambara, 2014)</w:t>
      </w:r>
      <w:r w:rsidR="0016016B">
        <w:t>. Involvement</w:t>
      </w:r>
      <w:r>
        <w:t xml:space="preserve"> </w:t>
      </w:r>
      <w:r w:rsidR="0016016B">
        <w:t>includes</w:t>
      </w:r>
      <w:r>
        <w:t xml:space="preserve"> individual education plans within secondary schools, commencing from age 14 (Kohler et al., 2017). Explicit teaching of self-</w:t>
      </w:r>
      <w:r>
        <w:lastRenderedPageBreak/>
        <w:t>determination skills when included in school curriculum has been correlated with post school outcomes (</w:t>
      </w:r>
      <w:bookmarkStart w:id="1" w:name="_Hlk119438131"/>
      <w:r>
        <w:t>Benitez et al., 2005</w:t>
      </w:r>
      <w:bookmarkEnd w:id="1"/>
      <w:r>
        <w:t>), and has been the focus of an evidence-based practice model in schools - the Self Determined Learning Model of Instruction. The model has been linked to higher employment and community participation outcomes for young people with intellectual disability (</w:t>
      </w:r>
      <w:proofErr w:type="spellStart"/>
      <w:r>
        <w:t>Shogren</w:t>
      </w:r>
      <w:proofErr w:type="spellEnd"/>
      <w:r>
        <w:t xml:space="preserve"> et al., 2019). Self-determination development has also been integrated within career design activities for people with intellectual disability, and extended into ‘life designing’ activities </w:t>
      </w:r>
      <w:r w:rsidR="0016016B">
        <w:t xml:space="preserve">with good results </w:t>
      </w:r>
      <w:r>
        <w:t>(Wehmeyer et al., 2019).</w:t>
      </w:r>
    </w:p>
    <w:p w14:paraId="2DA371F7" w14:textId="77777777" w:rsidR="003501D5" w:rsidRDefault="003501D5" w:rsidP="003501D5">
      <w:pPr>
        <w:pStyle w:val="Heading3"/>
      </w:pPr>
      <w:r>
        <w:t>Family involvement in transition planning</w:t>
      </w:r>
    </w:p>
    <w:p w14:paraId="7257D058" w14:textId="77777777" w:rsidR="003501D5" w:rsidRDefault="003501D5" w:rsidP="005521C7">
      <w:pPr>
        <w:pStyle w:val="Normal4"/>
      </w:pPr>
      <w:r>
        <w:t>The expectations of families have been found to be one of the biggest factors affecting open employment outcomes for people with intellectual disability (</w:t>
      </w:r>
      <w:proofErr w:type="spellStart"/>
      <w:r>
        <w:t>Papay</w:t>
      </w:r>
      <w:proofErr w:type="spellEnd"/>
      <w:r>
        <w:t xml:space="preserve"> &amp; Bambara, 2014). Likewise, family involvement in transition planning, including individual education plans and post-school goal setting, is a similarly positive factor. The involvement of families has been supported in a range of ways, discussed in the literature. This includes structured training, individualised planning sessions, follow up support to families of young people with Autism (</w:t>
      </w:r>
      <w:proofErr w:type="spellStart"/>
      <w:r>
        <w:t>Hagner</w:t>
      </w:r>
      <w:proofErr w:type="spellEnd"/>
      <w:r>
        <w:t xml:space="preserve"> et al., 2012); provision of training and information sessions, peer role models among families, and linking families to family support groups (</w:t>
      </w:r>
      <w:proofErr w:type="spellStart"/>
      <w:r>
        <w:t>Pleet-Odle</w:t>
      </w:r>
      <w:proofErr w:type="spellEnd"/>
      <w:r>
        <w:t xml:space="preserve"> et al., 2016).</w:t>
      </w:r>
    </w:p>
    <w:p w14:paraId="2DE0A1FA" w14:textId="77777777" w:rsidR="003501D5" w:rsidRDefault="003501D5" w:rsidP="003501D5">
      <w:pPr>
        <w:pStyle w:val="Heading3"/>
      </w:pPr>
      <w:r>
        <w:t>Work experience</w:t>
      </w:r>
    </w:p>
    <w:p w14:paraId="1DB2BDC7" w14:textId="2F31E092" w:rsidR="003501D5" w:rsidRDefault="003501D5" w:rsidP="005521C7">
      <w:pPr>
        <w:pStyle w:val="Normal4"/>
      </w:pPr>
      <w:r>
        <w:t xml:space="preserve">There is a wealth of evidence about the value of work experiences for people with intellectual disability as a predictor of employment outcomes (for example, </w:t>
      </w:r>
      <w:proofErr w:type="spellStart"/>
      <w:r>
        <w:t>Papay</w:t>
      </w:r>
      <w:proofErr w:type="spellEnd"/>
      <w:r>
        <w:t xml:space="preserve"> </w:t>
      </w:r>
      <w:r w:rsidR="00B716E7">
        <w:t>&amp;</w:t>
      </w:r>
      <w:r>
        <w:t xml:space="preserve"> Bambara, 2014; Ju et al., 2015). Work experience is not a narrow concept and has been evidenced to include: job-tasters, internships, work sampling, work integrated learning, paid and unpaid work. Paid work experience, such as after school jobs, is a predictor of postschool employment for people with intellectual disability (</w:t>
      </w:r>
      <w:proofErr w:type="spellStart"/>
      <w:r>
        <w:t>Wehman</w:t>
      </w:r>
      <w:proofErr w:type="spellEnd"/>
      <w:r>
        <w:t xml:space="preserve"> et al., 2014). </w:t>
      </w:r>
    </w:p>
    <w:p w14:paraId="6D27397B" w14:textId="77777777" w:rsidR="003501D5" w:rsidRDefault="003501D5" w:rsidP="00FB3515">
      <w:pPr>
        <w:pStyle w:val="Quote"/>
      </w:pPr>
      <w:r>
        <w:t xml:space="preserve">Likewise, </w:t>
      </w:r>
      <w:r>
        <w:rPr>
          <w:noProof/>
        </w:rPr>
        <w:t>Luecking and Luecking (2013)</w:t>
      </w:r>
      <w:r>
        <w:t xml:space="preserve"> found that while work experience was the s</w:t>
      </w:r>
      <w:r w:rsidRPr="00D25392">
        <w:t>ingle most important predictor of later work</w:t>
      </w:r>
      <w:r>
        <w:t xml:space="preserve"> for students with intellectual disability, the impact doubled if they had paid work (Crosbie, 2022, p. 87).</w:t>
      </w:r>
    </w:p>
    <w:p w14:paraId="14D51ABF" w14:textId="2570291B" w:rsidR="003501D5" w:rsidRDefault="003501D5" w:rsidP="005521C7">
      <w:pPr>
        <w:pStyle w:val="Normal4"/>
      </w:pPr>
      <w:r>
        <w:t>Work experience plays an important role on many fronts. Not only does it provide opportunities for young people to learn about work and develop soft skills (</w:t>
      </w:r>
      <w:r w:rsidR="0016016B">
        <w:t>e.g.</w:t>
      </w:r>
      <w:r>
        <w:t xml:space="preserve"> independence) (Lindstrom et al., 2014), it also influences parental and employer expectations about employment for people with intellectual disability (for example, </w:t>
      </w:r>
      <w:proofErr w:type="spellStart"/>
      <w:r>
        <w:t>Blustein</w:t>
      </w:r>
      <w:proofErr w:type="spellEnd"/>
      <w:r>
        <w:t xml:space="preserve"> et al., 2016). Importantly, work experience provides an opportunity to identify the young person’s strengths as well as need for workplace accommodations (Dean et al., 2018). There is some evidence that poorly structured or supported work experience, such as school-supported activities, will not function as a predictor of later employment outcomes (</w:t>
      </w:r>
      <w:proofErr w:type="spellStart"/>
      <w:r>
        <w:t>Daviso</w:t>
      </w:r>
      <w:proofErr w:type="spellEnd"/>
      <w:r>
        <w:t xml:space="preserve"> et al., 2016).</w:t>
      </w:r>
    </w:p>
    <w:p w14:paraId="4E6FDCFD" w14:textId="77777777" w:rsidR="003501D5" w:rsidRDefault="003501D5" w:rsidP="003501D5">
      <w:pPr>
        <w:pStyle w:val="Heading3"/>
      </w:pPr>
      <w:r>
        <w:t>Life skills instruction and experience</w:t>
      </w:r>
    </w:p>
    <w:p w14:paraId="347DBA51" w14:textId="6E3F1D6D" w:rsidR="003501D5" w:rsidRDefault="003501D5" w:rsidP="005521C7">
      <w:pPr>
        <w:pStyle w:val="Normal4"/>
      </w:pPr>
      <w:r>
        <w:t>A range of life skill areas have been found to influence later post school education and other outcomes (</w:t>
      </w:r>
      <w:proofErr w:type="spellStart"/>
      <w:r>
        <w:t>Papay</w:t>
      </w:r>
      <w:proofErr w:type="spellEnd"/>
      <w:r>
        <w:t xml:space="preserve"> </w:t>
      </w:r>
      <w:r w:rsidR="00A34B32">
        <w:t>&amp;</w:t>
      </w:r>
      <w:r>
        <w:t xml:space="preserve"> Bambara, 2014; Carter et al., 2011b). These include banking, food preparation and shopping, laundry skills, information technology skills, independent travel, self-care and communication skills. </w:t>
      </w:r>
    </w:p>
    <w:p w14:paraId="56617830" w14:textId="77777777" w:rsidR="003501D5" w:rsidRDefault="003501D5" w:rsidP="003501D5">
      <w:pPr>
        <w:pStyle w:val="Heading3"/>
      </w:pPr>
      <w:r>
        <w:t>Interagency collaboration</w:t>
      </w:r>
    </w:p>
    <w:p w14:paraId="744C9D34" w14:textId="600F7C20" w:rsidR="003501D5" w:rsidRDefault="003501D5" w:rsidP="005521C7">
      <w:pPr>
        <w:pStyle w:val="Normal4"/>
        <w:rPr>
          <w:noProof/>
        </w:rPr>
      </w:pPr>
      <w:r>
        <w:t xml:space="preserve">Much research has focused on the role of collaboration between agencies involved in school to work transition (e.g. schools and adult services) and in the structures that support this collaboration </w:t>
      </w:r>
      <w:r>
        <w:lastRenderedPageBreak/>
        <w:t>(</w:t>
      </w:r>
      <w:r w:rsidRPr="00232934">
        <w:rPr>
          <w:noProof/>
        </w:rPr>
        <w:t>Haber et al., 2016; Kohler et al., 2016; Meadows, 2019; Papay &amp; Bambara, 2014; Sheppard et al., 2017</w:t>
      </w:r>
      <w:r>
        <w:rPr>
          <w:noProof/>
        </w:rPr>
        <w:t xml:space="preserve">). Evidence from the UK suggests that multi-agency/multi-stakeholder transition has increased outcomes for young people (e.g. Kaehne, 2013). In the US, collaborative transition models have </w:t>
      </w:r>
      <w:r w:rsidR="0016016B">
        <w:rPr>
          <w:noProof/>
        </w:rPr>
        <w:t>brought together</w:t>
      </w:r>
      <w:r>
        <w:rPr>
          <w:noProof/>
        </w:rPr>
        <w:t xml:space="preserve"> stakeholder groups via over-arching government </w:t>
      </w:r>
      <w:r w:rsidR="0016016B">
        <w:rPr>
          <w:noProof/>
        </w:rPr>
        <w:t>‘</w:t>
      </w:r>
      <w:r>
        <w:rPr>
          <w:noProof/>
        </w:rPr>
        <w:t>employment first</w:t>
      </w:r>
      <w:r w:rsidR="0016016B">
        <w:rPr>
          <w:noProof/>
        </w:rPr>
        <w:t>’</w:t>
      </w:r>
      <w:r>
        <w:rPr>
          <w:noProof/>
        </w:rPr>
        <w:t xml:space="preserve"> approaches, for example through the development of consortia of key stakeholders, the provision of technical assistance to transition actors, and statewide </w:t>
      </w:r>
      <w:r w:rsidR="0016016B">
        <w:rPr>
          <w:noProof/>
        </w:rPr>
        <w:t xml:space="preserve">employment </w:t>
      </w:r>
      <w:r>
        <w:rPr>
          <w:noProof/>
        </w:rPr>
        <w:t xml:space="preserve">targets (Molfenter et al., 2017). In Australia, Ticket to Work, (TTW) a transition </w:t>
      </w:r>
      <w:r w:rsidR="00D77769">
        <w:rPr>
          <w:noProof/>
        </w:rPr>
        <w:t>pr</w:t>
      </w:r>
      <w:r>
        <w:rPr>
          <w:noProof/>
        </w:rPr>
        <w:t>ogram for young people with disability, incorporates local area networks of schools, employers, VET providers and others across Australia (ARTD Consultants</w:t>
      </w:r>
      <w:r w:rsidR="00505621">
        <w:rPr>
          <w:noProof/>
        </w:rPr>
        <w:t>,</w:t>
      </w:r>
      <w:r>
        <w:rPr>
          <w:noProof/>
        </w:rPr>
        <w:t xml:space="preserve"> 2019). Data from TTW suggests increased employment and post school education</w:t>
      </w:r>
      <w:r w:rsidR="0016016B">
        <w:rPr>
          <w:noProof/>
        </w:rPr>
        <w:t xml:space="preserve"> outcomes</w:t>
      </w:r>
      <w:r>
        <w:rPr>
          <w:noProof/>
        </w:rPr>
        <w:t xml:space="preserve"> (ARTD Consultants, 2016, 2019).</w:t>
      </w:r>
    </w:p>
    <w:p w14:paraId="5DE0AE86" w14:textId="77777777" w:rsidR="00381193" w:rsidRDefault="00381193" w:rsidP="00381193"/>
    <w:p w14:paraId="3A37D6F1" w14:textId="77777777" w:rsidR="003501D5" w:rsidRDefault="003501D5" w:rsidP="003501D5">
      <w:pPr>
        <w:pStyle w:val="Heading2"/>
      </w:pPr>
      <w:r>
        <w:t>Research evidence about employment support for people with intellectual disability</w:t>
      </w:r>
    </w:p>
    <w:p w14:paraId="0B3DA98E" w14:textId="3386D0E8" w:rsidR="003501D5" w:rsidRDefault="003501D5" w:rsidP="005521C7">
      <w:pPr>
        <w:pStyle w:val="Normal4"/>
      </w:pPr>
      <w:r>
        <w:t xml:space="preserve">Evidence about </w:t>
      </w:r>
      <w:r w:rsidR="00E871BB">
        <w:t>s</w:t>
      </w:r>
      <w:r>
        <w:t>upported employment</w:t>
      </w:r>
      <w:r w:rsidR="0016016B">
        <w:t xml:space="preserve"> (as used in the US)</w:t>
      </w:r>
      <w:r>
        <w:t xml:space="preserve">, customised employment, </w:t>
      </w:r>
      <w:r w:rsidR="0016016B">
        <w:t xml:space="preserve">and </w:t>
      </w:r>
      <w:r>
        <w:t>work integrated learning</w:t>
      </w:r>
      <w:r w:rsidR="0016016B">
        <w:t xml:space="preserve"> </w:t>
      </w:r>
      <w:r>
        <w:t>is provided in Paper 2</w:t>
      </w:r>
      <w:r w:rsidR="0016016B">
        <w:t>, as key approaches to the design of employment supports that foster employment outcomes for people with intellectual disability</w:t>
      </w:r>
      <w:r>
        <w:t>.</w:t>
      </w:r>
    </w:p>
    <w:p w14:paraId="579E636F" w14:textId="54ECE7C6" w:rsidR="003501D5" w:rsidRDefault="003501D5" w:rsidP="005521C7">
      <w:pPr>
        <w:pStyle w:val="Normal4"/>
      </w:pPr>
      <w:r>
        <w:t>In addition to these approaches, University-based transition programs have evidence to support young people transitioning from school to work and independent living.</w:t>
      </w:r>
    </w:p>
    <w:p w14:paraId="725971A9" w14:textId="77777777" w:rsidR="003501D5" w:rsidRDefault="003501D5" w:rsidP="003501D5">
      <w:pPr>
        <w:pStyle w:val="Heading3"/>
      </w:pPr>
      <w:r>
        <w:t>University based transition programs</w:t>
      </w:r>
    </w:p>
    <w:p w14:paraId="6C6A6684" w14:textId="778D0C10" w:rsidR="003501D5" w:rsidRDefault="003501D5" w:rsidP="005521C7">
      <w:pPr>
        <w:pStyle w:val="Normal4"/>
      </w:pPr>
      <w:r>
        <w:t xml:space="preserve">The US has more than 305 colleges providing </w:t>
      </w:r>
      <w:proofErr w:type="spellStart"/>
      <w:r>
        <w:t>post secondary</w:t>
      </w:r>
      <w:proofErr w:type="spellEnd"/>
      <w:r>
        <w:t xml:space="preserve"> programs to more than 6,000 students with disability </w:t>
      </w:r>
      <w:r>
        <w:rPr>
          <w:noProof/>
        </w:rPr>
        <w:t>(Think College National Coordinating Center Accreditation Workgroup, 2021), with evidence that this approch increases employment outcomes for people with intellectual disability (Grigal et al., 2011). Students might be enrolled in ‘mainstream’ program</w:t>
      </w:r>
      <w:r w:rsidR="00F85E52">
        <w:rPr>
          <w:noProof/>
        </w:rPr>
        <w:t>s</w:t>
      </w:r>
      <w:r>
        <w:rPr>
          <w:noProof/>
        </w:rPr>
        <w:t>, in hybrid programs (a mix of segregated a</w:t>
      </w:r>
      <w:r w:rsidR="007F3C20">
        <w:rPr>
          <w:noProof/>
        </w:rPr>
        <w:t>n</w:t>
      </w:r>
      <w:r>
        <w:rPr>
          <w:noProof/>
        </w:rPr>
        <w:t xml:space="preserve">d inclusive activities), or in segregated programs offered on college campuses. In Australia, two programs have some evidence of positive social outcomes: </w:t>
      </w:r>
      <w:r>
        <w:t xml:space="preserve">the ‘Up the Hill Project’ delivered at Flinders University </w:t>
      </w:r>
      <w:r>
        <w:rPr>
          <w:noProof/>
        </w:rPr>
        <w:t>(Rillotta et al., 2020)</w:t>
      </w:r>
      <w:r>
        <w:t xml:space="preserve">, and the ‘Uni 2 beyond’ program developed by Sydney University to include young people with intellectual disability in university </w:t>
      </w:r>
      <w:r>
        <w:rPr>
          <w:noProof/>
        </w:rPr>
        <w:t>(O'Brien et al., 2019)</w:t>
      </w:r>
      <w:r>
        <w:t>.</w:t>
      </w:r>
    </w:p>
    <w:p w14:paraId="7ED6FE66" w14:textId="77777777" w:rsidR="00381193" w:rsidRDefault="00381193" w:rsidP="00381193"/>
    <w:p w14:paraId="48EBB530" w14:textId="77777777" w:rsidR="003501D5" w:rsidRDefault="003501D5" w:rsidP="003501D5">
      <w:pPr>
        <w:pStyle w:val="Heading2"/>
      </w:pPr>
      <w:r>
        <w:t>Research evidence about the transition and employment support needs of Australian young people with intellectual disability</w:t>
      </w:r>
    </w:p>
    <w:p w14:paraId="1592C72F" w14:textId="5B0FFC73" w:rsidR="003501D5" w:rsidRDefault="003501D5" w:rsidP="005521C7">
      <w:pPr>
        <w:pStyle w:val="Normal4"/>
      </w:pPr>
      <w:r>
        <w:t>Crosbie (2022) recently undertook a study of young people with intellectual disability, their families and other stakeholders in the context of school to work transition in Australia. The barriers and enablers to school to work transition strongly align with the breadth of barriers to work (as described in Paper 2), and to the existing research evidence about best practice in transition and employment support</w:t>
      </w:r>
      <w:r w:rsidR="00F85E52">
        <w:t xml:space="preserve"> (Papers 2 and 3)</w:t>
      </w:r>
      <w:r>
        <w:t xml:space="preserve">. </w:t>
      </w:r>
    </w:p>
    <w:p w14:paraId="3AF01A42" w14:textId="38B5EAA8" w:rsidR="003501D5" w:rsidRDefault="003501D5" w:rsidP="005521C7">
      <w:pPr>
        <w:pStyle w:val="Normal4"/>
      </w:pPr>
      <w:r>
        <w:t xml:space="preserve">In particular, young people and their families report a lack of transition planning, with a focus largely being on a decision about selecting the immediate post school activity. As evident in the NDIS data, schools and disability service providers were the main service providers discussing options with families, with families carrying the </w:t>
      </w:r>
      <w:r w:rsidR="00F85E52">
        <w:t>bulk of the</w:t>
      </w:r>
      <w:r>
        <w:t xml:space="preserve"> workload for organising employment supports with little information. The focus on immediate ‘transition’ from one service environment (school) to </w:t>
      </w:r>
      <w:r>
        <w:lastRenderedPageBreak/>
        <w:t>another (largely SLES, disability services or ADEs) denied a focus on longer life course planning and long term employment aspirations within a context of ‘emerging adulthood’ over a much longer period (e.g</w:t>
      </w:r>
      <w:r w:rsidR="007F3C20">
        <w:t>.</w:t>
      </w:r>
      <w:r>
        <w:t xml:space="preserve"> 18-25). </w:t>
      </w:r>
    </w:p>
    <w:p w14:paraId="282C3B0E" w14:textId="01A7D58E" w:rsidR="003501D5" w:rsidRDefault="003501D5" w:rsidP="005521C7">
      <w:pPr>
        <w:pStyle w:val="Normal4"/>
      </w:pPr>
      <w:r>
        <w:t>Many young people in the study had utilised SLES, which was viewed, at least initially, as a positive option that offered the security of a structure whilst supporting development towards employment. However, families also reported frustration with poor communication about the goals of SLES and progress towards them, and extremely poor interfaces between SLES, DES and other supports. Many families felt a second transition ‘cliff’ looming as the SLES period drew to a close, with little sense of what would happen next or where to gain support. While some were connected to DES, others were not, and even where DES was an option, families noted that DES would not be providing a program of activities (as SLES had done) while a work placement was sought and the young person would potentially be at home doing nothing. DES was considered a poor option with little specialist knowledge of how to support people with intellectual disability, and insufficient time available to support individuals and businesses in the ongoing and intensive way needed. While SLES was considered a ‘stepping stone’ post school, the lack of employment outcomes at the end of the program meant that it was not clear what it was stepping to. Key informants reiterated family members’ observations of the lack of appropriate employment services for people with intellectual disability in Australia, particularly customised employment.</w:t>
      </w:r>
    </w:p>
    <w:p w14:paraId="43E26333" w14:textId="2C66924B" w:rsidR="003501D5" w:rsidRDefault="003501D5" w:rsidP="005521C7">
      <w:pPr>
        <w:pStyle w:val="Normal4"/>
      </w:pPr>
      <w:r>
        <w:t xml:space="preserve">Overall, families were left with the workload of investigating employment options, drawing on social networks to unlock opportunities or utilising information </w:t>
      </w:r>
      <w:r w:rsidR="00F85E52">
        <w:t>from</w:t>
      </w:r>
      <w:r>
        <w:t xml:space="preserve"> other families about resources or programs available. Families and other stakeholders reported the difficulty and exhaustion of battling a system that assumed young people with intellectual disability would be ‘non workers’. Families were identified as the primary employment support for young people, and requiring substantial resourcing and support themselves</w:t>
      </w:r>
      <w:r w:rsidR="00F85E52">
        <w:t xml:space="preserve"> but with </w:t>
      </w:r>
      <w:r w:rsidR="00BC4643">
        <w:t>few, largely informal,</w:t>
      </w:r>
      <w:r w:rsidR="00F85E52">
        <w:t xml:space="preserve"> avenues for obtaining this</w:t>
      </w:r>
      <w:r>
        <w:t>.</w:t>
      </w:r>
    </w:p>
    <w:p w14:paraId="485F7119" w14:textId="13AC0553" w:rsidR="003501D5" w:rsidRDefault="003501D5" w:rsidP="0026176E">
      <w:pPr>
        <w:pStyle w:val="Normal4"/>
      </w:pPr>
      <w:r>
        <w:t xml:space="preserve">For young people with intellectual disability, their focus was firmly on normative, emerging adulthood roles, often modelled on their siblings, where employment and valued roles were an expected part of this future. In particular, young people emphasised the importance of meaningful work they liked doing, they felt valued in, and they felt had purpose. This was not necessarily associated with paid work, as many young people had unpaid or minimally paid roles they highly valued. </w:t>
      </w:r>
    </w:p>
    <w:p w14:paraId="53E8571F" w14:textId="77777777" w:rsidR="00381193" w:rsidRDefault="00381193" w:rsidP="00381193"/>
    <w:p w14:paraId="1082A0AE" w14:textId="24C7E15D" w:rsidR="003501D5" w:rsidRDefault="003501D5" w:rsidP="003501D5">
      <w:pPr>
        <w:pStyle w:val="Heading2"/>
      </w:pPr>
      <w:r>
        <w:t>Implications</w:t>
      </w:r>
      <w:r w:rsidRPr="004F1820">
        <w:t xml:space="preserve"> </w:t>
      </w:r>
      <w:r>
        <w:t xml:space="preserve">for SLES and employment supports for young people with intellectual disability </w:t>
      </w:r>
    </w:p>
    <w:p w14:paraId="7CC4A5B7" w14:textId="47FE5054" w:rsidR="00F85E52" w:rsidRDefault="00F85E52" w:rsidP="005521C7">
      <w:pPr>
        <w:pStyle w:val="Normal4"/>
      </w:pPr>
      <w:r>
        <w:t>SLES has gone some way to addressing a gap in employment supports for school leavers and young people with intellectual disability, though has a narrow focus on only the concluding and immediate post school years. Evidence-based best practice in transition highlights the need to commence employment</w:t>
      </w:r>
      <w:r w:rsidR="00C2492B">
        <w:t>-</w:t>
      </w:r>
      <w:r>
        <w:t>focused transition planning, at age 14, and to extend the process through a longer period of ‘emerging adulthood’</w:t>
      </w:r>
      <w:r w:rsidR="005B1993">
        <w:t xml:space="preserve"> (Arnett, 2007)</w:t>
      </w:r>
      <w:r>
        <w:t xml:space="preserve">. The conception of DES as the natural pathway beyond DES is flawed for people with intellectual disability for whom DES does not offer appropriate employment supports, and who may be ineligible for DES. While SLES has some modest outcomes, they are not of the order of other evidence-based employment supports such as customised employment, supported employment, and work-integrated learning, nor does SLES draw on the evidence related to transition planning and practice. Re-modelling SLES to replicate evidence-based elements of employment support for people with intellectual disability would improve its outcomes </w:t>
      </w:r>
      <w:r>
        <w:lastRenderedPageBreak/>
        <w:t>and suitability.</w:t>
      </w:r>
      <w:r w:rsidR="00E36FED">
        <w:t xml:space="preserve"> </w:t>
      </w:r>
      <w:r>
        <w:t>A wider range of employment supports need to be systematically available to people with intellectual disability. SLES appears to provide virtually no employer-facing employment supports to meet the needs of young people with intellectual disability. By contrast, international evidence highlights that supported employment models from the US provide substantial time-unlimited support to employers, and significant work with employers to unlock work opportunities through job carving and customisation</w:t>
      </w:r>
      <w:r w:rsidR="00E573EE">
        <w:t xml:space="preserve"> (Paper 2)</w:t>
      </w:r>
      <w:r>
        <w:t>. Finally, families are shown to be the major employment support for young people with intellectual disability and need to be resourced and supported in this role</w:t>
      </w:r>
      <w:r w:rsidR="00E350A4">
        <w:t>.</w:t>
      </w:r>
    </w:p>
    <w:p w14:paraId="0F88205D" w14:textId="5B3F55E6" w:rsidR="0026176E" w:rsidRDefault="0026176E">
      <w:pPr>
        <w:rPr>
          <w:rFonts w:asciiTheme="minorHAnsi" w:eastAsiaTheme="minorHAnsi" w:hAnsiTheme="minorHAnsi" w:cs="Arial"/>
          <w:lang w:bidi="ar-SA"/>
        </w:rPr>
      </w:pPr>
      <w:r>
        <w:br w:type="page"/>
      </w:r>
    </w:p>
    <w:p w14:paraId="4C20A7DF" w14:textId="77777777" w:rsidR="003501D5" w:rsidRPr="00204AF9" w:rsidRDefault="003501D5" w:rsidP="003501D5">
      <w:pPr>
        <w:pStyle w:val="Heading2"/>
      </w:pPr>
      <w:bookmarkStart w:id="2" w:name="_Hlk119438009"/>
      <w:r w:rsidRPr="00204AF9">
        <w:lastRenderedPageBreak/>
        <w:t>References</w:t>
      </w:r>
    </w:p>
    <w:bookmarkEnd w:id="2"/>
    <w:p w14:paraId="281C5390" w14:textId="7F05DAB3" w:rsidR="005B1993" w:rsidRPr="003B3B9D" w:rsidRDefault="005B1993" w:rsidP="0026176E">
      <w:pPr>
        <w:pStyle w:val="BodyTextSP"/>
        <w:spacing w:before="120" w:after="0"/>
        <w:rPr>
          <w:rFonts w:cstheme="minorHAnsi"/>
          <w:color w:val="auto"/>
        </w:rPr>
      </w:pPr>
      <w:r w:rsidRPr="003B3B9D">
        <w:rPr>
          <w:rFonts w:cstheme="minorHAnsi"/>
          <w:color w:val="auto"/>
        </w:rPr>
        <w:t xml:space="preserve">Arnett, J. (2007). Emerging adulthood: What is it, and what is it good For? </w:t>
      </w:r>
      <w:r w:rsidRPr="00BE0649">
        <w:rPr>
          <w:rFonts w:cstheme="minorHAnsi"/>
          <w:i/>
          <w:iCs/>
          <w:color w:val="auto"/>
        </w:rPr>
        <w:t>Society for Research in Child Development, 1</w:t>
      </w:r>
      <w:r w:rsidRPr="003B3B9D">
        <w:rPr>
          <w:rFonts w:cstheme="minorHAnsi"/>
          <w:color w:val="auto"/>
        </w:rPr>
        <w:t>(2), 68-73.</w:t>
      </w:r>
      <w:r w:rsidR="00BE0649">
        <w:rPr>
          <w:rFonts w:cstheme="minorHAnsi"/>
          <w:color w:val="auto"/>
        </w:rPr>
        <w:t xml:space="preserve"> </w:t>
      </w:r>
      <w:hyperlink r:id="rId14" w:history="1">
        <w:r w:rsidR="00BE0649" w:rsidRPr="00BE2965">
          <w:rPr>
            <w:rStyle w:val="Hyperlink"/>
            <w:rFonts w:cstheme="minorHAnsi"/>
          </w:rPr>
          <w:t>https://doi.org/10.1111/j.1750-8606.2007.00016.x</w:t>
        </w:r>
      </w:hyperlink>
      <w:r w:rsidR="00BE0649">
        <w:rPr>
          <w:rFonts w:cstheme="minorHAnsi"/>
          <w:color w:val="auto"/>
        </w:rPr>
        <w:t xml:space="preserve"> </w:t>
      </w:r>
    </w:p>
    <w:p w14:paraId="1BD4F95F" w14:textId="5262CDDA" w:rsidR="003501D5" w:rsidRPr="003B3B9D" w:rsidRDefault="003501D5" w:rsidP="0026176E">
      <w:pPr>
        <w:pStyle w:val="BodyTextSP"/>
        <w:spacing w:before="120" w:after="0"/>
        <w:rPr>
          <w:rFonts w:cstheme="minorHAnsi"/>
          <w:color w:val="auto"/>
        </w:rPr>
      </w:pPr>
      <w:r w:rsidRPr="003B3B9D">
        <w:rPr>
          <w:rFonts w:cstheme="minorHAnsi"/>
          <w:color w:val="auto"/>
        </w:rPr>
        <w:t xml:space="preserve">ARTD Consultants. (2016). </w:t>
      </w:r>
      <w:r w:rsidRPr="00D817D0">
        <w:rPr>
          <w:rFonts w:cstheme="minorHAnsi"/>
          <w:i/>
          <w:iCs/>
          <w:color w:val="auto"/>
        </w:rPr>
        <w:t>Ticket to Work Pilot outcomes study: A quasi-experimental analysis of pathways from school to economic and social inclusion. Report for National Disability Services.</w:t>
      </w:r>
      <w:r w:rsidRPr="003B3B9D">
        <w:rPr>
          <w:rFonts w:cstheme="minorHAnsi"/>
          <w:color w:val="auto"/>
        </w:rPr>
        <w:t xml:space="preserve"> </w:t>
      </w:r>
      <w:hyperlink r:id="rId15" w:history="1">
        <w:r w:rsidR="00D817D0" w:rsidRPr="00BE2965">
          <w:rPr>
            <w:rStyle w:val="Hyperlink"/>
            <w:rFonts w:cstheme="minorHAnsi"/>
          </w:rPr>
          <w:t>https://tickettowork.org.au/media/research_submissions_files/Ticket-to-work-outcome-report-ARTD-final.pdf</w:t>
        </w:r>
      </w:hyperlink>
      <w:r w:rsidR="00D817D0">
        <w:rPr>
          <w:rFonts w:cstheme="minorHAnsi"/>
          <w:color w:val="auto"/>
        </w:rPr>
        <w:t xml:space="preserve"> </w:t>
      </w:r>
    </w:p>
    <w:p w14:paraId="546F5F71" w14:textId="6CBB1D5A" w:rsidR="003501D5" w:rsidRPr="003B3B9D" w:rsidRDefault="003501D5" w:rsidP="0026176E">
      <w:pPr>
        <w:pStyle w:val="BodyTextSP"/>
        <w:spacing w:before="120" w:after="0"/>
        <w:rPr>
          <w:rFonts w:cstheme="minorHAnsi"/>
          <w:color w:val="auto"/>
        </w:rPr>
      </w:pPr>
      <w:r w:rsidRPr="003B3B9D">
        <w:rPr>
          <w:rFonts w:cstheme="minorHAnsi"/>
          <w:color w:val="auto"/>
        </w:rPr>
        <w:t xml:space="preserve">ARTD Consultants. (2019). </w:t>
      </w:r>
      <w:r w:rsidRPr="00FA5F98">
        <w:rPr>
          <w:rFonts w:cstheme="minorHAnsi"/>
          <w:i/>
          <w:iCs/>
          <w:color w:val="auto"/>
        </w:rPr>
        <w:t xml:space="preserve">Ticket to Work </w:t>
      </w:r>
      <w:r w:rsidR="00FA5F98">
        <w:rPr>
          <w:rFonts w:cstheme="minorHAnsi"/>
          <w:i/>
          <w:iCs/>
          <w:color w:val="auto"/>
        </w:rPr>
        <w:t>p</w:t>
      </w:r>
      <w:r w:rsidRPr="00FA5F98">
        <w:rPr>
          <w:rFonts w:cstheme="minorHAnsi"/>
          <w:i/>
          <w:iCs/>
          <w:color w:val="auto"/>
        </w:rPr>
        <w:t>ost school outcomes: Report for National Disability Services. Final report.</w:t>
      </w:r>
      <w:r w:rsidRPr="003B3B9D">
        <w:rPr>
          <w:rFonts w:cstheme="minorHAnsi"/>
          <w:color w:val="auto"/>
        </w:rPr>
        <w:t xml:space="preserve"> </w:t>
      </w:r>
      <w:hyperlink r:id="rId16" w:history="1">
        <w:r w:rsidR="00FA5F98" w:rsidRPr="00BE2965">
          <w:rPr>
            <w:rStyle w:val="Hyperlink"/>
            <w:rFonts w:cstheme="minorHAnsi"/>
          </w:rPr>
          <w:t>https://tickettowork.org.au/media/submissions_researches_buttons/Ticket_to_Work_Post_School_Outcomes_final_2019.pdf</w:t>
        </w:r>
      </w:hyperlink>
      <w:r w:rsidR="00FA5F98">
        <w:rPr>
          <w:rFonts w:cstheme="minorHAnsi"/>
          <w:color w:val="auto"/>
        </w:rPr>
        <w:t xml:space="preserve"> </w:t>
      </w:r>
    </w:p>
    <w:p w14:paraId="74951D42" w14:textId="1661F6EB" w:rsidR="00DF5643" w:rsidRPr="003B3B9D" w:rsidRDefault="00DF5643" w:rsidP="0026176E">
      <w:pPr>
        <w:pStyle w:val="BodyTextSP"/>
        <w:spacing w:before="120" w:after="0"/>
        <w:rPr>
          <w:rFonts w:cstheme="minorHAnsi"/>
          <w:color w:val="auto"/>
        </w:rPr>
      </w:pPr>
      <w:r w:rsidRPr="003B3B9D">
        <w:rPr>
          <w:rFonts w:cstheme="minorHAnsi"/>
          <w:color w:val="auto"/>
        </w:rPr>
        <w:t xml:space="preserve">Benitez, D. T., Lattimore, J., &amp; Wehmeyer, M. L. (2005). Promoting the </w:t>
      </w:r>
      <w:r w:rsidR="00493D51" w:rsidRPr="003B3B9D">
        <w:rPr>
          <w:rFonts w:cstheme="minorHAnsi"/>
          <w:color w:val="auto"/>
        </w:rPr>
        <w:t>involvement of students with emotional and behavioral disorders in career and vocational planning and decision-making</w:t>
      </w:r>
      <w:r w:rsidRPr="003B3B9D">
        <w:rPr>
          <w:rFonts w:cstheme="minorHAnsi"/>
          <w:color w:val="auto"/>
        </w:rPr>
        <w:t xml:space="preserve">: The </w:t>
      </w:r>
      <w:r w:rsidR="00493D51" w:rsidRPr="003B3B9D">
        <w:rPr>
          <w:rFonts w:cstheme="minorHAnsi"/>
          <w:color w:val="auto"/>
        </w:rPr>
        <w:t>self-determined career development model</w:t>
      </w:r>
      <w:r w:rsidRPr="003B3B9D">
        <w:rPr>
          <w:rFonts w:cstheme="minorHAnsi"/>
          <w:color w:val="auto"/>
        </w:rPr>
        <w:t xml:space="preserve">. </w:t>
      </w:r>
      <w:r w:rsidRPr="00493D51">
        <w:rPr>
          <w:rFonts w:cstheme="minorHAnsi"/>
          <w:i/>
          <w:color w:val="auto"/>
        </w:rPr>
        <w:t>Behavioral Disorders, 30</w:t>
      </w:r>
      <w:r w:rsidRPr="003B3B9D">
        <w:rPr>
          <w:rFonts w:cstheme="minorHAnsi"/>
          <w:color w:val="auto"/>
        </w:rPr>
        <w:t xml:space="preserve">(4), 431–447. </w:t>
      </w:r>
      <w:hyperlink r:id="rId17" w:history="1">
        <w:r w:rsidR="00493D51" w:rsidRPr="00BE2965">
          <w:rPr>
            <w:rStyle w:val="Hyperlink"/>
            <w:rFonts w:cstheme="minorHAnsi"/>
          </w:rPr>
          <w:t>https://doi.org/10.1177/019874290503000401</w:t>
        </w:r>
      </w:hyperlink>
      <w:r w:rsidR="00493D51">
        <w:rPr>
          <w:rFonts w:cstheme="minorHAnsi"/>
          <w:color w:val="auto"/>
        </w:rPr>
        <w:t xml:space="preserve"> </w:t>
      </w:r>
      <w:r w:rsidR="00493D51">
        <w:rPr>
          <w:rStyle w:val="Hyperlink"/>
          <w:rFonts w:cstheme="minorHAnsi"/>
          <w:color w:val="auto"/>
          <w:u w:val="none"/>
        </w:rPr>
        <w:t xml:space="preserve"> </w:t>
      </w:r>
    </w:p>
    <w:p w14:paraId="4842049C" w14:textId="6989481B"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Blustein</w:t>
      </w:r>
      <w:proofErr w:type="spellEnd"/>
      <w:r w:rsidRPr="003B3B9D">
        <w:rPr>
          <w:rFonts w:cstheme="minorHAnsi"/>
          <w:color w:val="auto"/>
        </w:rPr>
        <w:t xml:space="preserve">, C. L., Carter, E. W., &amp; McMillan, E. D. (2016). The voices of parents: Post-high school expectations, priorities, and concerns for children with intellectual and developmental disabilities. </w:t>
      </w:r>
      <w:r w:rsidRPr="00370C92">
        <w:rPr>
          <w:rFonts w:cstheme="minorHAnsi"/>
          <w:i/>
          <w:iCs/>
          <w:color w:val="auto"/>
        </w:rPr>
        <w:t>The Journal of Special Education, 50</w:t>
      </w:r>
      <w:r w:rsidRPr="003B3B9D">
        <w:rPr>
          <w:rFonts w:cstheme="minorHAnsi"/>
          <w:color w:val="auto"/>
        </w:rPr>
        <w:t xml:space="preserve">(3), 164-177. </w:t>
      </w:r>
      <w:hyperlink r:id="rId18" w:history="1">
        <w:r w:rsidR="00353ECA" w:rsidRPr="00BE2965">
          <w:rPr>
            <w:rStyle w:val="Hyperlink"/>
            <w:rFonts w:cstheme="minorHAnsi"/>
          </w:rPr>
          <w:t>https://doi.org/10.1177/0022466916641381</w:t>
        </w:r>
      </w:hyperlink>
      <w:r w:rsidR="00353ECA">
        <w:rPr>
          <w:rFonts w:cstheme="minorHAnsi"/>
          <w:color w:val="auto"/>
        </w:rPr>
        <w:t xml:space="preserve"> </w:t>
      </w:r>
    </w:p>
    <w:p w14:paraId="7260B18D" w14:textId="77777777" w:rsidR="00C604B4" w:rsidRPr="00A3113B" w:rsidRDefault="00C604B4" w:rsidP="0026176E">
      <w:pPr>
        <w:pStyle w:val="BodyTextSP"/>
        <w:spacing w:before="120" w:after="0"/>
        <w:rPr>
          <w:rFonts w:cstheme="minorHAnsi"/>
          <w:color w:val="auto"/>
          <w:sz w:val="24"/>
          <w:szCs w:val="24"/>
          <w:lang w:eastAsia="en-AU"/>
        </w:rPr>
      </w:pPr>
      <w:bookmarkStart w:id="3" w:name="_Hlk118624659"/>
      <w:r w:rsidRPr="00A3113B">
        <w:rPr>
          <w:rFonts w:cstheme="minorHAnsi"/>
          <w:color w:val="auto"/>
          <w:shd w:val="clear" w:color="auto" w:fill="FFFFFF"/>
          <w:lang w:eastAsia="en-AU"/>
        </w:rPr>
        <w:t xml:space="preserve">Crosbie, J. (2022). </w:t>
      </w:r>
      <w:r w:rsidRPr="00A3113B">
        <w:rPr>
          <w:rFonts w:cstheme="minorHAnsi"/>
          <w:i/>
          <w:iCs/>
          <w:color w:val="auto"/>
          <w:shd w:val="clear" w:color="auto" w:fill="FFFFFF"/>
          <w:lang w:eastAsia="en-AU"/>
        </w:rPr>
        <w:t xml:space="preserve">Creating a path from school to work: </w:t>
      </w:r>
      <w:proofErr w:type="spellStart"/>
      <w:r w:rsidRPr="00A3113B">
        <w:rPr>
          <w:rFonts w:cstheme="minorHAnsi"/>
          <w:i/>
          <w:iCs/>
          <w:color w:val="auto"/>
          <w:shd w:val="clear" w:color="auto" w:fill="FFFFFF"/>
          <w:lang w:eastAsia="en-AU"/>
        </w:rPr>
        <w:t>Reconceptualising</w:t>
      </w:r>
      <w:proofErr w:type="spellEnd"/>
      <w:r w:rsidRPr="00A3113B">
        <w:rPr>
          <w:rFonts w:cstheme="minorHAnsi"/>
          <w:i/>
          <w:iCs/>
          <w:color w:val="auto"/>
          <w:shd w:val="clear" w:color="auto" w:fill="FFFFFF"/>
          <w:lang w:eastAsia="en-AU"/>
        </w:rPr>
        <w:t xml:space="preserve"> economic participation for young Australians with intellectual disability</w:t>
      </w:r>
      <w:r w:rsidRPr="00A3113B">
        <w:rPr>
          <w:rFonts w:cstheme="minorHAnsi"/>
          <w:color w:val="auto"/>
          <w:shd w:val="clear" w:color="auto" w:fill="FFFFFF"/>
          <w:lang w:eastAsia="en-AU"/>
        </w:rPr>
        <w:t>. PhD., Swinburne University of Technology, Hawthorn, Vic.</w:t>
      </w:r>
      <w:r w:rsidRPr="00A3113B">
        <w:rPr>
          <w:rFonts w:cstheme="minorHAnsi"/>
          <w:color w:val="auto"/>
          <w:lang w:eastAsia="en-AU"/>
        </w:rPr>
        <w:t> </w:t>
      </w:r>
    </w:p>
    <w:p w14:paraId="05127A54" w14:textId="77777777" w:rsidR="00773AA5" w:rsidRPr="00A3113B" w:rsidRDefault="00773AA5" w:rsidP="0026176E">
      <w:pPr>
        <w:pStyle w:val="BodyTextSP"/>
        <w:spacing w:before="120" w:after="0"/>
        <w:rPr>
          <w:rFonts w:cstheme="minorHAnsi"/>
          <w:color w:val="auto"/>
        </w:rPr>
      </w:pPr>
      <w:proofErr w:type="spellStart"/>
      <w:r w:rsidRPr="00A3113B">
        <w:rPr>
          <w:rFonts w:cstheme="minorHAnsi"/>
          <w:color w:val="auto"/>
        </w:rPr>
        <w:t>Daston</w:t>
      </w:r>
      <w:proofErr w:type="spellEnd"/>
      <w:r w:rsidRPr="00A3113B">
        <w:rPr>
          <w:rFonts w:cstheme="minorHAnsi"/>
          <w:color w:val="auto"/>
        </w:rPr>
        <w:t xml:space="preserve">, M., Riehle, J. E., &amp; Rutkowski, S. (2012). </w:t>
      </w:r>
      <w:r w:rsidRPr="00A3113B">
        <w:rPr>
          <w:rFonts w:cstheme="minorHAnsi"/>
          <w:i/>
          <w:iCs/>
          <w:color w:val="auto"/>
        </w:rPr>
        <w:t>High school transition that works! Lessons learned from Project SEARCH.</w:t>
      </w:r>
      <w:r w:rsidRPr="00A3113B">
        <w:rPr>
          <w:rFonts w:cstheme="minorHAnsi"/>
          <w:color w:val="auto"/>
        </w:rPr>
        <w:t xml:space="preserve"> Paul H. Brookes Publishing Company.</w:t>
      </w:r>
    </w:p>
    <w:p w14:paraId="4A0CE826" w14:textId="1EDE4BF6"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Daviso</w:t>
      </w:r>
      <w:proofErr w:type="spellEnd"/>
      <w:r w:rsidRPr="003B3B9D">
        <w:rPr>
          <w:rFonts w:cstheme="minorHAnsi"/>
          <w:color w:val="auto"/>
        </w:rPr>
        <w:t xml:space="preserve">, A. W., Baer, R. M., </w:t>
      </w:r>
      <w:proofErr w:type="spellStart"/>
      <w:r w:rsidRPr="003B3B9D">
        <w:rPr>
          <w:rFonts w:cstheme="minorHAnsi"/>
          <w:color w:val="auto"/>
        </w:rPr>
        <w:t>Flexer</w:t>
      </w:r>
      <w:proofErr w:type="spellEnd"/>
      <w:r w:rsidRPr="003B3B9D">
        <w:rPr>
          <w:rFonts w:cstheme="minorHAnsi"/>
          <w:color w:val="auto"/>
        </w:rPr>
        <w:t xml:space="preserve">, R. W., &amp; </w:t>
      </w:r>
      <w:proofErr w:type="spellStart"/>
      <w:r w:rsidRPr="003B3B9D">
        <w:rPr>
          <w:rFonts w:cstheme="minorHAnsi"/>
          <w:color w:val="auto"/>
        </w:rPr>
        <w:t>Meindl</w:t>
      </w:r>
      <w:proofErr w:type="spellEnd"/>
      <w:r w:rsidRPr="003B3B9D">
        <w:rPr>
          <w:rFonts w:cstheme="minorHAnsi"/>
          <w:color w:val="auto"/>
        </w:rPr>
        <w:t xml:space="preserve">, R. (2016). Career and technical education, work study, &amp; school supervised work: How do they impact employment/or students with disabilities? </w:t>
      </w:r>
      <w:r w:rsidRPr="008844F5">
        <w:rPr>
          <w:rFonts w:cstheme="minorHAnsi"/>
          <w:i/>
          <w:iCs/>
          <w:color w:val="auto"/>
        </w:rPr>
        <w:t>Journal of Applied Rehabilitation Counselling</w:t>
      </w:r>
      <w:r w:rsidR="00CA3626" w:rsidRPr="008844F5">
        <w:rPr>
          <w:rFonts w:cstheme="minorHAnsi"/>
          <w:i/>
          <w:iCs/>
          <w:color w:val="auto"/>
        </w:rPr>
        <w:t>,</w:t>
      </w:r>
      <w:r w:rsidRPr="008844F5">
        <w:rPr>
          <w:rFonts w:cstheme="minorHAnsi"/>
          <w:i/>
          <w:iCs/>
          <w:color w:val="auto"/>
        </w:rPr>
        <w:t xml:space="preserve"> 47</w:t>
      </w:r>
      <w:r w:rsidRPr="003B3B9D">
        <w:rPr>
          <w:rFonts w:cstheme="minorHAnsi"/>
          <w:color w:val="auto"/>
        </w:rPr>
        <w:t xml:space="preserve">(2), 10-19. </w:t>
      </w:r>
      <w:hyperlink r:id="rId19" w:history="1">
        <w:r w:rsidR="00CA3626" w:rsidRPr="00BE2965">
          <w:rPr>
            <w:rStyle w:val="Hyperlink"/>
            <w:rFonts w:cstheme="minorHAnsi"/>
          </w:rPr>
          <w:t>https://doi.org/10.1891/0047-2220.47.2.10</w:t>
        </w:r>
      </w:hyperlink>
      <w:r w:rsidR="00CA3626">
        <w:rPr>
          <w:rFonts w:cstheme="minorHAnsi"/>
          <w:color w:val="auto"/>
        </w:rPr>
        <w:t xml:space="preserve"> </w:t>
      </w:r>
    </w:p>
    <w:p w14:paraId="6C32E985" w14:textId="55DB0A3E" w:rsidR="003501D5" w:rsidRPr="003B3B9D" w:rsidRDefault="003501D5" w:rsidP="0026176E">
      <w:pPr>
        <w:pStyle w:val="BodyTextSP"/>
        <w:spacing w:before="120" w:after="0"/>
        <w:rPr>
          <w:rFonts w:cstheme="minorHAnsi"/>
          <w:color w:val="auto"/>
        </w:rPr>
      </w:pPr>
      <w:r w:rsidRPr="003B3B9D">
        <w:rPr>
          <w:rFonts w:cstheme="minorHAnsi"/>
          <w:color w:val="auto"/>
        </w:rPr>
        <w:t xml:space="preserve">Dean, E. E., </w:t>
      </w:r>
      <w:proofErr w:type="spellStart"/>
      <w:r w:rsidRPr="003B3B9D">
        <w:rPr>
          <w:rFonts w:cstheme="minorHAnsi"/>
          <w:color w:val="auto"/>
        </w:rPr>
        <w:t>Shogren</w:t>
      </w:r>
      <w:proofErr w:type="spellEnd"/>
      <w:r w:rsidRPr="003B3B9D">
        <w:rPr>
          <w:rFonts w:cstheme="minorHAnsi"/>
          <w:color w:val="auto"/>
        </w:rPr>
        <w:t xml:space="preserve">, K. A., Wehmeyer, M. L., </w:t>
      </w:r>
      <w:proofErr w:type="spellStart"/>
      <w:r w:rsidRPr="003B3B9D">
        <w:rPr>
          <w:rFonts w:cstheme="minorHAnsi"/>
          <w:color w:val="auto"/>
        </w:rPr>
        <w:t>Almire</w:t>
      </w:r>
      <w:proofErr w:type="spellEnd"/>
      <w:r w:rsidRPr="003B3B9D">
        <w:rPr>
          <w:rFonts w:cstheme="minorHAnsi"/>
          <w:color w:val="auto"/>
        </w:rPr>
        <w:t xml:space="preserve">, B., &amp; </w:t>
      </w:r>
      <w:proofErr w:type="spellStart"/>
      <w:r w:rsidRPr="003B3B9D">
        <w:rPr>
          <w:rFonts w:cstheme="minorHAnsi"/>
          <w:color w:val="auto"/>
        </w:rPr>
        <w:t>Mellenbruch</w:t>
      </w:r>
      <w:proofErr w:type="spellEnd"/>
      <w:r w:rsidRPr="003B3B9D">
        <w:rPr>
          <w:rFonts w:cstheme="minorHAnsi"/>
          <w:color w:val="auto"/>
        </w:rPr>
        <w:t xml:space="preserve">, R. (2018). Career design and development for adults with intellectual disability: A program evaluation. </w:t>
      </w:r>
      <w:r w:rsidRPr="00B216E5">
        <w:rPr>
          <w:rFonts w:cstheme="minorHAnsi"/>
          <w:i/>
          <w:iCs/>
          <w:color w:val="auto"/>
        </w:rPr>
        <w:t>Advances in Neurodevelopmental Disorders</w:t>
      </w:r>
      <w:r w:rsidR="00A729E0" w:rsidRPr="00B216E5">
        <w:rPr>
          <w:rFonts w:cstheme="minorHAnsi"/>
          <w:i/>
          <w:iCs/>
          <w:color w:val="auto"/>
        </w:rPr>
        <w:t>,</w:t>
      </w:r>
      <w:r w:rsidRPr="00B216E5">
        <w:rPr>
          <w:rFonts w:cstheme="minorHAnsi"/>
          <w:i/>
          <w:iCs/>
          <w:color w:val="auto"/>
        </w:rPr>
        <w:t xml:space="preserve"> </w:t>
      </w:r>
      <w:r w:rsidR="00A729E0" w:rsidRPr="00B216E5">
        <w:rPr>
          <w:rFonts w:cstheme="minorHAnsi"/>
          <w:i/>
          <w:iCs/>
          <w:color w:val="auto"/>
        </w:rPr>
        <w:t>3</w:t>
      </w:r>
      <w:r w:rsidRPr="003B3B9D">
        <w:rPr>
          <w:rFonts w:cstheme="minorHAnsi"/>
          <w:color w:val="auto"/>
        </w:rPr>
        <w:t xml:space="preserve">, </w:t>
      </w:r>
      <w:r w:rsidR="00A26FB1">
        <w:rPr>
          <w:rFonts w:cstheme="minorHAnsi"/>
          <w:color w:val="auto"/>
        </w:rPr>
        <w:t>11</w:t>
      </w:r>
      <w:r w:rsidRPr="003B3B9D">
        <w:rPr>
          <w:rFonts w:cstheme="minorHAnsi"/>
          <w:color w:val="auto"/>
        </w:rPr>
        <w:t>1-</w:t>
      </w:r>
      <w:r w:rsidR="00A729E0">
        <w:rPr>
          <w:rFonts w:cstheme="minorHAnsi"/>
          <w:color w:val="auto"/>
        </w:rPr>
        <w:t>11</w:t>
      </w:r>
      <w:r w:rsidRPr="003B3B9D">
        <w:rPr>
          <w:rFonts w:cstheme="minorHAnsi"/>
          <w:color w:val="auto"/>
        </w:rPr>
        <w:t xml:space="preserve">8. </w:t>
      </w:r>
      <w:hyperlink r:id="rId20" w:history="1">
        <w:r w:rsidR="009A594E" w:rsidRPr="00BE2965">
          <w:rPr>
            <w:rStyle w:val="Hyperlink"/>
            <w:rFonts w:cstheme="minorHAnsi"/>
          </w:rPr>
          <w:t>https://doi.org/10.1007/s41252-018-0080-6</w:t>
        </w:r>
      </w:hyperlink>
      <w:r w:rsidR="009A594E">
        <w:rPr>
          <w:rFonts w:cstheme="minorHAnsi"/>
          <w:color w:val="auto"/>
        </w:rPr>
        <w:t xml:space="preserve"> </w:t>
      </w:r>
    </w:p>
    <w:p w14:paraId="78358CD9" w14:textId="515D2404"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Grigal</w:t>
      </w:r>
      <w:proofErr w:type="spellEnd"/>
      <w:r w:rsidRPr="003B3B9D">
        <w:rPr>
          <w:rFonts w:cstheme="minorHAnsi"/>
          <w:color w:val="auto"/>
        </w:rPr>
        <w:t xml:space="preserve">, M., Hart, D., &amp; </w:t>
      </w:r>
      <w:proofErr w:type="spellStart"/>
      <w:r w:rsidRPr="003B3B9D">
        <w:rPr>
          <w:rFonts w:cstheme="minorHAnsi"/>
          <w:color w:val="auto"/>
        </w:rPr>
        <w:t>Migliore</w:t>
      </w:r>
      <w:proofErr w:type="spellEnd"/>
      <w:r w:rsidRPr="003B3B9D">
        <w:rPr>
          <w:rFonts w:cstheme="minorHAnsi"/>
          <w:color w:val="auto"/>
        </w:rPr>
        <w:t xml:space="preserve">, A. (2011). Comparing the transition planning, postsecondary education, and employment outcomes of students with intellectual and other disabilities. </w:t>
      </w:r>
      <w:r w:rsidRPr="00EC468A">
        <w:rPr>
          <w:rFonts w:cstheme="minorHAnsi"/>
          <w:i/>
          <w:iCs/>
          <w:color w:val="auto"/>
        </w:rPr>
        <w:t>Career Development for Exceptional Individuals, 34</w:t>
      </w:r>
      <w:r w:rsidRPr="003B3B9D">
        <w:rPr>
          <w:rFonts w:cstheme="minorHAnsi"/>
          <w:color w:val="auto"/>
        </w:rPr>
        <w:t xml:space="preserve">(1), 4-17. </w:t>
      </w:r>
      <w:hyperlink r:id="rId21" w:history="1">
        <w:r w:rsidR="00EC468A" w:rsidRPr="00BE2965">
          <w:rPr>
            <w:rStyle w:val="Hyperlink"/>
            <w:rFonts w:cstheme="minorHAnsi"/>
          </w:rPr>
          <w:t>https://doi.org/10.1177/0885728811399091</w:t>
        </w:r>
      </w:hyperlink>
      <w:r w:rsidR="00EC468A">
        <w:rPr>
          <w:rFonts w:cstheme="minorHAnsi"/>
          <w:color w:val="auto"/>
        </w:rPr>
        <w:t xml:space="preserve"> </w:t>
      </w:r>
    </w:p>
    <w:p w14:paraId="396952A6" w14:textId="0A7C55BC" w:rsidR="003501D5" w:rsidRPr="003B3B9D" w:rsidRDefault="003501D5" w:rsidP="0026176E">
      <w:pPr>
        <w:pStyle w:val="BodyTextSP"/>
        <w:spacing w:before="120" w:after="0"/>
        <w:rPr>
          <w:rFonts w:cstheme="minorHAnsi"/>
          <w:color w:val="auto"/>
        </w:rPr>
      </w:pPr>
      <w:r w:rsidRPr="003B3B9D">
        <w:rPr>
          <w:rFonts w:cstheme="minorHAnsi"/>
          <w:color w:val="auto"/>
        </w:rPr>
        <w:t xml:space="preserve">Haber, M. G., </w:t>
      </w:r>
      <w:proofErr w:type="spellStart"/>
      <w:r w:rsidRPr="003B3B9D">
        <w:rPr>
          <w:rFonts w:cstheme="minorHAnsi"/>
          <w:color w:val="auto"/>
        </w:rPr>
        <w:t>Mazzotti</w:t>
      </w:r>
      <w:proofErr w:type="spellEnd"/>
      <w:r w:rsidRPr="003B3B9D">
        <w:rPr>
          <w:rFonts w:cstheme="minorHAnsi"/>
          <w:color w:val="auto"/>
        </w:rPr>
        <w:t xml:space="preserve">, V. L., </w:t>
      </w:r>
      <w:proofErr w:type="spellStart"/>
      <w:r w:rsidRPr="003B3B9D">
        <w:rPr>
          <w:rFonts w:cstheme="minorHAnsi"/>
          <w:color w:val="auto"/>
        </w:rPr>
        <w:t>Mustian</w:t>
      </w:r>
      <w:proofErr w:type="spellEnd"/>
      <w:r w:rsidRPr="003B3B9D">
        <w:rPr>
          <w:rFonts w:cstheme="minorHAnsi"/>
          <w:color w:val="auto"/>
        </w:rPr>
        <w:t xml:space="preserve">, A. L., Rowe, D. A., Bartholomew, A. L., Test, D. W., &amp; Fowler, C. H. (2016). What works, when, for whom, and with whom: A meta-analytic review of predictors of postsecondary success for students with disabilities. </w:t>
      </w:r>
      <w:r w:rsidRPr="00DC65B3">
        <w:rPr>
          <w:rFonts w:cstheme="minorHAnsi"/>
          <w:i/>
          <w:iCs/>
          <w:color w:val="auto"/>
        </w:rPr>
        <w:t>Review of Educational Research, 86</w:t>
      </w:r>
      <w:r w:rsidRPr="003B3B9D">
        <w:rPr>
          <w:rFonts w:cstheme="minorHAnsi"/>
          <w:color w:val="auto"/>
        </w:rPr>
        <w:t xml:space="preserve">(1), 123-162. </w:t>
      </w:r>
      <w:hyperlink r:id="rId22" w:history="1">
        <w:r w:rsidR="00DC65B3" w:rsidRPr="00BE2965">
          <w:rPr>
            <w:rStyle w:val="Hyperlink"/>
            <w:rFonts w:cstheme="minorHAnsi"/>
          </w:rPr>
          <w:t>https://doi.org/10.3102/0034654315583135</w:t>
        </w:r>
      </w:hyperlink>
      <w:r w:rsidR="00DC65B3">
        <w:rPr>
          <w:rFonts w:cstheme="minorHAnsi"/>
          <w:color w:val="auto"/>
        </w:rPr>
        <w:t xml:space="preserve"> </w:t>
      </w:r>
    </w:p>
    <w:p w14:paraId="189480D9" w14:textId="7A54CE36"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Hagner</w:t>
      </w:r>
      <w:proofErr w:type="spellEnd"/>
      <w:r w:rsidRPr="003B3B9D">
        <w:rPr>
          <w:rFonts w:cstheme="minorHAnsi"/>
          <w:color w:val="auto"/>
        </w:rPr>
        <w:t xml:space="preserve">, D., Kurtz, A., Cloutier, H., Arakelian, C., Brucker, D. L., &amp; May, J. (2012). Outcomes of a family-centered transition process for students with autism spectrum disorders. </w:t>
      </w:r>
      <w:r w:rsidRPr="00874DF8">
        <w:rPr>
          <w:rFonts w:cstheme="minorHAnsi"/>
          <w:i/>
          <w:iCs/>
          <w:color w:val="auto"/>
        </w:rPr>
        <w:t>Focus on Autism and Other Developmental Disabilities, 27</w:t>
      </w:r>
      <w:r w:rsidRPr="003B3B9D">
        <w:rPr>
          <w:rFonts w:cstheme="minorHAnsi"/>
          <w:color w:val="auto"/>
        </w:rPr>
        <w:t>(1), 43-50</w:t>
      </w:r>
      <w:r w:rsidR="00874DF8">
        <w:rPr>
          <w:rFonts w:cstheme="minorHAnsi"/>
          <w:color w:val="auto"/>
        </w:rPr>
        <w:t xml:space="preserve">. </w:t>
      </w:r>
      <w:hyperlink r:id="rId23" w:history="1">
        <w:r w:rsidR="00874DF8" w:rsidRPr="00BE2965">
          <w:rPr>
            <w:rStyle w:val="Hyperlink"/>
            <w:rFonts w:cstheme="minorHAnsi"/>
          </w:rPr>
          <w:t>https://doi.org/10.1177/1088357611430841</w:t>
        </w:r>
      </w:hyperlink>
      <w:r w:rsidR="00874DF8">
        <w:rPr>
          <w:rFonts w:cstheme="minorHAnsi"/>
          <w:color w:val="auto"/>
        </w:rPr>
        <w:t xml:space="preserve"> </w:t>
      </w:r>
    </w:p>
    <w:p w14:paraId="141FD6CE" w14:textId="00AF21B6" w:rsidR="003501D5" w:rsidRPr="003B3B9D" w:rsidRDefault="003501D5" w:rsidP="0026176E">
      <w:pPr>
        <w:pStyle w:val="BodyTextSP"/>
        <w:spacing w:before="120" w:after="0"/>
        <w:rPr>
          <w:rFonts w:cstheme="minorHAnsi"/>
          <w:color w:val="auto"/>
        </w:rPr>
      </w:pPr>
      <w:r w:rsidRPr="003B3B9D">
        <w:rPr>
          <w:rFonts w:cstheme="minorHAnsi"/>
          <w:color w:val="auto"/>
        </w:rPr>
        <w:lastRenderedPageBreak/>
        <w:t xml:space="preserve">Inge, K., Graham, C., Brooks-Lane, N., </w:t>
      </w:r>
      <w:proofErr w:type="spellStart"/>
      <w:r w:rsidRPr="003B3B9D">
        <w:rPr>
          <w:rFonts w:cstheme="minorHAnsi"/>
          <w:color w:val="auto"/>
        </w:rPr>
        <w:t>Wehman</w:t>
      </w:r>
      <w:proofErr w:type="spellEnd"/>
      <w:r w:rsidRPr="003B3B9D">
        <w:rPr>
          <w:rFonts w:cstheme="minorHAnsi"/>
          <w:color w:val="auto"/>
        </w:rPr>
        <w:t xml:space="preserve">, P., &amp; Griffin, C. (2018). Defining customized employment as an evidence-based practice: The results of a focus group study. </w:t>
      </w:r>
      <w:r w:rsidRPr="00A111E5">
        <w:rPr>
          <w:rFonts w:cstheme="minorHAnsi"/>
          <w:i/>
          <w:iCs/>
          <w:color w:val="auto"/>
        </w:rPr>
        <w:t>Journal of Vocational Rehabilitation, 48</w:t>
      </w:r>
      <w:r w:rsidRPr="003B3B9D">
        <w:rPr>
          <w:rFonts w:cstheme="minorHAnsi"/>
          <w:color w:val="auto"/>
        </w:rPr>
        <w:t xml:space="preserve">(2), 155-166. </w:t>
      </w:r>
      <w:hyperlink r:id="rId24" w:history="1">
        <w:r w:rsidR="00297968" w:rsidRPr="00BE2965">
          <w:rPr>
            <w:rStyle w:val="Hyperlink"/>
            <w:rFonts w:cstheme="minorHAnsi"/>
          </w:rPr>
          <w:t>https://doi.org/10.3233/JVR-180928</w:t>
        </w:r>
      </w:hyperlink>
      <w:r w:rsidR="00297968">
        <w:rPr>
          <w:rFonts w:cstheme="minorHAnsi"/>
          <w:color w:val="auto"/>
        </w:rPr>
        <w:t xml:space="preserve"> </w:t>
      </w:r>
    </w:p>
    <w:p w14:paraId="24806BBD" w14:textId="300D1E27" w:rsidR="003501D5" w:rsidRPr="003B3B9D" w:rsidRDefault="003501D5" w:rsidP="0026176E">
      <w:pPr>
        <w:pStyle w:val="BodyTextSP"/>
        <w:spacing w:before="120" w:after="0"/>
        <w:rPr>
          <w:rFonts w:cstheme="minorHAnsi"/>
          <w:color w:val="auto"/>
        </w:rPr>
      </w:pPr>
      <w:r w:rsidRPr="003B3B9D">
        <w:rPr>
          <w:rFonts w:cstheme="minorHAnsi"/>
          <w:color w:val="auto"/>
        </w:rPr>
        <w:t xml:space="preserve">Ju, S., </w:t>
      </w:r>
      <w:proofErr w:type="spellStart"/>
      <w:r w:rsidRPr="003B3B9D">
        <w:rPr>
          <w:rFonts w:cstheme="minorHAnsi"/>
          <w:color w:val="auto"/>
        </w:rPr>
        <w:t>Kortering</w:t>
      </w:r>
      <w:proofErr w:type="spellEnd"/>
      <w:r w:rsidRPr="003B3B9D">
        <w:rPr>
          <w:rFonts w:cstheme="minorHAnsi"/>
          <w:color w:val="auto"/>
        </w:rPr>
        <w:t xml:space="preserve">, L. J., </w:t>
      </w:r>
      <w:proofErr w:type="spellStart"/>
      <w:r w:rsidRPr="003B3B9D">
        <w:rPr>
          <w:rFonts w:cstheme="minorHAnsi"/>
          <w:color w:val="auto"/>
        </w:rPr>
        <w:t>Osmanir</w:t>
      </w:r>
      <w:proofErr w:type="spellEnd"/>
      <w:r w:rsidRPr="003B3B9D">
        <w:rPr>
          <w:rFonts w:cstheme="minorHAnsi"/>
          <w:color w:val="auto"/>
        </w:rPr>
        <w:t xml:space="preserve">, K., &amp; Zhang, D. (2015). Vocational rehabilitation transition outcomes: A look at one state's evidence. </w:t>
      </w:r>
      <w:r w:rsidRPr="00E867C3">
        <w:rPr>
          <w:rFonts w:cstheme="minorHAnsi"/>
          <w:i/>
          <w:iCs/>
          <w:color w:val="auto"/>
        </w:rPr>
        <w:t>Journal of Rehabilitation, 81</w:t>
      </w:r>
      <w:r w:rsidRPr="003B3B9D">
        <w:rPr>
          <w:rFonts w:cstheme="minorHAnsi"/>
          <w:color w:val="auto"/>
        </w:rPr>
        <w:t>(2), 47-53</w:t>
      </w:r>
      <w:r w:rsidR="00E867C3">
        <w:rPr>
          <w:rFonts w:cstheme="minorHAnsi"/>
          <w:color w:val="auto"/>
        </w:rPr>
        <w:t>.</w:t>
      </w:r>
    </w:p>
    <w:p w14:paraId="6DB1EF66" w14:textId="12C6DF14"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Kaehne</w:t>
      </w:r>
      <w:proofErr w:type="spellEnd"/>
      <w:r w:rsidRPr="003B3B9D">
        <w:rPr>
          <w:rFonts w:cstheme="minorHAnsi"/>
          <w:color w:val="auto"/>
        </w:rPr>
        <w:t xml:space="preserve">, A. (2013). Partnerships in local government: The case of transition support services for young people with learning disabilities. </w:t>
      </w:r>
      <w:r w:rsidRPr="00D55F9B">
        <w:rPr>
          <w:rFonts w:cstheme="minorHAnsi"/>
          <w:i/>
          <w:iCs/>
          <w:color w:val="auto"/>
        </w:rPr>
        <w:t>Public Management Review, 15</w:t>
      </w:r>
      <w:r w:rsidRPr="003B3B9D">
        <w:rPr>
          <w:rFonts w:cstheme="minorHAnsi"/>
          <w:color w:val="auto"/>
        </w:rPr>
        <w:t xml:space="preserve">(5), 611-632. </w:t>
      </w:r>
      <w:hyperlink r:id="rId25" w:history="1">
        <w:r w:rsidR="00D55F9B" w:rsidRPr="00BE2965">
          <w:rPr>
            <w:rStyle w:val="Hyperlink"/>
            <w:rFonts w:cstheme="minorHAnsi"/>
          </w:rPr>
          <w:t>https://doi.org/10.1080/14719037.2012.698855</w:t>
        </w:r>
      </w:hyperlink>
      <w:r w:rsidR="00D55F9B">
        <w:rPr>
          <w:rFonts w:cstheme="minorHAnsi"/>
          <w:color w:val="auto"/>
        </w:rPr>
        <w:t xml:space="preserve"> </w:t>
      </w:r>
    </w:p>
    <w:p w14:paraId="1E5CF8F7" w14:textId="77777777" w:rsidR="00DB2256" w:rsidRPr="00A3113B" w:rsidRDefault="00DB2256" w:rsidP="0026176E">
      <w:pPr>
        <w:pStyle w:val="BodyTextSP"/>
        <w:spacing w:before="120" w:after="0"/>
        <w:rPr>
          <w:rFonts w:cstheme="minorHAnsi"/>
          <w:color w:val="auto"/>
        </w:rPr>
      </w:pPr>
      <w:proofErr w:type="spellStart"/>
      <w:r w:rsidRPr="00A3113B">
        <w:rPr>
          <w:rFonts w:cstheme="minorHAnsi"/>
          <w:color w:val="auto"/>
        </w:rPr>
        <w:t>Kaehne</w:t>
      </w:r>
      <w:proofErr w:type="spellEnd"/>
      <w:r w:rsidRPr="00A3113B">
        <w:rPr>
          <w:rFonts w:cstheme="minorHAnsi"/>
          <w:color w:val="auto"/>
        </w:rPr>
        <w:t xml:space="preserve">, A. (2016). Project SEARCH UK – Evaluating its employment outcomes. </w:t>
      </w:r>
      <w:r w:rsidRPr="00A3113B">
        <w:rPr>
          <w:rFonts w:cstheme="minorHAnsi"/>
          <w:i/>
          <w:color w:val="auto"/>
        </w:rPr>
        <w:t>Journal of Applied Research in Intellectual Disabilities</w:t>
      </w:r>
      <w:r w:rsidRPr="00A3113B">
        <w:rPr>
          <w:rFonts w:cstheme="minorHAnsi"/>
          <w:color w:val="auto"/>
        </w:rPr>
        <w:t>,</w:t>
      </w:r>
      <w:r w:rsidRPr="00A3113B">
        <w:rPr>
          <w:rFonts w:cstheme="minorHAnsi"/>
          <w:i/>
          <w:color w:val="auto"/>
        </w:rPr>
        <w:t xml:space="preserve"> 29</w:t>
      </w:r>
      <w:r w:rsidRPr="00A3113B">
        <w:rPr>
          <w:rFonts w:cstheme="minorHAnsi"/>
          <w:color w:val="auto"/>
        </w:rPr>
        <w:t xml:space="preserve">(6), 519-530. </w:t>
      </w:r>
      <w:hyperlink r:id="rId26" w:history="1">
        <w:r w:rsidRPr="00F80395">
          <w:rPr>
            <w:rStyle w:val="Hyperlink"/>
            <w:rFonts w:cstheme="minorHAnsi"/>
          </w:rPr>
          <w:t>https://doi.org/10.1111/jar.12207</w:t>
        </w:r>
      </w:hyperlink>
      <w:r>
        <w:rPr>
          <w:rFonts w:cstheme="minorHAnsi"/>
          <w:color w:val="auto"/>
        </w:rPr>
        <w:t xml:space="preserve"> </w:t>
      </w:r>
    </w:p>
    <w:p w14:paraId="7477F772" w14:textId="11A5BF5A" w:rsidR="003501D5" w:rsidRPr="003B3B9D" w:rsidRDefault="003501D5" w:rsidP="0026176E">
      <w:pPr>
        <w:pStyle w:val="BodyTextSP"/>
        <w:spacing w:before="120" w:after="0"/>
        <w:rPr>
          <w:rFonts w:cstheme="minorHAnsi"/>
          <w:color w:val="auto"/>
        </w:rPr>
      </w:pPr>
      <w:r w:rsidRPr="003B3B9D">
        <w:rPr>
          <w:rFonts w:cstheme="minorHAnsi"/>
          <w:color w:val="auto"/>
        </w:rPr>
        <w:t xml:space="preserve">Kohler, P. D., </w:t>
      </w:r>
      <w:proofErr w:type="spellStart"/>
      <w:r w:rsidRPr="003B3B9D">
        <w:rPr>
          <w:rFonts w:cstheme="minorHAnsi"/>
          <w:color w:val="auto"/>
        </w:rPr>
        <w:t>Gothberg</w:t>
      </w:r>
      <w:proofErr w:type="spellEnd"/>
      <w:r w:rsidRPr="003B3B9D">
        <w:rPr>
          <w:rFonts w:cstheme="minorHAnsi"/>
          <w:color w:val="auto"/>
        </w:rPr>
        <w:t xml:space="preserve">, J. E., Fowler, C., &amp; Coyle, J. (2016). Taxonomy for transition programming 2.0: A model for planning, organizing, and evaluating transition education, services, and programs, Western Michigan University, USA. </w:t>
      </w:r>
      <w:hyperlink r:id="rId27" w:history="1">
        <w:r w:rsidR="007919EB" w:rsidRPr="00BE2965">
          <w:rPr>
            <w:rStyle w:val="Hyperlink"/>
            <w:rFonts w:cstheme="minorHAnsi"/>
          </w:rPr>
          <w:t>https://www.cde.state.co.us/cdesped/transitnprogtxnmy</w:t>
        </w:r>
      </w:hyperlink>
      <w:r w:rsidR="007919EB">
        <w:rPr>
          <w:rFonts w:cstheme="minorHAnsi"/>
          <w:color w:val="auto"/>
        </w:rPr>
        <w:t xml:space="preserve"> </w:t>
      </w:r>
    </w:p>
    <w:p w14:paraId="395CD8EF" w14:textId="0634B3F4" w:rsidR="003501D5" w:rsidRPr="003B3B9D" w:rsidRDefault="003501D5" w:rsidP="0026176E">
      <w:pPr>
        <w:pStyle w:val="BodyTextSP"/>
        <w:spacing w:before="120" w:after="0"/>
        <w:rPr>
          <w:rFonts w:cstheme="minorHAnsi"/>
          <w:color w:val="auto"/>
        </w:rPr>
      </w:pPr>
      <w:r w:rsidRPr="003B3B9D">
        <w:rPr>
          <w:rFonts w:cstheme="minorHAnsi"/>
          <w:color w:val="auto"/>
        </w:rPr>
        <w:t xml:space="preserve">Kohler, P. D., </w:t>
      </w:r>
      <w:proofErr w:type="spellStart"/>
      <w:r w:rsidRPr="003B3B9D">
        <w:rPr>
          <w:rFonts w:cstheme="minorHAnsi"/>
          <w:color w:val="auto"/>
        </w:rPr>
        <w:t>Gothberg</w:t>
      </w:r>
      <w:proofErr w:type="spellEnd"/>
      <w:r w:rsidRPr="003B3B9D">
        <w:rPr>
          <w:rFonts w:cstheme="minorHAnsi"/>
          <w:color w:val="auto"/>
        </w:rPr>
        <w:t xml:space="preserve">, J., &amp; Coyle, J. (2017). Using the taxonomy for transition programming 2.0 to guide transition education. In A. L. </w:t>
      </w:r>
      <w:r w:rsidR="005D74B1">
        <w:rPr>
          <w:rFonts w:cstheme="minorHAnsi"/>
          <w:color w:val="auto"/>
        </w:rPr>
        <w:t>Ellis</w:t>
      </w:r>
      <w:r w:rsidR="00F71B9B">
        <w:rPr>
          <w:rFonts w:cstheme="minorHAnsi"/>
          <w:color w:val="auto"/>
        </w:rPr>
        <w:t xml:space="preserve"> </w:t>
      </w:r>
      <w:r w:rsidRPr="003B3B9D">
        <w:rPr>
          <w:rFonts w:cstheme="minorHAnsi"/>
          <w:color w:val="auto"/>
        </w:rPr>
        <w:t xml:space="preserve">(Ed.), </w:t>
      </w:r>
      <w:r w:rsidRPr="00F71B9B">
        <w:rPr>
          <w:rFonts w:cstheme="minorHAnsi"/>
          <w:i/>
          <w:iCs/>
          <w:color w:val="auto"/>
        </w:rPr>
        <w:t>Transitioning children with Disabilities: Studies in inclusive education</w:t>
      </w:r>
      <w:r w:rsidRPr="003B3B9D">
        <w:rPr>
          <w:rFonts w:cstheme="minorHAnsi"/>
          <w:color w:val="auto"/>
        </w:rPr>
        <w:t xml:space="preserve">. </w:t>
      </w:r>
      <w:proofErr w:type="spellStart"/>
      <w:r w:rsidRPr="003B3B9D">
        <w:rPr>
          <w:rFonts w:cstheme="minorHAnsi"/>
          <w:color w:val="auto"/>
        </w:rPr>
        <w:t>SensePublishers</w:t>
      </w:r>
      <w:proofErr w:type="spellEnd"/>
      <w:r w:rsidRPr="003B3B9D">
        <w:rPr>
          <w:rFonts w:cstheme="minorHAnsi"/>
          <w:color w:val="auto"/>
        </w:rPr>
        <w:t xml:space="preserve">. </w:t>
      </w:r>
      <w:hyperlink r:id="rId28" w:history="1">
        <w:r w:rsidR="00F71B9B" w:rsidRPr="00BE2965">
          <w:rPr>
            <w:rStyle w:val="Hyperlink"/>
            <w:rFonts w:cstheme="minorHAnsi"/>
          </w:rPr>
          <w:t>https://doi.org/https://doi.org/10.1007/978-94-6351-134-6_11</w:t>
        </w:r>
      </w:hyperlink>
      <w:r w:rsidR="00F71B9B">
        <w:rPr>
          <w:rFonts w:cstheme="minorHAnsi"/>
          <w:color w:val="auto"/>
        </w:rPr>
        <w:t xml:space="preserve"> </w:t>
      </w:r>
    </w:p>
    <w:p w14:paraId="39FB20DE" w14:textId="5FF80912" w:rsidR="003501D5" w:rsidRPr="003B3B9D" w:rsidRDefault="003501D5" w:rsidP="0026176E">
      <w:pPr>
        <w:pStyle w:val="BodyTextSP"/>
        <w:spacing w:before="120" w:after="0"/>
        <w:rPr>
          <w:rFonts w:cstheme="minorHAnsi"/>
          <w:color w:val="auto"/>
        </w:rPr>
      </w:pPr>
      <w:r w:rsidRPr="003B3B9D">
        <w:rPr>
          <w:rFonts w:cstheme="minorHAnsi"/>
          <w:color w:val="auto"/>
        </w:rPr>
        <w:t xml:space="preserve">Lindstrom, L., Hirano, K. A., McCarthy, C., &amp; </w:t>
      </w:r>
      <w:proofErr w:type="spellStart"/>
      <w:r w:rsidRPr="003B3B9D">
        <w:rPr>
          <w:rFonts w:cstheme="minorHAnsi"/>
          <w:color w:val="auto"/>
        </w:rPr>
        <w:t>Alverson</w:t>
      </w:r>
      <w:proofErr w:type="spellEnd"/>
      <w:r w:rsidRPr="003B3B9D">
        <w:rPr>
          <w:rFonts w:cstheme="minorHAnsi"/>
          <w:color w:val="auto"/>
        </w:rPr>
        <w:t xml:space="preserve">, C. Y. (2014). ‘Just having a job’: Career advancement for low-wage workers with intellectual and developmental disabilities. </w:t>
      </w:r>
      <w:r w:rsidRPr="00AE4DB7">
        <w:rPr>
          <w:rFonts w:cstheme="minorHAnsi"/>
          <w:i/>
          <w:iCs/>
          <w:color w:val="auto"/>
        </w:rPr>
        <w:t>Career Development and Transition for Exceptional Individuals, 37</w:t>
      </w:r>
      <w:r w:rsidRPr="003B3B9D">
        <w:rPr>
          <w:rFonts w:cstheme="minorHAnsi"/>
          <w:color w:val="auto"/>
        </w:rPr>
        <w:t xml:space="preserve">(1), 40-49. </w:t>
      </w:r>
      <w:hyperlink r:id="rId29" w:history="1">
        <w:r w:rsidR="00AE4DB7" w:rsidRPr="00BE2965">
          <w:rPr>
            <w:rStyle w:val="Hyperlink"/>
            <w:rFonts w:cstheme="minorHAnsi"/>
          </w:rPr>
          <w:t>https://doi.org/10.1177/2165143414522092</w:t>
        </w:r>
      </w:hyperlink>
      <w:r w:rsidR="00AE4DB7">
        <w:rPr>
          <w:rFonts w:cstheme="minorHAnsi"/>
          <w:color w:val="auto"/>
        </w:rPr>
        <w:t xml:space="preserve"> </w:t>
      </w:r>
    </w:p>
    <w:p w14:paraId="7228A888" w14:textId="335B96D1" w:rsidR="003501D5" w:rsidRPr="003B3B9D" w:rsidRDefault="003501D5" w:rsidP="0026176E">
      <w:pPr>
        <w:pStyle w:val="BodyTextSP"/>
        <w:spacing w:before="120" w:after="0"/>
        <w:rPr>
          <w:rFonts w:cstheme="minorHAnsi"/>
          <w:color w:val="auto"/>
        </w:rPr>
      </w:pPr>
      <w:r w:rsidRPr="003B3B9D">
        <w:rPr>
          <w:rFonts w:cstheme="minorHAnsi"/>
          <w:color w:val="auto"/>
        </w:rPr>
        <w:t xml:space="preserve">Meadows, D. (2019). Collaboration – The key to unlocking a successful future for young people with disability. National Disability Services. </w:t>
      </w:r>
      <w:hyperlink r:id="rId30" w:history="1">
        <w:r w:rsidR="001657A8" w:rsidRPr="00BE2965">
          <w:rPr>
            <w:rStyle w:val="Hyperlink"/>
            <w:rFonts w:cstheme="minorHAnsi"/>
          </w:rPr>
          <w:t>https://tickettowork.org.au/media/download_resources/pdf/Collaboration-the-key-to-unlocking-a-successful-future-for.pdf</w:t>
        </w:r>
      </w:hyperlink>
      <w:r w:rsidR="001657A8">
        <w:rPr>
          <w:rFonts w:cstheme="minorHAnsi"/>
          <w:color w:val="auto"/>
        </w:rPr>
        <w:t xml:space="preserve"> </w:t>
      </w:r>
    </w:p>
    <w:p w14:paraId="1CD658FA" w14:textId="77701E07"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Molfenter</w:t>
      </w:r>
      <w:proofErr w:type="spellEnd"/>
      <w:r w:rsidRPr="003B3B9D">
        <w:rPr>
          <w:rFonts w:cstheme="minorHAnsi"/>
          <w:color w:val="auto"/>
        </w:rPr>
        <w:t xml:space="preserve">, N. F., Hartman, E., </w:t>
      </w:r>
      <w:proofErr w:type="spellStart"/>
      <w:r w:rsidRPr="003B3B9D">
        <w:rPr>
          <w:rFonts w:cstheme="minorHAnsi"/>
          <w:color w:val="auto"/>
        </w:rPr>
        <w:t>Neugart</w:t>
      </w:r>
      <w:proofErr w:type="spellEnd"/>
      <w:r w:rsidRPr="003B3B9D">
        <w:rPr>
          <w:rFonts w:cstheme="minorHAnsi"/>
          <w:color w:val="auto"/>
        </w:rPr>
        <w:t xml:space="preserve">, J., &amp; Web, S. (2017). Let's Get to Work Wisconsin: Launching youth with intellectual and developmental disabilities into the workforce. </w:t>
      </w:r>
      <w:r w:rsidRPr="001657A8">
        <w:rPr>
          <w:rFonts w:cstheme="minorHAnsi"/>
          <w:i/>
          <w:iCs/>
          <w:color w:val="auto"/>
        </w:rPr>
        <w:t>Journal of Vocational Rehabilitation, 47</w:t>
      </w:r>
      <w:r w:rsidRPr="003B3B9D">
        <w:rPr>
          <w:rFonts w:cstheme="minorHAnsi"/>
          <w:color w:val="auto"/>
        </w:rPr>
        <w:t xml:space="preserve">(3), 379-390. </w:t>
      </w:r>
      <w:hyperlink r:id="rId31" w:history="1">
        <w:r w:rsidR="001657A8" w:rsidRPr="00BE2965">
          <w:rPr>
            <w:rStyle w:val="Hyperlink"/>
            <w:rFonts w:cstheme="minorHAnsi"/>
          </w:rPr>
          <w:t>https://doi.org/10.3233/JVR-170910</w:t>
        </w:r>
      </w:hyperlink>
      <w:r w:rsidR="001657A8">
        <w:rPr>
          <w:rFonts w:cstheme="minorHAnsi"/>
          <w:color w:val="auto"/>
        </w:rPr>
        <w:t xml:space="preserve"> </w:t>
      </w:r>
    </w:p>
    <w:p w14:paraId="66203421" w14:textId="01D01309" w:rsidR="003501D5" w:rsidRPr="003B3B9D" w:rsidRDefault="003501D5" w:rsidP="0026176E">
      <w:pPr>
        <w:pStyle w:val="BodyTextSP"/>
        <w:spacing w:before="120" w:after="0"/>
        <w:rPr>
          <w:rFonts w:cstheme="minorHAnsi"/>
          <w:color w:val="auto"/>
        </w:rPr>
      </w:pPr>
      <w:r w:rsidRPr="003B3B9D">
        <w:rPr>
          <w:rFonts w:cstheme="minorHAnsi"/>
          <w:color w:val="auto"/>
        </w:rPr>
        <w:t xml:space="preserve">Moore, E. J., &amp; Schelling, A. (2015). Postsecondary inclusion for individuals with an intellectual disability and its effects on employment. </w:t>
      </w:r>
      <w:r w:rsidRPr="001657A8">
        <w:rPr>
          <w:rFonts w:cstheme="minorHAnsi"/>
          <w:i/>
          <w:iCs/>
          <w:color w:val="auto"/>
        </w:rPr>
        <w:t>Journal of Intellectual Disabilities, 19</w:t>
      </w:r>
      <w:r w:rsidRPr="003B3B9D">
        <w:rPr>
          <w:rFonts w:cstheme="minorHAnsi"/>
          <w:color w:val="auto"/>
        </w:rPr>
        <w:t xml:space="preserve">(2), 130-148. </w:t>
      </w:r>
      <w:hyperlink r:id="rId32" w:history="1">
        <w:r w:rsidR="001657A8" w:rsidRPr="00BE2965">
          <w:rPr>
            <w:rStyle w:val="Hyperlink"/>
            <w:rFonts w:cstheme="minorHAnsi"/>
          </w:rPr>
          <w:t>https://doi.org/10.1177/1744629514564448</w:t>
        </w:r>
      </w:hyperlink>
      <w:r w:rsidR="001657A8">
        <w:rPr>
          <w:rFonts w:cstheme="minorHAnsi"/>
          <w:color w:val="auto"/>
        </w:rPr>
        <w:t xml:space="preserve"> </w:t>
      </w:r>
    </w:p>
    <w:p w14:paraId="7C7CB080" w14:textId="5D8AFC02" w:rsidR="003501D5" w:rsidRPr="003B3B9D" w:rsidRDefault="003501D5" w:rsidP="0026176E">
      <w:pPr>
        <w:pStyle w:val="BodyTextSP"/>
        <w:spacing w:before="120" w:after="0"/>
        <w:rPr>
          <w:rFonts w:cstheme="minorHAnsi"/>
          <w:color w:val="auto"/>
        </w:rPr>
      </w:pPr>
      <w:r w:rsidRPr="003B3B9D">
        <w:rPr>
          <w:rFonts w:cstheme="minorHAnsi"/>
          <w:color w:val="auto"/>
        </w:rPr>
        <w:t>NDIA</w:t>
      </w:r>
      <w:r w:rsidR="002959EC">
        <w:rPr>
          <w:rFonts w:cstheme="minorHAnsi"/>
          <w:color w:val="auto"/>
        </w:rPr>
        <w:t>.</w:t>
      </w:r>
      <w:r w:rsidRPr="003B3B9D">
        <w:rPr>
          <w:rFonts w:cstheme="minorHAnsi"/>
          <w:color w:val="auto"/>
        </w:rPr>
        <w:t xml:space="preserve"> (2019a)</w:t>
      </w:r>
      <w:r w:rsidR="002959EC">
        <w:rPr>
          <w:rFonts w:cstheme="minorHAnsi"/>
          <w:color w:val="auto"/>
        </w:rPr>
        <w:t>.</w:t>
      </w:r>
      <w:r w:rsidRPr="003B3B9D">
        <w:rPr>
          <w:rFonts w:cstheme="minorHAnsi"/>
          <w:color w:val="auto"/>
        </w:rPr>
        <w:t xml:space="preserve"> </w:t>
      </w:r>
      <w:r w:rsidRPr="002959EC">
        <w:rPr>
          <w:rFonts w:cstheme="minorHAnsi"/>
          <w:i/>
          <w:iCs/>
          <w:color w:val="auto"/>
        </w:rPr>
        <w:t>People with an intellectual disability in the NDIS 31 December 2019 – data tables</w:t>
      </w:r>
      <w:r w:rsidR="002959EC" w:rsidRPr="002959EC">
        <w:rPr>
          <w:rFonts w:cstheme="minorHAnsi"/>
          <w:i/>
          <w:iCs/>
          <w:color w:val="auto"/>
        </w:rPr>
        <w:t>.</w:t>
      </w:r>
      <w:r w:rsidRPr="003B3B9D">
        <w:rPr>
          <w:rFonts w:cstheme="minorHAnsi"/>
          <w:color w:val="auto"/>
        </w:rPr>
        <w:t xml:space="preserve"> </w:t>
      </w:r>
      <w:hyperlink r:id="rId33" w:history="1">
        <w:r w:rsidR="002959EC" w:rsidRPr="00BE2965">
          <w:rPr>
            <w:rStyle w:val="Hyperlink"/>
            <w:rFonts w:cstheme="minorHAnsi"/>
          </w:rPr>
          <w:t>https://data.ndis.gov.au/reports-and-analyses/participant-groups/people-intellectual-disability-ndis</w:t>
        </w:r>
      </w:hyperlink>
      <w:r w:rsidR="002959EC">
        <w:rPr>
          <w:rFonts w:cstheme="minorHAnsi"/>
          <w:color w:val="auto"/>
        </w:rPr>
        <w:t xml:space="preserve"> </w:t>
      </w:r>
    </w:p>
    <w:p w14:paraId="568C0886" w14:textId="5C6E12B4" w:rsidR="003501D5" w:rsidRPr="003B3B9D" w:rsidRDefault="003501D5" w:rsidP="0026176E">
      <w:pPr>
        <w:pStyle w:val="BodyTextSP"/>
        <w:spacing w:before="120" w:after="0"/>
        <w:rPr>
          <w:rFonts w:cstheme="minorHAnsi"/>
          <w:color w:val="auto"/>
        </w:rPr>
      </w:pPr>
      <w:r w:rsidRPr="003B3B9D">
        <w:rPr>
          <w:rFonts w:cstheme="minorHAnsi"/>
          <w:color w:val="auto"/>
        </w:rPr>
        <w:t>NDIA</w:t>
      </w:r>
      <w:r w:rsidR="002959EC">
        <w:rPr>
          <w:rFonts w:cstheme="minorHAnsi"/>
          <w:color w:val="auto"/>
        </w:rPr>
        <w:t>.</w:t>
      </w:r>
      <w:r w:rsidRPr="003B3B9D">
        <w:rPr>
          <w:rFonts w:cstheme="minorHAnsi"/>
          <w:color w:val="auto"/>
        </w:rPr>
        <w:t xml:space="preserve"> (2019b)</w:t>
      </w:r>
      <w:r w:rsidR="002959EC">
        <w:rPr>
          <w:rFonts w:cstheme="minorHAnsi"/>
          <w:color w:val="auto"/>
        </w:rPr>
        <w:t>.</w:t>
      </w:r>
      <w:r w:rsidRPr="003B3B9D">
        <w:rPr>
          <w:rFonts w:cstheme="minorHAnsi"/>
          <w:color w:val="auto"/>
        </w:rPr>
        <w:t xml:space="preserve"> </w:t>
      </w:r>
      <w:r w:rsidRPr="002959EC">
        <w:rPr>
          <w:rFonts w:cstheme="minorHAnsi"/>
          <w:i/>
          <w:iCs/>
          <w:color w:val="auto"/>
        </w:rPr>
        <w:t>People with an intellectual disability in the NDIS, 31 December 2019 (report)</w:t>
      </w:r>
      <w:r w:rsidR="002959EC" w:rsidRPr="002959EC">
        <w:rPr>
          <w:rFonts w:cstheme="minorHAnsi"/>
          <w:i/>
          <w:iCs/>
          <w:color w:val="auto"/>
        </w:rPr>
        <w:t>.</w:t>
      </w:r>
      <w:r w:rsidRPr="003B3B9D">
        <w:rPr>
          <w:rFonts w:cstheme="minorHAnsi"/>
          <w:color w:val="auto"/>
        </w:rPr>
        <w:t xml:space="preserve"> </w:t>
      </w:r>
      <w:hyperlink r:id="rId34" w:history="1">
        <w:r w:rsidR="002959EC" w:rsidRPr="00BE2965">
          <w:rPr>
            <w:rStyle w:val="Hyperlink"/>
            <w:rFonts w:cstheme="minorHAnsi"/>
          </w:rPr>
          <w:t>https://data.ndis.gov.au/reports-and-analyses/participant-groups/people-intellectual-disability-ndis</w:t>
        </w:r>
      </w:hyperlink>
      <w:r w:rsidR="002959EC">
        <w:rPr>
          <w:rFonts w:cstheme="minorHAnsi"/>
          <w:color w:val="auto"/>
        </w:rPr>
        <w:t xml:space="preserve"> </w:t>
      </w:r>
    </w:p>
    <w:p w14:paraId="552FD76B" w14:textId="38F497B8" w:rsidR="003501D5" w:rsidRPr="003B3B9D" w:rsidRDefault="003501D5" w:rsidP="0026176E">
      <w:pPr>
        <w:pStyle w:val="BodyTextSP"/>
        <w:spacing w:before="120" w:after="0"/>
        <w:rPr>
          <w:rFonts w:cstheme="minorHAnsi"/>
          <w:color w:val="auto"/>
        </w:rPr>
      </w:pPr>
      <w:bookmarkStart w:id="4" w:name="_Hlk118629971"/>
      <w:bookmarkEnd w:id="3"/>
      <w:r w:rsidRPr="003B3B9D">
        <w:rPr>
          <w:rFonts w:cstheme="minorHAnsi"/>
          <w:color w:val="auto"/>
        </w:rPr>
        <w:t>NDIA</w:t>
      </w:r>
      <w:r w:rsidR="002959EC">
        <w:rPr>
          <w:rFonts w:cstheme="minorHAnsi"/>
          <w:color w:val="auto"/>
        </w:rPr>
        <w:t>.</w:t>
      </w:r>
      <w:r w:rsidRPr="003B3B9D">
        <w:rPr>
          <w:rFonts w:cstheme="minorHAnsi"/>
          <w:color w:val="auto"/>
        </w:rPr>
        <w:t xml:space="preserve"> (2020)</w:t>
      </w:r>
      <w:r w:rsidR="002959EC">
        <w:rPr>
          <w:rFonts w:cstheme="minorHAnsi"/>
          <w:color w:val="auto"/>
        </w:rPr>
        <w:t>.</w:t>
      </w:r>
      <w:r w:rsidRPr="003B3B9D">
        <w:rPr>
          <w:rFonts w:cstheme="minorHAnsi"/>
          <w:color w:val="auto"/>
        </w:rPr>
        <w:t xml:space="preserve"> </w:t>
      </w:r>
      <w:r w:rsidRPr="002959EC">
        <w:rPr>
          <w:rFonts w:cstheme="minorHAnsi"/>
          <w:i/>
          <w:iCs/>
          <w:color w:val="auto"/>
        </w:rPr>
        <w:t xml:space="preserve">Employment outcomes for NDIS participants, as </w:t>
      </w:r>
      <w:proofErr w:type="gramStart"/>
      <w:r w:rsidRPr="002959EC">
        <w:rPr>
          <w:rFonts w:cstheme="minorHAnsi"/>
          <w:i/>
          <w:iCs/>
          <w:color w:val="auto"/>
        </w:rPr>
        <w:t>at</w:t>
      </w:r>
      <w:proofErr w:type="gramEnd"/>
      <w:r w:rsidRPr="002959EC">
        <w:rPr>
          <w:rFonts w:cstheme="minorHAnsi"/>
          <w:i/>
          <w:iCs/>
          <w:color w:val="auto"/>
        </w:rPr>
        <w:t xml:space="preserve"> 21 December 2020</w:t>
      </w:r>
      <w:r w:rsidR="002959EC" w:rsidRPr="002959EC">
        <w:rPr>
          <w:rFonts w:cstheme="minorHAnsi"/>
          <w:i/>
          <w:iCs/>
          <w:color w:val="auto"/>
        </w:rPr>
        <w:t>.</w:t>
      </w:r>
      <w:r w:rsidRPr="003B3B9D">
        <w:rPr>
          <w:rFonts w:cstheme="minorHAnsi"/>
          <w:color w:val="auto"/>
        </w:rPr>
        <w:t xml:space="preserve"> </w:t>
      </w:r>
      <w:hyperlink r:id="rId35" w:history="1">
        <w:r w:rsidR="002959EC" w:rsidRPr="00BE2965">
          <w:rPr>
            <w:rStyle w:val="Hyperlink"/>
            <w:rFonts w:cstheme="minorHAnsi"/>
          </w:rPr>
          <w:t>https://data.ndis.gov.au/reports-and-analyses/outcomes-and-goals/employment-outcomes-participants-their-families-and-carers</w:t>
        </w:r>
      </w:hyperlink>
      <w:r w:rsidR="002959EC">
        <w:rPr>
          <w:rFonts w:cstheme="minorHAnsi"/>
          <w:color w:val="auto"/>
        </w:rPr>
        <w:t xml:space="preserve"> </w:t>
      </w:r>
    </w:p>
    <w:bookmarkEnd w:id="4"/>
    <w:p w14:paraId="2767FC70" w14:textId="57385779" w:rsidR="003501D5" w:rsidRPr="003B3B9D" w:rsidRDefault="003501D5" w:rsidP="0026176E">
      <w:pPr>
        <w:pStyle w:val="BodyTextSP"/>
        <w:spacing w:before="120" w:after="0"/>
        <w:rPr>
          <w:rFonts w:cstheme="minorHAnsi"/>
          <w:color w:val="auto"/>
        </w:rPr>
      </w:pPr>
      <w:r w:rsidRPr="003B3B9D">
        <w:rPr>
          <w:rFonts w:cstheme="minorHAnsi"/>
          <w:color w:val="auto"/>
        </w:rPr>
        <w:t>NDIA, Market Innovation and Employment Branch</w:t>
      </w:r>
      <w:r w:rsidR="002959EC">
        <w:rPr>
          <w:rFonts w:cstheme="minorHAnsi"/>
          <w:color w:val="auto"/>
        </w:rPr>
        <w:t>.</w:t>
      </w:r>
      <w:r w:rsidRPr="003B3B9D">
        <w:rPr>
          <w:rFonts w:cstheme="minorHAnsi"/>
          <w:color w:val="auto"/>
        </w:rPr>
        <w:t xml:space="preserve"> (2022a). </w:t>
      </w:r>
      <w:r w:rsidRPr="002959EC">
        <w:rPr>
          <w:rFonts w:cstheme="minorHAnsi"/>
          <w:i/>
          <w:iCs/>
          <w:color w:val="auto"/>
        </w:rPr>
        <w:t>Provider quarterly report- School leaver employment, January -December 2021</w:t>
      </w:r>
      <w:r w:rsidRPr="003B3B9D">
        <w:rPr>
          <w:rFonts w:cstheme="minorHAnsi"/>
          <w:color w:val="auto"/>
        </w:rPr>
        <w:t xml:space="preserve">. </w:t>
      </w:r>
      <w:hyperlink r:id="rId36" w:anchor="provider-quarterly-report-school-leaver-employment" w:history="1">
        <w:r w:rsidR="002959EC" w:rsidRPr="00BE2965">
          <w:rPr>
            <w:rStyle w:val="Hyperlink"/>
            <w:rFonts w:cstheme="minorHAnsi"/>
          </w:rPr>
          <w:t>https://www.ndis.gov.au/providers/working-</w:t>
        </w:r>
        <w:r w:rsidR="002959EC" w:rsidRPr="00BE2965">
          <w:rPr>
            <w:rStyle w:val="Hyperlink"/>
            <w:rFonts w:cstheme="minorHAnsi"/>
          </w:rPr>
          <w:lastRenderedPageBreak/>
          <w:t>provider/school-leaver-employment-supports#provider-quarterly-report-school-leaver-employment</w:t>
        </w:r>
      </w:hyperlink>
      <w:r w:rsidR="002959EC">
        <w:rPr>
          <w:rFonts w:cstheme="minorHAnsi"/>
          <w:color w:val="auto"/>
        </w:rPr>
        <w:t xml:space="preserve"> </w:t>
      </w:r>
    </w:p>
    <w:p w14:paraId="5B4C22FC" w14:textId="11144580" w:rsidR="003501D5" w:rsidRPr="003B3B9D" w:rsidRDefault="003501D5" w:rsidP="0026176E">
      <w:pPr>
        <w:pStyle w:val="BodyTextSP"/>
        <w:spacing w:before="120" w:after="0"/>
        <w:rPr>
          <w:rFonts w:cstheme="minorHAnsi"/>
          <w:color w:val="auto"/>
        </w:rPr>
      </w:pPr>
      <w:bookmarkStart w:id="5" w:name="_Hlk118630100"/>
      <w:r w:rsidRPr="003B3B9D">
        <w:rPr>
          <w:rFonts w:cstheme="minorHAnsi"/>
          <w:color w:val="auto"/>
        </w:rPr>
        <w:t>NDIA, Market Innovation and Employment Branch</w:t>
      </w:r>
      <w:r w:rsidR="002959EC">
        <w:rPr>
          <w:rFonts w:cstheme="minorHAnsi"/>
          <w:color w:val="auto"/>
        </w:rPr>
        <w:t>.</w:t>
      </w:r>
      <w:r w:rsidRPr="003B3B9D">
        <w:rPr>
          <w:rFonts w:cstheme="minorHAnsi"/>
          <w:color w:val="auto"/>
        </w:rPr>
        <w:t xml:space="preserve"> (2022b). </w:t>
      </w:r>
      <w:r w:rsidRPr="002959EC">
        <w:rPr>
          <w:rFonts w:cstheme="minorHAnsi"/>
          <w:i/>
          <w:iCs/>
          <w:color w:val="auto"/>
        </w:rPr>
        <w:t>School leave participant survey report, September 2022</w:t>
      </w:r>
      <w:r w:rsidR="002959EC">
        <w:rPr>
          <w:rFonts w:cstheme="minorHAnsi"/>
          <w:color w:val="auto"/>
        </w:rPr>
        <w:t>.</w:t>
      </w:r>
      <w:r w:rsidRPr="003B3B9D">
        <w:rPr>
          <w:rFonts w:cstheme="minorHAnsi"/>
          <w:color w:val="auto"/>
        </w:rPr>
        <w:t xml:space="preserve"> </w:t>
      </w:r>
      <w:hyperlink r:id="rId37" w:anchor="school-leaver-participant-survey-report" w:history="1">
        <w:r w:rsidR="002959EC" w:rsidRPr="00BE2965">
          <w:rPr>
            <w:rStyle w:val="Hyperlink"/>
            <w:rFonts w:cstheme="minorHAnsi"/>
          </w:rPr>
          <w:t>https://www.ndis.gov.au/participants/finding-keeping-and-changing-jobs/leaving-school#school-leaver-participant-survey-report</w:t>
        </w:r>
      </w:hyperlink>
      <w:r w:rsidR="002959EC">
        <w:rPr>
          <w:rFonts w:cstheme="minorHAnsi"/>
          <w:color w:val="auto"/>
        </w:rPr>
        <w:t xml:space="preserve"> </w:t>
      </w:r>
    </w:p>
    <w:bookmarkEnd w:id="5"/>
    <w:p w14:paraId="12E716A2" w14:textId="3839C7A1" w:rsidR="003501D5" w:rsidRPr="003B3B9D" w:rsidRDefault="003501D5" w:rsidP="0026176E">
      <w:pPr>
        <w:pStyle w:val="BodyTextSP"/>
        <w:spacing w:before="120" w:after="0"/>
        <w:rPr>
          <w:rFonts w:cstheme="minorHAnsi"/>
          <w:color w:val="auto"/>
        </w:rPr>
      </w:pPr>
      <w:r w:rsidRPr="003B3B9D">
        <w:rPr>
          <w:rFonts w:cstheme="minorHAnsi"/>
          <w:color w:val="auto"/>
        </w:rPr>
        <w:t xml:space="preserve">O'Brien, P., </w:t>
      </w:r>
      <w:proofErr w:type="spellStart"/>
      <w:r w:rsidRPr="003B3B9D">
        <w:rPr>
          <w:rFonts w:cstheme="minorHAnsi"/>
          <w:color w:val="auto"/>
        </w:rPr>
        <w:t>Bonati</w:t>
      </w:r>
      <w:proofErr w:type="spellEnd"/>
      <w:r w:rsidRPr="003B3B9D">
        <w:rPr>
          <w:rFonts w:cstheme="minorHAnsi"/>
          <w:color w:val="auto"/>
        </w:rPr>
        <w:t xml:space="preserve">, M. L., </w:t>
      </w:r>
      <w:proofErr w:type="spellStart"/>
      <w:r w:rsidRPr="003B3B9D">
        <w:rPr>
          <w:rFonts w:cstheme="minorHAnsi"/>
          <w:color w:val="auto"/>
        </w:rPr>
        <w:t>Gadow</w:t>
      </w:r>
      <w:proofErr w:type="spellEnd"/>
      <w:r w:rsidRPr="003B3B9D">
        <w:rPr>
          <w:rFonts w:cstheme="minorHAnsi"/>
          <w:color w:val="auto"/>
        </w:rPr>
        <w:t xml:space="preserve">, F., &amp; </w:t>
      </w:r>
      <w:proofErr w:type="spellStart"/>
      <w:r w:rsidRPr="003B3B9D">
        <w:rPr>
          <w:rFonts w:cstheme="minorHAnsi"/>
          <w:color w:val="auto"/>
        </w:rPr>
        <w:t>Slee</w:t>
      </w:r>
      <w:proofErr w:type="spellEnd"/>
      <w:r w:rsidRPr="003B3B9D">
        <w:rPr>
          <w:rFonts w:cstheme="minorHAnsi"/>
          <w:color w:val="auto"/>
        </w:rPr>
        <w:t xml:space="preserve">, R. (2019). </w:t>
      </w:r>
      <w:r w:rsidRPr="005D3E98">
        <w:rPr>
          <w:rFonts w:cstheme="minorHAnsi"/>
          <w:i/>
          <w:iCs/>
          <w:color w:val="auto"/>
        </w:rPr>
        <w:t>People with intellectual disability experiencing university life: Theoretical underpinnings, evidence and lived experience</w:t>
      </w:r>
      <w:r w:rsidRPr="003B3B9D">
        <w:rPr>
          <w:rFonts w:cstheme="minorHAnsi"/>
          <w:color w:val="auto"/>
        </w:rPr>
        <w:t>. Brill.</w:t>
      </w:r>
      <w:r w:rsidR="006B4897">
        <w:rPr>
          <w:rFonts w:cstheme="minorHAnsi"/>
          <w:color w:val="auto"/>
        </w:rPr>
        <w:t xml:space="preserve"> </w:t>
      </w:r>
      <w:hyperlink r:id="rId38" w:history="1">
        <w:r w:rsidR="006B4897" w:rsidRPr="00BE2965">
          <w:rPr>
            <w:rStyle w:val="Hyperlink"/>
            <w:rFonts w:cstheme="minorHAnsi"/>
          </w:rPr>
          <w:t>https://doi.org/10.1163/9789004394551</w:t>
        </w:r>
      </w:hyperlink>
      <w:r w:rsidR="006B4897">
        <w:rPr>
          <w:rFonts w:cstheme="minorHAnsi"/>
          <w:color w:val="auto"/>
        </w:rPr>
        <w:t xml:space="preserve"> </w:t>
      </w:r>
    </w:p>
    <w:p w14:paraId="465C0CB5" w14:textId="6D6F0B8F"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Papay</w:t>
      </w:r>
      <w:proofErr w:type="spellEnd"/>
      <w:r w:rsidRPr="003B3B9D">
        <w:rPr>
          <w:rFonts w:cstheme="minorHAnsi"/>
          <w:color w:val="auto"/>
        </w:rPr>
        <w:t xml:space="preserve">, C. K., &amp; Bambara, L. M. (2014). Best practices in transition to adult life for youth with intellectual disabilities. </w:t>
      </w:r>
      <w:r w:rsidRPr="005D3E98">
        <w:rPr>
          <w:rFonts w:cstheme="minorHAnsi"/>
          <w:i/>
          <w:iCs/>
          <w:color w:val="auto"/>
        </w:rPr>
        <w:t>Career Development and Transition for Exceptional Individuals, 37</w:t>
      </w:r>
      <w:r w:rsidRPr="003B3B9D">
        <w:rPr>
          <w:rFonts w:cstheme="minorHAnsi"/>
          <w:color w:val="auto"/>
        </w:rPr>
        <w:t xml:space="preserve">(3), 136-148. </w:t>
      </w:r>
      <w:hyperlink r:id="rId39" w:history="1">
        <w:r w:rsidR="005D3E98" w:rsidRPr="00BE2965">
          <w:rPr>
            <w:rStyle w:val="Hyperlink"/>
            <w:rFonts w:cstheme="minorHAnsi"/>
          </w:rPr>
          <w:t>https://doi.org/10.1177/2165143413486693</w:t>
        </w:r>
      </w:hyperlink>
      <w:r w:rsidR="005D3E98">
        <w:rPr>
          <w:rFonts w:cstheme="minorHAnsi"/>
          <w:color w:val="auto"/>
        </w:rPr>
        <w:t xml:space="preserve"> </w:t>
      </w:r>
    </w:p>
    <w:p w14:paraId="54605D03" w14:textId="6E5D54C3"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Pleet-Odle</w:t>
      </w:r>
      <w:proofErr w:type="spellEnd"/>
      <w:r w:rsidRPr="003B3B9D">
        <w:rPr>
          <w:rFonts w:cstheme="minorHAnsi"/>
          <w:color w:val="auto"/>
        </w:rPr>
        <w:t xml:space="preserve">, A., </w:t>
      </w:r>
      <w:proofErr w:type="spellStart"/>
      <w:r w:rsidRPr="003B3B9D">
        <w:rPr>
          <w:rFonts w:cstheme="minorHAnsi"/>
          <w:color w:val="auto"/>
        </w:rPr>
        <w:t>Aspel</w:t>
      </w:r>
      <w:proofErr w:type="spellEnd"/>
      <w:r w:rsidRPr="003B3B9D">
        <w:rPr>
          <w:rFonts w:cstheme="minorHAnsi"/>
          <w:color w:val="auto"/>
        </w:rPr>
        <w:t xml:space="preserve">, N., </w:t>
      </w:r>
      <w:proofErr w:type="spellStart"/>
      <w:r w:rsidRPr="003B3B9D">
        <w:rPr>
          <w:rFonts w:cstheme="minorHAnsi"/>
          <w:color w:val="auto"/>
        </w:rPr>
        <w:t>Leuchovius</w:t>
      </w:r>
      <w:proofErr w:type="spellEnd"/>
      <w:r w:rsidRPr="003B3B9D">
        <w:rPr>
          <w:rFonts w:cstheme="minorHAnsi"/>
          <w:color w:val="auto"/>
        </w:rPr>
        <w:t xml:space="preserve">, D., Roy, S., Hawkins, C., Jennings, D., Turnbull, A., &amp; Test, D. W. (2016). Promoting high expectations for postschool success by family members: A ‘to-do’ list for professionals. </w:t>
      </w:r>
      <w:r w:rsidRPr="00273302">
        <w:rPr>
          <w:rFonts w:cstheme="minorHAnsi"/>
          <w:i/>
          <w:iCs/>
          <w:color w:val="auto"/>
        </w:rPr>
        <w:t>Career Development and Transition for Exceptional Individuals, 39</w:t>
      </w:r>
      <w:r w:rsidRPr="003B3B9D">
        <w:rPr>
          <w:rFonts w:cstheme="minorHAnsi"/>
          <w:color w:val="auto"/>
        </w:rPr>
        <w:t xml:space="preserve">(4), 249-255. </w:t>
      </w:r>
      <w:hyperlink r:id="rId40" w:history="1">
        <w:r w:rsidR="00273302" w:rsidRPr="00BE2965">
          <w:rPr>
            <w:rStyle w:val="Hyperlink"/>
            <w:rFonts w:cstheme="minorHAnsi"/>
          </w:rPr>
          <w:t>https://doi.org/10.1177/2165143416665574</w:t>
        </w:r>
      </w:hyperlink>
      <w:r w:rsidR="00273302">
        <w:rPr>
          <w:rFonts w:cstheme="minorHAnsi"/>
          <w:color w:val="auto"/>
        </w:rPr>
        <w:t xml:space="preserve"> </w:t>
      </w:r>
    </w:p>
    <w:p w14:paraId="0FDD0D17" w14:textId="77521A2B" w:rsidR="003501D5" w:rsidRPr="003B3B9D" w:rsidRDefault="004C04E0" w:rsidP="0026176E">
      <w:pPr>
        <w:pStyle w:val="BodyTextSP"/>
        <w:spacing w:before="120" w:after="0"/>
        <w:rPr>
          <w:rFonts w:cstheme="minorHAnsi"/>
          <w:color w:val="auto"/>
        </w:rPr>
      </w:pPr>
      <w:proofErr w:type="spellStart"/>
      <w:r w:rsidRPr="00A3113B">
        <w:rPr>
          <w:rFonts w:cstheme="minorHAnsi"/>
          <w:color w:val="auto"/>
        </w:rPr>
        <w:t>Riesen</w:t>
      </w:r>
      <w:proofErr w:type="spellEnd"/>
      <w:r w:rsidRPr="00A3113B">
        <w:rPr>
          <w:rFonts w:cstheme="minorHAnsi"/>
          <w:color w:val="auto"/>
        </w:rPr>
        <w:t xml:space="preserve">, T., Morgan, R. L., &amp; Griffin, C. (2015). Customized employment: A review of the literature. </w:t>
      </w:r>
      <w:r w:rsidRPr="00A3113B">
        <w:rPr>
          <w:rFonts w:cstheme="minorHAnsi"/>
          <w:i/>
          <w:color w:val="auto"/>
        </w:rPr>
        <w:t>Journal of Vocational Rehabilitation</w:t>
      </w:r>
      <w:r w:rsidRPr="00A3113B">
        <w:rPr>
          <w:rFonts w:cstheme="minorHAnsi"/>
          <w:color w:val="auto"/>
        </w:rPr>
        <w:t>,</w:t>
      </w:r>
      <w:r w:rsidRPr="00A3113B">
        <w:rPr>
          <w:rFonts w:cstheme="minorHAnsi"/>
          <w:i/>
          <w:color w:val="auto"/>
        </w:rPr>
        <w:t xml:space="preserve"> 43</w:t>
      </w:r>
      <w:r w:rsidRPr="00A3113B">
        <w:rPr>
          <w:rFonts w:cstheme="minorHAnsi"/>
          <w:color w:val="auto"/>
        </w:rPr>
        <w:t xml:space="preserve">(3), 183-193. </w:t>
      </w:r>
      <w:hyperlink r:id="rId41" w:tgtFrame="_blank" w:history="1">
        <w:r>
          <w:rPr>
            <w:rStyle w:val="Hyperlink"/>
          </w:rPr>
          <w:t>https://doi.org/10.3233/JVR-150768</w:t>
        </w:r>
      </w:hyperlink>
    </w:p>
    <w:p w14:paraId="2E4BEC65" w14:textId="1F000678"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Rillotta</w:t>
      </w:r>
      <w:proofErr w:type="spellEnd"/>
      <w:r w:rsidRPr="003B3B9D">
        <w:rPr>
          <w:rFonts w:cstheme="minorHAnsi"/>
          <w:color w:val="auto"/>
        </w:rPr>
        <w:t xml:space="preserve">, F., Arthur, J., Hutchinson, C., &amp; Raghavendra, P. (2020). Inclusive university experience in Australia: Perspectives of students with intellectual disability and their mentors. </w:t>
      </w:r>
      <w:r w:rsidRPr="00E753C9">
        <w:rPr>
          <w:rFonts w:cstheme="minorHAnsi"/>
          <w:i/>
          <w:iCs/>
          <w:color w:val="auto"/>
        </w:rPr>
        <w:t>Journal of Intellectual Disabilities, 24</w:t>
      </w:r>
      <w:r w:rsidRPr="003B3B9D">
        <w:rPr>
          <w:rFonts w:cstheme="minorHAnsi"/>
          <w:color w:val="auto"/>
        </w:rPr>
        <w:t>(1), 102-117.</w:t>
      </w:r>
      <w:r w:rsidR="00E753C9">
        <w:rPr>
          <w:rFonts w:cstheme="minorHAnsi"/>
          <w:color w:val="auto"/>
        </w:rPr>
        <w:t xml:space="preserve"> </w:t>
      </w:r>
      <w:hyperlink r:id="rId42" w:history="1">
        <w:r w:rsidR="00E753C9" w:rsidRPr="00BE2965">
          <w:rPr>
            <w:rStyle w:val="Hyperlink"/>
            <w:rFonts w:cstheme="minorHAnsi"/>
          </w:rPr>
          <w:t>https://doi.org/10.1177/1744629518769421</w:t>
        </w:r>
      </w:hyperlink>
      <w:r w:rsidR="00E753C9">
        <w:rPr>
          <w:rFonts w:cstheme="minorHAnsi"/>
          <w:color w:val="auto"/>
        </w:rPr>
        <w:t xml:space="preserve"> </w:t>
      </w:r>
    </w:p>
    <w:p w14:paraId="31B8ABA5" w14:textId="07087C7D" w:rsidR="003501D5" w:rsidRPr="003B3B9D" w:rsidRDefault="00080E4D" w:rsidP="0026176E">
      <w:pPr>
        <w:pStyle w:val="BodyTextSP"/>
        <w:spacing w:before="120" w:after="0"/>
        <w:rPr>
          <w:rFonts w:cstheme="minorHAnsi"/>
          <w:color w:val="auto"/>
        </w:rPr>
      </w:pPr>
      <w:proofErr w:type="spellStart"/>
      <w:r w:rsidRPr="00A3113B">
        <w:rPr>
          <w:rFonts w:cstheme="minorHAnsi"/>
          <w:color w:val="auto"/>
        </w:rPr>
        <w:t>Schall</w:t>
      </w:r>
      <w:proofErr w:type="spellEnd"/>
      <w:r w:rsidRPr="00A3113B">
        <w:rPr>
          <w:rFonts w:cstheme="minorHAnsi"/>
          <w:color w:val="auto"/>
        </w:rPr>
        <w:t xml:space="preserve">, C. M., </w:t>
      </w:r>
      <w:proofErr w:type="spellStart"/>
      <w:r w:rsidRPr="00A3113B">
        <w:rPr>
          <w:rFonts w:cstheme="minorHAnsi"/>
          <w:color w:val="auto"/>
        </w:rPr>
        <w:t>Wehman</w:t>
      </w:r>
      <w:proofErr w:type="spellEnd"/>
      <w:r w:rsidRPr="00A3113B">
        <w:rPr>
          <w:rFonts w:cstheme="minorHAnsi"/>
          <w:color w:val="auto"/>
        </w:rPr>
        <w:t xml:space="preserve">, P., Brooke, V., Graham, C., McDonough, J., Brooke, A., Ham, W., Rounds, R., Lau, S., &amp; Allen, J. (2015). Employment interventions for individuals with ASD: The relative efficacy of supported employment with or without prior Project SEARCH training. </w:t>
      </w:r>
      <w:r w:rsidRPr="00A3113B">
        <w:rPr>
          <w:rFonts w:cstheme="minorHAnsi"/>
          <w:i/>
          <w:color w:val="auto"/>
        </w:rPr>
        <w:t>Journal of Autism and Developmental Disorders</w:t>
      </w:r>
      <w:r w:rsidRPr="00A3113B">
        <w:rPr>
          <w:rFonts w:cstheme="minorHAnsi"/>
          <w:color w:val="auto"/>
        </w:rPr>
        <w:t>,</w:t>
      </w:r>
      <w:r w:rsidRPr="00A3113B">
        <w:rPr>
          <w:rFonts w:cstheme="minorHAnsi"/>
          <w:i/>
          <w:color w:val="auto"/>
        </w:rPr>
        <w:t xml:space="preserve"> 45</w:t>
      </w:r>
      <w:r w:rsidRPr="00A3113B">
        <w:rPr>
          <w:rFonts w:cstheme="minorHAnsi"/>
          <w:color w:val="auto"/>
        </w:rPr>
        <w:t xml:space="preserve">(12), 3990-4001. </w:t>
      </w:r>
      <w:hyperlink r:id="rId43" w:tgtFrame="_blank" w:history="1">
        <w:r>
          <w:rPr>
            <w:rStyle w:val="Hyperlink"/>
          </w:rPr>
          <w:t>https://doi.org/10.1007/s10803-015-2426-5</w:t>
        </w:r>
      </w:hyperlink>
    </w:p>
    <w:p w14:paraId="149DA153" w14:textId="587AE0A9" w:rsidR="003501D5" w:rsidRPr="003B3B9D" w:rsidRDefault="003501D5" w:rsidP="0026176E">
      <w:pPr>
        <w:pStyle w:val="BodyTextSP"/>
        <w:spacing w:before="120" w:after="0"/>
        <w:rPr>
          <w:rFonts w:cstheme="minorHAnsi"/>
          <w:color w:val="auto"/>
        </w:rPr>
      </w:pPr>
      <w:r w:rsidRPr="003B3B9D">
        <w:rPr>
          <w:rFonts w:cstheme="minorHAnsi"/>
          <w:color w:val="auto"/>
        </w:rPr>
        <w:t xml:space="preserve">Sheppard, L., Harrington, R., &amp; Howard, K. (2017). </w:t>
      </w:r>
      <w:r w:rsidRPr="00080E4D">
        <w:rPr>
          <w:rFonts w:cstheme="minorHAnsi"/>
          <w:i/>
          <w:iCs/>
          <w:color w:val="auto"/>
        </w:rPr>
        <w:t>Leaving school and getting a job: Research to action guide. A guide for young people with disability who want to work.</w:t>
      </w:r>
      <w:r w:rsidRPr="003B3B9D">
        <w:rPr>
          <w:rFonts w:cstheme="minorHAnsi"/>
          <w:color w:val="auto"/>
        </w:rPr>
        <w:t xml:space="preserve"> </w:t>
      </w:r>
      <w:hyperlink r:id="rId44" w:history="1">
        <w:r w:rsidR="00080E4D" w:rsidRPr="00BE2965">
          <w:rPr>
            <w:rStyle w:val="Hyperlink"/>
            <w:rFonts w:cstheme="minorHAnsi"/>
          </w:rPr>
          <w:t>https://tickettowork.org.au/media/uploads/2020/03/02/empserviceusers.pdf</w:t>
        </w:r>
      </w:hyperlink>
      <w:r w:rsidR="00080E4D">
        <w:rPr>
          <w:rFonts w:cstheme="minorHAnsi"/>
          <w:color w:val="auto"/>
        </w:rPr>
        <w:t xml:space="preserve"> </w:t>
      </w:r>
    </w:p>
    <w:p w14:paraId="7E42B275" w14:textId="41FFF092"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t>Shogren</w:t>
      </w:r>
      <w:proofErr w:type="spellEnd"/>
      <w:r w:rsidRPr="003B3B9D">
        <w:rPr>
          <w:rFonts w:cstheme="minorHAnsi"/>
          <w:color w:val="auto"/>
        </w:rPr>
        <w:t xml:space="preserve">, K. A., Burke, K. M., </w:t>
      </w:r>
      <w:proofErr w:type="spellStart"/>
      <w:r w:rsidRPr="003B3B9D">
        <w:rPr>
          <w:rFonts w:cstheme="minorHAnsi"/>
          <w:color w:val="auto"/>
        </w:rPr>
        <w:t>Antosh</w:t>
      </w:r>
      <w:proofErr w:type="spellEnd"/>
      <w:r w:rsidRPr="003B3B9D">
        <w:rPr>
          <w:rFonts w:cstheme="minorHAnsi"/>
          <w:color w:val="auto"/>
        </w:rPr>
        <w:t xml:space="preserve">, A., Wehmeyer, M. L., LaPlante, T., Shaw, L. A., &amp; Raley, S. (2019). Impact of the self-determined learning model of instruction on self-determination and goal attainment in adolescents with intellectual disability. </w:t>
      </w:r>
      <w:r w:rsidRPr="008975A2">
        <w:rPr>
          <w:rFonts w:cstheme="minorHAnsi"/>
          <w:i/>
          <w:iCs/>
          <w:color w:val="auto"/>
        </w:rPr>
        <w:t>Journal of Disability Policy Studies, 30</w:t>
      </w:r>
      <w:r w:rsidRPr="003B3B9D">
        <w:rPr>
          <w:rFonts w:cstheme="minorHAnsi"/>
          <w:color w:val="auto"/>
        </w:rPr>
        <w:t xml:space="preserve">(1), 22-34. </w:t>
      </w:r>
      <w:hyperlink r:id="rId45" w:history="1">
        <w:r w:rsidR="008975A2" w:rsidRPr="00BE2965">
          <w:rPr>
            <w:rStyle w:val="Hyperlink"/>
            <w:rFonts w:cstheme="minorHAnsi"/>
          </w:rPr>
          <w:t>https://doi.org/10.1177/1044207318792178</w:t>
        </w:r>
      </w:hyperlink>
      <w:r w:rsidR="008975A2">
        <w:rPr>
          <w:rFonts w:cstheme="minorHAnsi"/>
          <w:color w:val="auto"/>
        </w:rPr>
        <w:t xml:space="preserve"> </w:t>
      </w:r>
    </w:p>
    <w:p w14:paraId="5FC53361" w14:textId="6474E9E6" w:rsidR="003501D5" w:rsidRPr="003B3B9D" w:rsidRDefault="003501D5" w:rsidP="0026176E">
      <w:pPr>
        <w:pStyle w:val="BodyTextSP"/>
        <w:spacing w:before="120" w:after="0"/>
        <w:rPr>
          <w:rFonts w:cstheme="minorHAnsi"/>
          <w:color w:val="auto"/>
        </w:rPr>
      </w:pPr>
      <w:r w:rsidRPr="003B3B9D">
        <w:rPr>
          <w:rFonts w:cstheme="minorHAnsi"/>
          <w:color w:val="auto"/>
        </w:rPr>
        <w:t xml:space="preserve">Think College National Coordinating Center Accreditation Workgroup. (2021). </w:t>
      </w:r>
      <w:r w:rsidRPr="008975A2">
        <w:rPr>
          <w:rFonts w:cstheme="minorHAnsi"/>
          <w:i/>
          <w:iCs/>
          <w:color w:val="auto"/>
        </w:rPr>
        <w:t>Report on model accreditation standards for higher education programs for students with intellectual disability: Progress on the path to education, employment, and community living</w:t>
      </w:r>
      <w:r w:rsidRPr="003B3B9D">
        <w:rPr>
          <w:rFonts w:cstheme="minorHAnsi"/>
          <w:color w:val="auto"/>
        </w:rPr>
        <w:t xml:space="preserve">. University of Massachusetts Boston, Institute for Community Inclusion. </w:t>
      </w:r>
      <w:hyperlink r:id="rId46" w:history="1">
        <w:r w:rsidR="008975A2" w:rsidRPr="00BE2965">
          <w:rPr>
            <w:rStyle w:val="Hyperlink"/>
            <w:rFonts w:cstheme="minorHAnsi"/>
          </w:rPr>
          <w:t>https://thinkcollege.net/sites/default/files/files/TCreport_Accreditation-full_2021.pdf</w:t>
        </w:r>
      </w:hyperlink>
      <w:r w:rsidR="008975A2">
        <w:rPr>
          <w:rFonts w:cstheme="minorHAnsi"/>
          <w:color w:val="auto"/>
        </w:rPr>
        <w:t xml:space="preserve"> </w:t>
      </w:r>
    </w:p>
    <w:p w14:paraId="48BE6D72" w14:textId="77777777" w:rsidR="00AB685C" w:rsidRPr="00A3113B" w:rsidRDefault="00AB685C" w:rsidP="0026176E">
      <w:pPr>
        <w:pStyle w:val="BodyTextSP"/>
        <w:spacing w:before="120" w:after="0"/>
        <w:rPr>
          <w:rFonts w:cstheme="minorHAnsi"/>
          <w:color w:val="auto"/>
          <w:u w:val="single"/>
        </w:rPr>
      </w:pPr>
      <w:r w:rsidRPr="00A3113B">
        <w:rPr>
          <w:rFonts w:cstheme="minorHAnsi"/>
          <w:color w:val="auto"/>
        </w:rPr>
        <w:t xml:space="preserve">Wakeford, M., &amp; Waugh, F. (2014). </w:t>
      </w:r>
      <w:r w:rsidRPr="00A3113B">
        <w:rPr>
          <w:rFonts w:cstheme="minorHAnsi"/>
          <w:i/>
          <w:color w:val="auto"/>
        </w:rPr>
        <w:t>Transitions to employment of Australian young people with disability and the Ticket to Work initiative</w:t>
      </w:r>
      <w:r w:rsidRPr="00A3113B">
        <w:rPr>
          <w:rFonts w:cstheme="minorHAnsi"/>
          <w:color w:val="auto"/>
        </w:rPr>
        <w:t xml:space="preserve">. </w:t>
      </w:r>
      <w:hyperlink r:id="rId47" w:history="1">
        <w:r w:rsidRPr="00F80395">
          <w:rPr>
            <w:rStyle w:val="Hyperlink"/>
            <w:rFonts w:cstheme="minorHAnsi"/>
          </w:rPr>
          <w:t>https://tickettowork.org.au/resource/170/</w:t>
        </w:r>
      </w:hyperlink>
      <w:r>
        <w:rPr>
          <w:rFonts w:cstheme="minorHAnsi"/>
          <w:color w:val="auto"/>
        </w:rPr>
        <w:t xml:space="preserve"> </w:t>
      </w:r>
    </w:p>
    <w:p w14:paraId="11DA4B74" w14:textId="77777777" w:rsidR="006F19E9" w:rsidRPr="00A3113B" w:rsidRDefault="006F19E9" w:rsidP="0026176E">
      <w:pPr>
        <w:pStyle w:val="BodyTextSP"/>
        <w:spacing w:before="120" w:after="0"/>
        <w:rPr>
          <w:rFonts w:cstheme="minorHAnsi"/>
          <w:color w:val="auto"/>
        </w:rPr>
      </w:pPr>
      <w:proofErr w:type="spellStart"/>
      <w:r w:rsidRPr="00A3113B">
        <w:rPr>
          <w:rFonts w:cstheme="minorHAnsi"/>
          <w:color w:val="auto"/>
        </w:rPr>
        <w:t>Wehman</w:t>
      </w:r>
      <w:proofErr w:type="spellEnd"/>
      <w:r w:rsidRPr="00A3113B">
        <w:rPr>
          <w:rFonts w:cstheme="minorHAnsi"/>
          <w:color w:val="auto"/>
        </w:rPr>
        <w:t xml:space="preserve">, P. (2012). Supported employment: What is it? </w:t>
      </w:r>
      <w:r w:rsidRPr="00A3113B">
        <w:rPr>
          <w:rFonts w:cstheme="minorHAnsi"/>
          <w:i/>
          <w:color w:val="auto"/>
        </w:rPr>
        <w:t>Journal of Vocational Rehabilitation</w:t>
      </w:r>
      <w:r w:rsidRPr="00A3113B">
        <w:rPr>
          <w:rFonts w:cstheme="minorHAnsi"/>
          <w:color w:val="auto"/>
        </w:rPr>
        <w:t>,</w:t>
      </w:r>
      <w:r w:rsidRPr="00A3113B">
        <w:rPr>
          <w:rFonts w:cstheme="minorHAnsi"/>
          <w:i/>
          <w:color w:val="auto"/>
        </w:rPr>
        <w:t xml:space="preserve"> 37</w:t>
      </w:r>
      <w:r>
        <w:rPr>
          <w:rFonts w:cstheme="minorHAnsi"/>
          <w:iCs/>
          <w:color w:val="auto"/>
        </w:rPr>
        <w:t>(3)</w:t>
      </w:r>
      <w:r w:rsidRPr="00A3113B">
        <w:rPr>
          <w:rFonts w:cstheme="minorHAnsi"/>
          <w:color w:val="auto"/>
        </w:rPr>
        <w:t xml:space="preserve">, 139-142. </w:t>
      </w:r>
      <w:hyperlink r:id="rId48" w:history="1">
        <w:r w:rsidRPr="00F80395">
          <w:rPr>
            <w:rStyle w:val="Hyperlink"/>
            <w:rFonts w:cstheme="minorHAnsi"/>
          </w:rPr>
          <w:t>https://doi.org/10.3233/JVR-2012-0607</w:t>
        </w:r>
      </w:hyperlink>
      <w:r>
        <w:rPr>
          <w:rFonts w:cstheme="minorHAnsi"/>
          <w:color w:val="auto"/>
        </w:rPr>
        <w:t xml:space="preserve"> </w:t>
      </w:r>
    </w:p>
    <w:p w14:paraId="0C8119CB" w14:textId="4E905C8A" w:rsidR="003501D5" w:rsidRPr="003B3B9D" w:rsidRDefault="003501D5" w:rsidP="0026176E">
      <w:pPr>
        <w:pStyle w:val="BodyTextSP"/>
        <w:spacing w:before="120" w:after="0"/>
        <w:rPr>
          <w:rFonts w:cstheme="minorHAnsi"/>
          <w:color w:val="auto"/>
        </w:rPr>
      </w:pPr>
      <w:proofErr w:type="spellStart"/>
      <w:r w:rsidRPr="003B3B9D">
        <w:rPr>
          <w:rFonts w:cstheme="minorHAnsi"/>
          <w:color w:val="auto"/>
        </w:rPr>
        <w:lastRenderedPageBreak/>
        <w:t>Wehman</w:t>
      </w:r>
      <w:proofErr w:type="spellEnd"/>
      <w:r w:rsidRPr="003B3B9D">
        <w:rPr>
          <w:rFonts w:cstheme="minorHAnsi"/>
          <w:color w:val="auto"/>
        </w:rPr>
        <w:t xml:space="preserve">, P., Chan, F., </w:t>
      </w:r>
      <w:proofErr w:type="spellStart"/>
      <w:r w:rsidRPr="003B3B9D">
        <w:rPr>
          <w:rFonts w:cstheme="minorHAnsi"/>
          <w:color w:val="auto"/>
        </w:rPr>
        <w:t>Ditchman</w:t>
      </w:r>
      <w:proofErr w:type="spellEnd"/>
      <w:r w:rsidRPr="003B3B9D">
        <w:rPr>
          <w:rFonts w:cstheme="minorHAnsi"/>
          <w:color w:val="auto"/>
        </w:rPr>
        <w:t xml:space="preserve">, N., &amp; Kang, H. (2014). Effect of supported employment on vocational rehabilitation outcomes of transition-age youth with intellectual and developmental disabilities: A case control study. </w:t>
      </w:r>
      <w:r w:rsidRPr="00234951">
        <w:rPr>
          <w:rFonts w:cstheme="minorHAnsi"/>
          <w:i/>
          <w:iCs/>
          <w:color w:val="auto"/>
        </w:rPr>
        <w:t>Intellectual and Developmental Disabilities, 52</w:t>
      </w:r>
      <w:r w:rsidRPr="003B3B9D">
        <w:rPr>
          <w:rFonts w:cstheme="minorHAnsi"/>
          <w:color w:val="auto"/>
        </w:rPr>
        <w:t xml:space="preserve">(4), 296-310. </w:t>
      </w:r>
      <w:hyperlink r:id="rId49" w:history="1">
        <w:r w:rsidR="00234951" w:rsidRPr="00BE2965">
          <w:rPr>
            <w:rStyle w:val="Hyperlink"/>
            <w:rFonts w:cstheme="minorHAnsi"/>
          </w:rPr>
          <w:t>https://doi.org/10.1352/1934-9556-52.4.296</w:t>
        </w:r>
      </w:hyperlink>
      <w:r w:rsidR="00234951">
        <w:rPr>
          <w:rFonts w:cstheme="minorHAnsi"/>
          <w:color w:val="auto"/>
        </w:rPr>
        <w:t xml:space="preserve"> </w:t>
      </w:r>
    </w:p>
    <w:p w14:paraId="2DD3BC56" w14:textId="77777777" w:rsidR="00234951" w:rsidRDefault="00234951" w:rsidP="0026176E">
      <w:pPr>
        <w:pStyle w:val="BodyTextSP"/>
        <w:spacing w:before="120" w:after="0"/>
        <w:rPr>
          <w:rFonts w:cstheme="minorHAnsi"/>
          <w:color w:val="auto"/>
        </w:rPr>
      </w:pPr>
      <w:proofErr w:type="spellStart"/>
      <w:r w:rsidRPr="00A3113B">
        <w:rPr>
          <w:rFonts w:cstheme="minorHAnsi"/>
          <w:color w:val="auto"/>
        </w:rPr>
        <w:t>Wehman</w:t>
      </w:r>
      <w:proofErr w:type="spellEnd"/>
      <w:r w:rsidRPr="00A3113B">
        <w:rPr>
          <w:rFonts w:cstheme="minorHAnsi"/>
          <w:color w:val="auto"/>
        </w:rPr>
        <w:t xml:space="preserve">, P., Taylor, J., Brooke, V., </w:t>
      </w:r>
      <w:proofErr w:type="spellStart"/>
      <w:r w:rsidRPr="00A3113B">
        <w:rPr>
          <w:rFonts w:cstheme="minorHAnsi"/>
          <w:color w:val="auto"/>
        </w:rPr>
        <w:t>Avellone</w:t>
      </w:r>
      <w:proofErr w:type="spellEnd"/>
      <w:r w:rsidRPr="00A3113B">
        <w:rPr>
          <w:rFonts w:cstheme="minorHAnsi"/>
          <w:color w:val="auto"/>
        </w:rPr>
        <w:t xml:space="preserve">, L., Whittenburg, H., Ham, W., Brooke, A. M., &amp; </w:t>
      </w:r>
      <w:proofErr w:type="spellStart"/>
      <w:r w:rsidRPr="00A3113B">
        <w:rPr>
          <w:rFonts w:cstheme="minorHAnsi"/>
          <w:color w:val="auto"/>
        </w:rPr>
        <w:t>Carr</w:t>
      </w:r>
      <w:proofErr w:type="spellEnd"/>
      <w:r w:rsidRPr="00A3113B">
        <w:rPr>
          <w:rFonts w:cstheme="minorHAnsi"/>
          <w:color w:val="auto"/>
        </w:rPr>
        <w:t xml:space="preserve">, S. (2018). Toward competitive employment for persons with intellectual and developmental disabilities: What progress have we made and where do we need to go. </w:t>
      </w:r>
      <w:r w:rsidRPr="00A3113B">
        <w:rPr>
          <w:rFonts w:cstheme="minorHAnsi"/>
          <w:i/>
          <w:color w:val="auto"/>
        </w:rPr>
        <w:t>Research and Practice for Persons with Severe Disabilities</w:t>
      </w:r>
      <w:r w:rsidRPr="00A3113B">
        <w:rPr>
          <w:rFonts w:cstheme="minorHAnsi"/>
          <w:color w:val="auto"/>
        </w:rPr>
        <w:t>,</w:t>
      </w:r>
      <w:r w:rsidRPr="00A3113B">
        <w:rPr>
          <w:rFonts w:cstheme="minorHAnsi"/>
          <w:i/>
          <w:color w:val="auto"/>
        </w:rPr>
        <w:t xml:space="preserve"> 43</w:t>
      </w:r>
      <w:r w:rsidRPr="00A3113B">
        <w:rPr>
          <w:rFonts w:cstheme="minorHAnsi"/>
          <w:color w:val="auto"/>
        </w:rPr>
        <w:t xml:space="preserve">(3), 131-144. </w:t>
      </w:r>
      <w:hyperlink r:id="rId50" w:history="1">
        <w:r w:rsidRPr="00F80395">
          <w:rPr>
            <w:rStyle w:val="Hyperlink"/>
            <w:rFonts w:cstheme="minorHAnsi"/>
          </w:rPr>
          <w:t>https://doi.org/10.1177/1540796918777730</w:t>
        </w:r>
      </w:hyperlink>
    </w:p>
    <w:p w14:paraId="487AA32F" w14:textId="631E5D71" w:rsidR="004D0458" w:rsidRPr="00A3113B" w:rsidRDefault="004D0458" w:rsidP="0026176E">
      <w:pPr>
        <w:pStyle w:val="BodyTextSP"/>
        <w:spacing w:before="120" w:after="0"/>
        <w:rPr>
          <w:rFonts w:cstheme="minorHAnsi"/>
          <w:color w:val="auto"/>
        </w:rPr>
      </w:pPr>
      <w:r w:rsidRPr="00A3113B">
        <w:rPr>
          <w:rFonts w:cstheme="minorHAnsi"/>
          <w:color w:val="auto"/>
        </w:rPr>
        <w:t xml:space="preserve">Wehmeyer, M. L., Nota, L., </w:t>
      </w:r>
      <w:proofErr w:type="spellStart"/>
      <w:r w:rsidRPr="00A3113B">
        <w:rPr>
          <w:rFonts w:cstheme="minorHAnsi"/>
          <w:color w:val="auto"/>
        </w:rPr>
        <w:t>Soresi</w:t>
      </w:r>
      <w:proofErr w:type="spellEnd"/>
      <w:r w:rsidRPr="00A3113B">
        <w:rPr>
          <w:rFonts w:cstheme="minorHAnsi"/>
          <w:color w:val="auto"/>
        </w:rPr>
        <w:t xml:space="preserve">, S., </w:t>
      </w:r>
      <w:proofErr w:type="spellStart"/>
      <w:r w:rsidRPr="00A3113B">
        <w:rPr>
          <w:rFonts w:cstheme="minorHAnsi"/>
          <w:color w:val="auto"/>
        </w:rPr>
        <w:t>Shogren</w:t>
      </w:r>
      <w:proofErr w:type="spellEnd"/>
      <w:r w:rsidRPr="00A3113B">
        <w:rPr>
          <w:rFonts w:cstheme="minorHAnsi"/>
          <w:color w:val="auto"/>
        </w:rPr>
        <w:t xml:space="preserve">, K. A., Morningstar, M. E., Ferrari, L., </w:t>
      </w:r>
      <w:proofErr w:type="spellStart"/>
      <w:r w:rsidRPr="00A3113B">
        <w:rPr>
          <w:rFonts w:cstheme="minorHAnsi"/>
          <w:color w:val="auto"/>
        </w:rPr>
        <w:t>Sgaramella</w:t>
      </w:r>
      <w:proofErr w:type="spellEnd"/>
      <w:r w:rsidRPr="00A3113B">
        <w:rPr>
          <w:rFonts w:cstheme="minorHAnsi"/>
          <w:color w:val="auto"/>
        </w:rPr>
        <w:t xml:space="preserve">, T. M., &amp; DiMaggio, I. (2019). A crisis in career development: Life designing and implications for transition. </w:t>
      </w:r>
      <w:r w:rsidRPr="00A3113B">
        <w:rPr>
          <w:rFonts w:cstheme="minorHAnsi"/>
          <w:i/>
          <w:color w:val="auto"/>
        </w:rPr>
        <w:t>Career Development and Transition for Exceptional Individuals</w:t>
      </w:r>
      <w:r w:rsidRPr="00A3113B">
        <w:rPr>
          <w:rFonts w:cstheme="minorHAnsi"/>
          <w:color w:val="auto"/>
        </w:rPr>
        <w:t>,</w:t>
      </w:r>
      <w:r w:rsidRPr="00A3113B">
        <w:rPr>
          <w:rFonts w:cstheme="minorHAnsi"/>
          <w:i/>
          <w:color w:val="auto"/>
        </w:rPr>
        <w:t xml:space="preserve"> 42</w:t>
      </w:r>
      <w:r w:rsidRPr="00A3113B">
        <w:rPr>
          <w:rFonts w:cstheme="minorHAnsi"/>
          <w:color w:val="auto"/>
        </w:rPr>
        <w:t xml:space="preserve">(3), 179-187. </w:t>
      </w:r>
      <w:hyperlink r:id="rId51" w:history="1">
        <w:r w:rsidRPr="00F80395">
          <w:rPr>
            <w:rStyle w:val="Hyperlink"/>
            <w:rFonts w:cstheme="minorHAnsi"/>
          </w:rPr>
          <w:t>https://doi.org/10.1177/2165143417750092</w:t>
        </w:r>
      </w:hyperlink>
    </w:p>
    <w:sectPr w:rsidR="004D0458" w:rsidRPr="00A3113B" w:rsidSect="003A5C4A">
      <w:footerReference w:type="default" r:id="rId52"/>
      <w:type w:val="continuous"/>
      <w:pgSz w:w="11906" w:h="16838"/>
      <w:pgMar w:top="826" w:right="1418" w:bottom="1295" w:left="1418" w:header="850" w:footer="850"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2E626" w14:textId="77777777" w:rsidR="00111B19" w:rsidRDefault="00111B19" w:rsidP="003C0EFA">
      <w:r>
        <w:separator/>
      </w:r>
    </w:p>
  </w:endnote>
  <w:endnote w:type="continuationSeparator" w:id="0">
    <w:p w14:paraId="1ACDB251" w14:textId="77777777" w:rsidR="00111B19" w:rsidRDefault="00111B19" w:rsidP="003C0EFA">
      <w:r>
        <w:continuationSeparator/>
      </w:r>
    </w:p>
  </w:endnote>
  <w:endnote w:type="continuationNotice" w:id="1">
    <w:p w14:paraId="5BF1CC69" w14:textId="77777777" w:rsidR="00111B19" w:rsidRDefault="00111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C15D51-CF82-4CE5-84E5-DFBBB73A0DA2}"/>
    <w:embedBold r:id="rId2" w:fontKey="{C8D39521-5BE9-41AC-B13A-3308DD3EAFE9}"/>
    <w:embedItalic r:id="rId3" w:fontKey="{53101D37-A3BF-4B49-81DF-A2DB9FB36C2F}"/>
    <w:embedBoldItalic r:id="rId4" w:fontKey="{1F55D05B-8A9A-4CAC-88EA-834BA56A7DFB}"/>
  </w:font>
  <w:font w:name="Arial Nova Cond">
    <w:charset w:val="00"/>
    <w:family w:val="swiss"/>
    <w:pitch w:val="variable"/>
    <w:sig w:usb0="0000028F" w:usb1="00000002" w:usb2="00000000" w:usb3="00000000" w:csb0="0000019F" w:csb1="00000000"/>
    <w:embedRegular r:id="rId5" w:fontKey="{C3D490ED-D40C-4C7D-96B5-4DCEAD3AEE49}"/>
    <w:embedBold r:id="rId6" w:fontKey="{5612CC67-B940-44D8-A9C1-A378FB054E44}"/>
  </w:font>
  <w:font w:name="Cambria">
    <w:panose1 w:val="02040503050406030204"/>
    <w:charset w:val="00"/>
    <w:family w:val="roman"/>
    <w:pitch w:val="variable"/>
    <w:sig w:usb0="E00006FF" w:usb1="420024FF" w:usb2="02000000" w:usb3="00000000" w:csb0="0000019F" w:csb1="00000000"/>
    <w:embedRegular r:id="rId7" w:fontKey="{3405BB06-69AC-4BFA-9734-D6E9C85D21AF}"/>
  </w:font>
  <w:font w:name="Source Sans Pro">
    <w:charset w:val="00"/>
    <w:family w:val="swiss"/>
    <w:pitch w:val="variable"/>
    <w:sig w:usb0="600002F7" w:usb1="02000001" w:usb2="00000000" w:usb3="00000000" w:csb0="0000019F" w:csb1="00000000"/>
    <w:embedRegular r:id="rId8" w:fontKey="{87630670-A348-4BC1-B041-1DC050B648FE}"/>
  </w:font>
  <w:font w:name="Calibri Light">
    <w:panose1 w:val="020F0302020204030204"/>
    <w:charset w:val="00"/>
    <w:family w:val="swiss"/>
    <w:pitch w:val="variable"/>
    <w:sig w:usb0="E4002EFF" w:usb1="C000247B" w:usb2="00000009" w:usb3="00000000" w:csb0="000001FF" w:csb1="00000000"/>
    <w:embedRegular r:id="rId9" w:fontKey="{88631D74-3889-45E0-A416-31A003E1CC8A}"/>
  </w:font>
  <w:font w:name="Arial Nova Cond Light">
    <w:charset w:val="00"/>
    <w:family w:val="swiss"/>
    <w:pitch w:val="variable"/>
    <w:sig w:usb0="0000028F" w:usb1="00000002" w:usb2="00000000" w:usb3="00000000" w:csb0="0000019F" w:csb1="00000000"/>
    <w:embedRegular r:id="rId10" w:fontKey="{E31078F2-71AB-4C6C-847F-95AE3ACB1188}"/>
    <w:embedBold r:id="rId11" w:fontKey="{476BEE9A-FD80-40FA-8036-04DE650AAFD7}"/>
    <w:embedItalic r:id="rId12" w:fontKey="{FDFA7F0A-6E4A-43B2-8A97-66FCBCF926A5}"/>
  </w:font>
  <w:font w:name="Open Sans">
    <w:panose1 w:val="020B0606030504020204"/>
    <w:charset w:val="00"/>
    <w:family w:val="swiss"/>
    <w:pitch w:val="variable"/>
    <w:sig w:usb0="E00002EF" w:usb1="4000205B" w:usb2="00000028" w:usb3="00000000" w:csb0="0000019F" w:csb1="00000000"/>
    <w:embedRegular r:id="rId13" w:fontKey="{D1B755C0-0B61-40B4-AA12-80C471F5D022}"/>
    <w:embedBoldItalic r:id="rId14" w:fontKey="{63DDB1D4-0F04-4DC3-BB77-BC0635BEFACD}"/>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5" w:fontKey="{8A711CD6-597B-4420-A2D0-5A7BBDFB64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662795"/>
      <w:docPartObj>
        <w:docPartGallery w:val="Page Numbers (Bottom of Page)"/>
        <w:docPartUnique/>
      </w:docPartObj>
    </w:sdtPr>
    <w:sdtEndPr>
      <w:rPr>
        <w:noProof/>
      </w:rPr>
    </w:sdtEndPr>
    <w:sdtContent>
      <w:p w14:paraId="0C8606CF" w14:textId="37D37A19" w:rsidR="00386FAD" w:rsidRDefault="00386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CB60E0" w14:textId="77777777" w:rsidR="00386FAD" w:rsidRDefault="00386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E9D6F" w14:textId="77777777" w:rsidR="00111B19" w:rsidRDefault="00111B19" w:rsidP="003C0EFA">
      <w:r>
        <w:separator/>
      </w:r>
    </w:p>
  </w:footnote>
  <w:footnote w:type="continuationSeparator" w:id="0">
    <w:p w14:paraId="20F2649F" w14:textId="77777777" w:rsidR="00111B19" w:rsidRDefault="00111B19" w:rsidP="003C0EFA">
      <w:r>
        <w:continuationSeparator/>
      </w:r>
    </w:p>
  </w:footnote>
  <w:footnote w:type="continuationNotice" w:id="1">
    <w:p w14:paraId="52FF3405" w14:textId="77777777" w:rsidR="00111B19" w:rsidRDefault="00111B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7B5"/>
    <w:multiLevelType w:val="hybridMultilevel"/>
    <w:tmpl w:val="6F766226"/>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1" w15:restartNumberingAfterBreak="0">
    <w:nsid w:val="025A5E79"/>
    <w:multiLevelType w:val="hybridMultilevel"/>
    <w:tmpl w:val="27289046"/>
    <w:lvl w:ilvl="0" w:tplc="302A4C6A">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3" w15:restartNumberingAfterBreak="0">
    <w:nsid w:val="1AA609AF"/>
    <w:multiLevelType w:val="hybridMultilevel"/>
    <w:tmpl w:val="77323F2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1E6FB3"/>
    <w:multiLevelType w:val="hybridMultilevel"/>
    <w:tmpl w:val="DCC29CBC"/>
    <w:lvl w:ilvl="0" w:tplc="C9540E9A">
      <w:start w:val="1"/>
      <w:numFmt w:val="bullet"/>
      <w:pStyle w:val="Bullet1"/>
      <w:lvlText w:val="»"/>
      <w:lvlJc w:val="left"/>
      <w:pPr>
        <w:ind w:left="740" w:hanging="360"/>
      </w:pPr>
      <w:rPr>
        <w:rFonts w:ascii="Times New Roman" w:hAnsi="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5" w15:restartNumberingAfterBreak="0">
    <w:nsid w:val="403A3596"/>
    <w:multiLevelType w:val="hybridMultilevel"/>
    <w:tmpl w:val="031CC0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3F"/>
    <w:rsid w:val="00001854"/>
    <w:rsid w:val="000023DD"/>
    <w:rsid w:val="00004C68"/>
    <w:rsid w:val="000056F9"/>
    <w:rsid w:val="0000622C"/>
    <w:rsid w:val="0000688E"/>
    <w:rsid w:val="0000696F"/>
    <w:rsid w:val="00007480"/>
    <w:rsid w:val="00007780"/>
    <w:rsid w:val="00010A29"/>
    <w:rsid w:val="00013454"/>
    <w:rsid w:val="00016CF1"/>
    <w:rsid w:val="000236E6"/>
    <w:rsid w:val="00023868"/>
    <w:rsid w:val="0002501D"/>
    <w:rsid w:val="00026DD6"/>
    <w:rsid w:val="00026DFB"/>
    <w:rsid w:val="00032B27"/>
    <w:rsid w:val="00032E55"/>
    <w:rsid w:val="000357A0"/>
    <w:rsid w:val="00037389"/>
    <w:rsid w:val="0003784D"/>
    <w:rsid w:val="000410D3"/>
    <w:rsid w:val="00043555"/>
    <w:rsid w:val="000446EE"/>
    <w:rsid w:val="00044DC6"/>
    <w:rsid w:val="000460EF"/>
    <w:rsid w:val="00047196"/>
    <w:rsid w:val="000512BC"/>
    <w:rsid w:val="000521D5"/>
    <w:rsid w:val="00053964"/>
    <w:rsid w:val="00061839"/>
    <w:rsid w:val="000657A5"/>
    <w:rsid w:val="00065912"/>
    <w:rsid w:val="00070C76"/>
    <w:rsid w:val="00072D34"/>
    <w:rsid w:val="000753CE"/>
    <w:rsid w:val="000760EB"/>
    <w:rsid w:val="000761C9"/>
    <w:rsid w:val="000763D5"/>
    <w:rsid w:val="0007704E"/>
    <w:rsid w:val="00080E4D"/>
    <w:rsid w:val="00081B23"/>
    <w:rsid w:val="0008390D"/>
    <w:rsid w:val="00083C45"/>
    <w:rsid w:val="000843CE"/>
    <w:rsid w:val="0008440E"/>
    <w:rsid w:val="00087F05"/>
    <w:rsid w:val="00091C19"/>
    <w:rsid w:val="00092E0C"/>
    <w:rsid w:val="000930E8"/>
    <w:rsid w:val="00095294"/>
    <w:rsid w:val="0009717C"/>
    <w:rsid w:val="00097659"/>
    <w:rsid w:val="00097D80"/>
    <w:rsid w:val="000A0807"/>
    <w:rsid w:val="000B0F94"/>
    <w:rsid w:val="000B6B66"/>
    <w:rsid w:val="000B7196"/>
    <w:rsid w:val="000C11B8"/>
    <w:rsid w:val="000C11C0"/>
    <w:rsid w:val="000C13E4"/>
    <w:rsid w:val="000C15F5"/>
    <w:rsid w:val="000C6CAA"/>
    <w:rsid w:val="000D0D35"/>
    <w:rsid w:val="000D63A9"/>
    <w:rsid w:val="000D7D14"/>
    <w:rsid w:val="000E237F"/>
    <w:rsid w:val="000E34A0"/>
    <w:rsid w:val="000E3929"/>
    <w:rsid w:val="000E3EE0"/>
    <w:rsid w:val="000E3F32"/>
    <w:rsid w:val="000F0DC0"/>
    <w:rsid w:val="000F1434"/>
    <w:rsid w:val="000F18E6"/>
    <w:rsid w:val="000F2152"/>
    <w:rsid w:val="000F23DE"/>
    <w:rsid w:val="000F32D0"/>
    <w:rsid w:val="000F36EE"/>
    <w:rsid w:val="000F54D7"/>
    <w:rsid w:val="000F6ADD"/>
    <w:rsid w:val="00101625"/>
    <w:rsid w:val="00102086"/>
    <w:rsid w:val="00103A6F"/>
    <w:rsid w:val="00105C98"/>
    <w:rsid w:val="001100CA"/>
    <w:rsid w:val="00111B19"/>
    <w:rsid w:val="001122CB"/>
    <w:rsid w:val="00115D89"/>
    <w:rsid w:val="00116CA7"/>
    <w:rsid w:val="00116F68"/>
    <w:rsid w:val="0011777C"/>
    <w:rsid w:val="001205E4"/>
    <w:rsid w:val="001217CE"/>
    <w:rsid w:val="00123A6B"/>
    <w:rsid w:val="00123B82"/>
    <w:rsid w:val="00125B6B"/>
    <w:rsid w:val="00125DE4"/>
    <w:rsid w:val="00126253"/>
    <w:rsid w:val="00127A6C"/>
    <w:rsid w:val="001306AA"/>
    <w:rsid w:val="00131A01"/>
    <w:rsid w:val="00135203"/>
    <w:rsid w:val="00140115"/>
    <w:rsid w:val="001418E3"/>
    <w:rsid w:val="00142169"/>
    <w:rsid w:val="00143733"/>
    <w:rsid w:val="00144256"/>
    <w:rsid w:val="001445FA"/>
    <w:rsid w:val="001468D0"/>
    <w:rsid w:val="00150575"/>
    <w:rsid w:val="00151530"/>
    <w:rsid w:val="001520CC"/>
    <w:rsid w:val="00153805"/>
    <w:rsid w:val="00154F5A"/>
    <w:rsid w:val="001562FF"/>
    <w:rsid w:val="001565B8"/>
    <w:rsid w:val="0015660A"/>
    <w:rsid w:val="0016016B"/>
    <w:rsid w:val="00160382"/>
    <w:rsid w:val="001611A8"/>
    <w:rsid w:val="00161750"/>
    <w:rsid w:val="001625FE"/>
    <w:rsid w:val="001657A8"/>
    <w:rsid w:val="00166D3B"/>
    <w:rsid w:val="00170AE0"/>
    <w:rsid w:val="00174D7E"/>
    <w:rsid w:val="00176D86"/>
    <w:rsid w:val="00181578"/>
    <w:rsid w:val="00181A8E"/>
    <w:rsid w:val="00181F97"/>
    <w:rsid w:val="00182372"/>
    <w:rsid w:val="001829F1"/>
    <w:rsid w:val="00183F1B"/>
    <w:rsid w:val="001840C9"/>
    <w:rsid w:val="0018428D"/>
    <w:rsid w:val="0018695B"/>
    <w:rsid w:val="00186A4D"/>
    <w:rsid w:val="001A1605"/>
    <w:rsid w:val="001A1616"/>
    <w:rsid w:val="001A177F"/>
    <w:rsid w:val="001A2B33"/>
    <w:rsid w:val="001A3547"/>
    <w:rsid w:val="001A3755"/>
    <w:rsid w:val="001A4720"/>
    <w:rsid w:val="001A5177"/>
    <w:rsid w:val="001A719A"/>
    <w:rsid w:val="001B10CB"/>
    <w:rsid w:val="001B3772"/>
    <w:rsid w:val="001B420F"/>
    <w:rsid w:val="001B58A4"/>
    <w:rsid w:val="001B5EB8"/>
    <w:rsid w:val="001B662C"/>
    <w:rsid w:val="001B6D56"/>
    <w:rsid w:val="001B6DFC"/>
    <w:rsid w:val="001B71D7"/>
    <w:rsid w:val="001B78A6"/>
    <w:rsid w:val="001B7CC1"/>
    <w:rsid w:val="001C1EC5"/>
    <w:rsid w:val="001C329E"/>
    <w:rsid w:val="001C3845"/>
    <w:rsid w:val="001C682F"/>
    <w:rsid w:val="001D0C71"/>
    <w:rsid w:val="001D389C"/>
    <w:rsid w:val="001D4371"/>
    <w:rsid w:val="001D6791"/>
    <w:rsid w:val="001D78EF"/>
    <w:rsid w:val="001D7A8A"/>
    <w:rsid w:val="001E0865"/>
    <w:rsid w:val="001E0DA8"/>
    <w:rsid w:val="001E1002"/>
    <w:rsid w:val="001E2965"/>
    <w:rsid w:val="001E2C6E"/>
    <w:rsid w:val="001E3B58"/>
    <w:rsid w:val="001E40C3"/>
    <w:rsid w:val="001E411F"/>
    <w:rsid w:val="001E48B0"/>
    <w:rsid w:val="001E4A57"/>
    <w:rsid w:val="001E4DF7"/>
    <w:rsid w:val="001E4F9E"/>
    <w:rsid w:val="001E5F17"/>
    <w:rsid w:val="001E6567"/>
    <w:rsid w:val="001E7173"/>
    <w:rsid w:val="001E765C"/>
    <w:rsid w:val="001E7FD5"/>
    <w:rsid w:val="001F102E"/>
    <w:rsid w:val="001F2123"/>
    <w:rsid w:val="001F3145"/>
    <w:rsid w:val="001F365C"/>
    <w:rsid w:val="001F428F"/>
    <w:rsid w:val="001F49AD"/>
    <w:rsid w:val="001F56B9"/>
    <w:rsid w:val="001F7116"/>
    <w:rsid w:val="00200919"/>
    <w:rsid w:val="00200D93"/>
    <w:rsid w:val="00201191"/>
    <w:rsid w:val="002011C9"/>
    <w:rsid w:val="0020689E"/>
    <w:rsid w:val="00206C0C"/>
    <w:rsid w:val="00207223"/>
    <w:rsid w:val="0020738C"/>
    <w:rsid w:val="00207A08"/>
    <w:rsid w:val="00210A40"/>
    <w:rsid w:val="00211BC0"/>
    <w:rsid w:val="00213D12"/>
    <w:rsid w:val="00215531"/>
    <w:rsid w:val="002231D7"/>
    <w:rsid w:val="00227577"/>
    <w:rsid w:val="00227B3C"/>
    <w:rsid w:val="002301C1"/>
    <w:rsid w:val="002323DD"/>
    <w:rsid w:val="00234951"/>
    <w:rsid w:val="0023513F"/>
    <w:rsid w:val="00235665"/>
    <w:rsid w:val="00240C1D"/>
    <w:rsid w:val="002430EC"/>
    <w:rsid w:val="00243C96"/>
    <w:rsid w:val="002444DE"/>
    <w:rsid w:val="002473D5"/>
    <w:rsid w:val="00250BA3"/>
    <w:rsid w:val="00250DF4"/>
    <w:rsid w:val="00251306"/>
    <w:rsid w:val="00251FAF"/>
    <w:rsid w:val="00254A6A"/>
    <w:rsid w:val="00254AC1"/>
    <w:rsid w:val="0025631F"/>
    <w:rsid w:val="00257637"/>
    <w:rsid w:val="002604AF"/>
    <w:rsid w:val="002609F3"/>
    <w:rsid w:val="0026176E"/>
    <w:rsid w:val="00261A65"/>
    <w:rsid w:val="00263367"/>
    <w:rsid w:val="00264533"/>
    <w:rsid w:val="0027140E"/>
    <w:rsid w:val="00273302"/>
    <w:rsid w:val="00276F3B"/>
    <w:rsid w:val="002779A7"/>
    <w:rsid w:val="00277C9B"/>
    <w:rsid w:val="0028205E"/>
    <w:rsid w:val="002831E6"/>
    <w:rsid w:val="002851A8"/>
    <w:rsid w:val="00286371"/>
    <w:rsid w:val="00286AAE"/>
    <w:rsid w:val="00286BCE"/>
    <w:rsid w:val="00290BF0"/>
    <w:rsid w:val="00293659"/>
    <w:rsid w:val="00293CAA"/>
    <w:rsid w:val="002948EB"/>
    <w:rsid w:val="002959EC"/>
    <w:rsid w:val="00297968"/>
    <w:rsid w:val="002A0141"/>
    <w:rsid w:val="002A0D46"/>
    <w:rsid w:val="002A313A"/>
    <w:rsid w:val="002A31F1"/>
    <w:rsid w:val="002A33E8"/>
    <w:rsid w:val="002A42D9"/>
    <w:rsid w:val="002B0A98"/>
    <w:rsid w:val="002B0AD1"/>
    <w:rsid w:val="002B0D0A"/>
    <w:rsid w:val="002B1C71"/>
    <w:rsid w:val="002B5654"/>
    <w:rsid w:val="002B785A"/>
    <w:rsid w:val="002B7E66"/>
    <w:rsid w:val="002C1B56"/>
    <w:rsid w:val="002C1C07"/>
    <w:rsid w:val="002C46A2"/>
    <w:rsid w:val="002C5DDE"/>
    <w:rsid w:val="002C6F1B"/>
    <w:rsid w:val="002D0E43"/>
    <w:rsid w:val="002D2088"/>
    <w:rsid w:val="002D48F5"/>
    <w:rsid w:val="002D500E"/>
    <w:rsid w:val="002D7D6C"/>
    <w:rsid w:val="002E1A32"/>
    <w:rsid w:val="002E1FEC"/>
    <w:rsid w:val="002E4148"/>
    <w:rsid w:val="002E6056"/>
    <w:rsid w:val="002E7DF4"/>
    <w:rsid w:val="002F0166"/>
    <w:rsid w:val="002F3013"/>
    <w:rsid w:val="002F46C2"/>
    <w:rsid w:val="002F4873"/>
    <w:rsid w:val="0030129D"/>
    <w:rsid w:val="00301979"/>
    <w:rsid w:val="00302504"/>
    <w:rsid w:val="003025A4"/>
    <w:rsid w:val="003029A6"/>
    <w:rsid w:val="00303109"/>
    <w:rsid w:val="003069F6"/>
    <w:rsid w:val="00307596"/>
    <w:rsid w:val="00311D0A"/>
    <w:rsid w:val="00311D1D"/>
    <w:rsid w:val="0031237B"/>
    <w:rsid w:val="00312D5B"/>
    <w:rsid w:val="00313737"/>
    <w:rsid w:val="00313FBD"/>
    <w:rsid w:val="003141C1"/>
    <w:rsid w:val="003141D9"/>
    <w:rsid w:val="00314B80"/>
    <w:rsid w:val="00315DC2"/>
    <w:rsid w:val="0031657D"/>
    <w:rsid w:val="00323664"/>
    <w:rsid w:val="0032479A"/>
    <w:rsid w:val="00326441"/>
    <w:rsid w:val="003267CA"/>
    <w:rsid w:val="0033163D"/>
    <w:rsid w:val="00332DF3"/>
    <w:rsid w:val="00333D35"/>
    <w:rsid w:val="00334782"/>
    <w:rsid w:val="003347B0"/>
    <w:rsid w:val="00334C92"/>
    <w:rsid w:val="00334EF3"/>
    <w:rsid w:val="00335072"/>
    <w:rsid w:val="003353EA"/>
    <w:rsid w:val="00336A8B"/>
    <w:rsid w:val="003372CA"/>
    <w:rsid w:val="00337E4A"/>
    <w:rsid w:val="00340A58"/>
    <w:rsid w:val="00341047"/>
    <w:rsid w:val="003412D9"/>
    <w:rsid w:val="00341C0A"/>
    <w:rsid w:val="00344EF9"/>
    <w:rsid w:val="003501D5"/>
    <w:rsid w:val="003512FB"/>
    <w:rsid w:val="003517CF"/>
    <w:rsid w:val="003520B9"/>
    <w:rsid w:val="00353227"/>
    <w:rsid w:val="00353ECA"/>
    <w:rsid w:val="00354291"/>
    <w:rsid w:val="00360941"/>
    <w:rsid w:val="00363DAD"/>
    <w:rsid w:val="0036400D"/>
    <w:rsid w:val="00364D27"/>
    <w:rsid w:val="00366CEB"/>
    <w:rsid w:val="00370C92"/>
    <w:rsid w:val="00373056"/>
    <w:rsid w:val="0037308E"/>
    <w:rsid w:val="0037596E"/>
    <w:rsid w:val="003764E4"/>
    <w:rsid w:val="00376D05"/>
    <w:rsid w:val="003802D7"/>
    <w:rsid w:val="0038057A"/>
    <w:rsid w:val="00381193"/>
    <w:rsid w:val="003819BA"/>
    <w:rsid w:val="00384DF6"/>
    <w:rsid w:val="00384EAB"/>
    <w:rsid w:val="00385741"/>
    <w:rsid w:val="00386FAD"/>
    <w:rsid w:val="00387BE6"/>
    <w:rsid w:val="003914B1"/>
    <w:rsid w:val="003931FE"/>
    <w:rsid w:val="00393EF2"/>
    <w:rsid w:val="00394729"/>
    <w:rsid w:val="00395A14"/>
    <w:rsid w:val="003973A8"/>
    <w:rsid w:val="003A0CDD"/>
    <w:rsid w:val="003A10CF"/>
    <w:rsid w:val="003A11EE"/>
    <w:rsid w:val="003A409E"/>
    <w:rsid w:val="003A40C5"/>
    <w:rsid w:val="003A4219"/>
    <w:rsid w:val="003A563C"/>
    <w:rsid w:val="003A5C4A"/>
    <w:rsid w:val="003B0E9A"/>
    <w:rsid w:val="003B165A"/>
    <w:rsid w:val="003B2CD8"/>
    <w:rsid w:val="003B37ED"/>
    <w:rsid w:val="003B3B9D"/>
    <w:rsid w:val="003B4404"/>
    <w:rsid w:val="003B45F3"/>
    <w:rsid w:val="003B7A70"/>
    <w:rsid w:val="003C0EFA"/>
    <w:rsid w:val="003C2571"/>
    <w:rsid w:val="003C387E"/>
    <w:rsid w:val="003C4CCA"/>
    <w:rsid w:val="003C53F7"/>
    <w:rsid w:val="003C688B"/>
    <w:rsid w:val="003C7452"/>
    <w:rsid w:val="003D3D3A"/>
    <w:rsid w:val="003D5B70"/>
    <w:rsid w:val="003D6289"/>
    <w:rsid w:val="003D66A3"/>
    <w:rsid w:val="003D797B"/>
    <w:rsid w:val="003E0B10"/>
    <w:rsid w:val="003E0D1F"/>
    <w:rsid w:val="003E0F75"/>
    <w:rsid w:val="003E2428"/>
    <w:rsid w:val="003E3D30"/>
    <w:rsid w:val="003E4F51"/>
    <w:rsid w:val="003E6168"/>
    <w:rsid w:val="003E64B3"/>
    <w:rsid w:val="003E66BE"/>
    <w:rsid w:val="003E6CA3"/>
    <w:rsid w:val="003F6499"/>
    <w:rsid w:val="003F7DE5"/>
    <w:rsid w:val="004009C0"/>
    <w:rsid w:val="00402F1C"/>
    <w:rsid w:val="00405456"/>
    <w:rsid w:val="00405710"/>
    <w:rsid w:val="00406447"/>
    <w:rsid w:val="00407132"/>
    <w:rsid w:val="00413D27"/>
    <w:rsid w:val="00415169"/>
    <w:rsid w:val="004152DA"/>
    <w:rsid w:val="00415B66"/>
    <w:rsid w:val="00417B33"/>
    <w:rsid w:val="00417F44"/>
    <w:rsid w:val="004238FF"/>
    <w:rsid w:val="00424662"/>
    <w:rsid w:val="004258C5"/>
    <w:rsid w:val="004266CC"/>
    <w:rsid w:val="00427FCE"/>
    <w:rsid w:val="00431147"/>
    <w:rsid w:val="00435A8B"/>
    <w:rsid w:val="00437CDE"/>
    <w:rsid w:val="0044261C"/>
    <w:rsid w:val="004459DD"/>
    <w:rsid w:val="00451286"/>
    <w:rsid w:val="004540B7"/>
    <w:rsid w:val="004542AB"/>
    <w:rsid w:val="0045537E"/>
    <w:rsid w:val="004606C5"/>
    <w:rsid w:val="0046313A"/>
    <w:rsid w:val="00463765"/>
    <w:rsid w:val="004649F7"/>
    <w:rsid w:val="004656E2"/>
    <w:rsid w:val="004709FF"/>
    <w:rsid w:val="00470E91"/>
    <w:rsid w:val="004744EF"/>
    <w:rsid w:val="00474681"/>
    <w:rsid w:val="00474C15"/>
    <w:rsid w:val="00475563"/>
    <w:rsid w:val="004771A8"/>
    <w:rsid w:val="004777F7"/>
    <w:rsid w:val="00477F7D"/>
    <w:rsid w:val="004811AE"/>
    <w:rsid w:val="004824DE"/>
    <w:rsid w:val="00483251"/>
    <w:rsid w:val="00484A4F"/>
    <w:rsid w:val="00484DE4"/>
    <w:rsid w:val="00485162"/>
    <w:rsid w:val="00486720"/>
    <w:rsid w:val="00487C58"/>
    <w:rsid w:val="0049133D"/>
    <w:rsid w:val="00492360"/>
    <w:rsid w:val="00492509"/>
    <w:rsid w:val="00493D51"/>
    <w:rsid w:val="00496834"/>
    <w:rsid w:val="004978C9"/>
    <w:rsid w:val="004979BA"/>
    <w:rsid w:val="00497F3A"/>
    <w:rsid w:val="004A0700"/>
    <w:rsid w:val="004A0E68"/>
    <w:rsid w:val="004A14CC"/>
    <w:rsid w:val="004A1862"/>
    <w:rsid w:val="004A1905"/>
    <w:rsid w:val="004A1D85"/>
    <w:rsid w:val="004A2461"/>
    <w:rsid w:val="004A5EB8"/>
    <w:rsid w:val="004A695C"/>
    <w:rsid w:val="004B1B6B"/>
    <w:rsid w:val="004B2ECC"/>
    <w:rsid w:val="004B35AB"/>
    <w:rsid w:val="004B3B58"/>
    <w:rsid w:val="004B5091"/>
    <w:rsid w:val="004B67F3"/>
    <w:rsid w:val="004C04E0"/>
    <w:rsid w:val="004C1461"/>
    <w:rsid w:val="004C371E"/>
    <w:rsid w:val="004C50DB"/>
    <w:rsid w:val="004C5D89"/>
    <w:rsid w:val="004C6C66"/>
    <w:rsid w:val="004D0458"/>
    <w:rsid w:val="004D08C1"/>
    <w:rsid w:val="004D1ECB"/>
    <w:rsid w:val="004D314C"/>
    <w:rsid w:val="004D499B"/>
    <w:rsid w:val="004D5610"/>
    <w:rsid w:val="004D7879"/>
    <w:rsid w:val="004E2031"/>
    <w:rsid w:val="004E4D3F"/>
    <w:rsid w:val="004E535C"/>
    <w:rsid w:val="004E62B9"/>
    <w:rsid w:val="004F042A"/>
    <w:rsid w:val="004F1382"/>
    <w:rsid w:val="004F40FD"/>
    <w:rsid w:val="004F52D1"/>
    <w:rsid w:val="004F6BDB"/>
    <w:rsid w:val="00500381"/>
    <w:rsid w:val="00505621"/>
    <w:rsid w:val="00506925"/>
    <w:rsid w:val="005076F5"/>
    <w:rsid w:val="005103F8"/>
    <w:rsid w:val="00510A99"/>
    <w:rsid w:val="0051282B"/>
    <w:rsid w:val="00516755"/>
    <w:rsid w:val="00516802"/>
    <w:rsid w:val="005171FD"/>
    <w:rsid w:val="005209A0"/>
    <w:rsid w:val="005216D8"/>
    <w:rsid w:val="00524489"/>
    <w:rsid w:val="00524791"/>
    <w:rsid w:val="005251DE"/>
    <w:rsid w:val="00526029"/>
    <w:rsid w:val="00531F48"/>
    <w:rsid w:val="00533847"/>
    <w:rsid w:val="005338AE"/>
    <w:rsid w:val="00535681"/>
    <w:rsid w:val="00536377"/>
    <w:rsid w:val="0053759A"/>
    <w:rsid w:val="00540431"/>
    <w:rsid w:val="00540C1D"/>
    <w:rsid w:val="00541247"/>
    <w:rsid w:val="005429F5"/>
    <w:rsid w:val="00543387"/>
    <w:rsid w:val="00546D3C"/>
    <w:rsid w:val="00550041"/>
    <w:rsid w:val="005503A6"/>
    <w:rsid w:val="005521C7"/>
    <w:rsid w:val="0055310B"/>
    <w:rsid w:val="00553119"/>
    <w:rsid w:val="00554D62"/>
    <w:rsid w:val="0055754B"/>
    <w:rsid w:val="0056200E"/>
    <w:rsid w:val="00563C5B"/>
    <w:rsid w:val="0056433F"/>
    <w:rsid w:val="00565524"/>
    <w:rsid w:val="00566206"/>
    <w:rsid w:val="005716E7"/>
    <w:rsid w:val="00577521"/>
    <w:rsid w:val="00577D47"/>
    <w:rsid w:val="0058132D"/>
    <w:rsid w:val="00583E32"/>
    <w:rsid w:val="005859FC"/>
    <w:rsid w:val="005865BC"/>
    <w:rsid w:val="00586B79"/>
    <w:rsid w:val="005873A9"/>
    <w:rsid w:val="00587E58"/>
    <w:rsid w:val="00590946"/>
    <w:rsid w:val="00591147"/>
    <w:rsid w:val="00595B07"/>
    <w:rsid w:val="005A13EA"/>
    <w:rsid w:val="005A45B9"/>
    <w:rsid w:val="005A4B06"/>
    <w:rsid w:val="005A5BE3"/>
    <w:rsid w:val="005A79EA"/>
    <w:rsid w:val="005A7CF7"/>
    <w:rsid w:val="005A7F55"/>
    <w:rsid w:val="005B1993"/>
    <w:rsid w:val="005B25E0"/>
    <w:rsid w:val="005B2885"/>
    <w:rsid w:val="005B4429"/>
    <w:rsid w:val="005B51A9"/>
    <w:rsid w:val="005B611C"/>
    <w:rsid w:val="005B63BE"/>
    <w:rsid w:val="005C0840"/>
    <w:rsid w:val="005C17D6"/>
    <w:rsid w:val="005C34F1"/>
    <w:rsid w:val="005C3F76"/>
    <w:rsid w:val="005C5581"/>
    <w:rsid w:val="005C6720"/>
    <w:rsid w:val="005C6DC8"/>
    <w:rsid w:val="005D165F"/>
    <w:rsid w:val="005D20F9"/>
    <w:rsid w:val="005D2614"/>
    <w:rsid w:val="005D2A9D"/>
    <w:rsid w:val="005D3B35"/>
    <w:rsid w:val="005D3C2E"/>
    <w:rsid w:val="005D3E98"/>
    <w:rsid w:val="005D4361"/>
    <w:rsid w:val="005D5AE4"/>
    <w:rsid w:val="005D739A"/>
    <w:rsid w:val="005D74B1"/>
    <w:rsid w:val="005E0291"/>
    <w:rsid w:val="005E3FBD"/>
    <w:rsid w:val="005E44F2"/>
    <w:rsid w:val="005F02DC"/>
    <w:rsid w:val="005F226B"/>
    <w:rsid w:val="005F4561"/>
    <w:rsid w:val="005F4C46"/>
    <w:rsid w:val="005F52D8"/>
    <w:rsid w:val="005F592B"/>
    <w:rsid w:val="005F5CEC"/>
    <w:rsid w:val="006002AF"/>
    <w:rsid w:val="0060136D"/>
    <w:rsid w:val="00601857"/>
    <w:rsid w:val="006025E3"/>
    <w:rsid w:val="006060FD"/>
    <w:rsid w:val="00607771"/>
    <w:rsid w:val="00610C89"/>
    <w:rsid w:val="006116F6"/>
    <w:rsid w:val="00611BB7"/>
    <w:rsid w:val="00617CB8"/>
    <w:rsid w:val="00620375"/>
    <w:rsid w:val="006207ED"/>
    <w:rsid w:val="00621269"/>
    <w:rsid w:val="006223DA"/>
    <w:rsid w:val="00622FEF"/>
    <w:rsid w:val="00624412"/>
    <w:rsid w:val="00624A76"/>
    <w:rsid w:val="006250EC"/>
    <w:rsid w:val="00625B5B"/>
    <w:rsid w:val="00625F89"/>
    <w:rsid w:val="00627321"/>
    <w:rsid w:val="0063146C"/>
    <w:rsid w:val="0063366B"/>
    <w:rsid w:val="00633978"/>
    <w:rsid w:val="00635149"/>
    <w:rsid w:val="006356AB"/>
    <w:rsid w:val="00642F64"/>
    <w:rsid w:val="00645743"/>
    <w:rsid w:val="00645EF9"/>
    <w:rsid w:val="006471CF"/>
    <w:rsid w:val="00647AD3"/>
    <w:rsid w:val="00647E4B"/>
    <w:rsid w:val="0065020D"/>
    <w:rsid w:val="006507A6"/>
    <w:rsid w:val="00655727"/>
    <w:rsid w:val="0065665B"/>
    <w:rsid w:val="00656DD1"/>
    <w:rsid w:val="006624CD"/>
    <w:rsid w:val="00663BA7"/>
    <w:rsid w:val="00667EC4"/>
    <w:rsid w:val="00671135"/>
    <w:rsid w:val="00672224"/>
    <w:rsid w:val="00674E7C"/>
    <w:rsid w:val="00676534"/>
    <w:rsid w:val="00677F3C"/>
    <w:rsid w:val="00685B9C"/>
    <w:rsid w:val="00687C2D"/>
    <w:rsid w:val="006900E6"/>
    <w:rsid w:val="00690358"/>
    <w:rsid w:val="00690FCD"/>
    <w:rsid w:val="00691E9A"/>
    <w:rsid w:val="006936C9"/>
    <w:rsid w:val="0069571D"/>
    <w:rsid w:val="00695B15"/>
    <w:rsid w:val="006A0461"/>
    <w:rsid w:val="006A16CF"/>
    <w:rsid w:val="006A25B6"/>
    <w:rsid w:val="006A2723"/>
    <w:rsid w:val="006A2C16"/>
    <w:rsid w:val="006A39ED"/>
    <w:rsid w:val="006A4CB6"/>
    <w:rsid w:val="006A5BF4"/>
    <w:rsid w:val="006A79A8"/>
    <w:rsid w:val="006B0234"/>
    <w:rsid w:val="006B0D2F"/>
    <w:rsid w:val="006B0DFE"/>
    <w:rsid w:val="006B2AD9"/>
    <w:rsid w:val="006B31BC"/>
    <w:rsid w:val="006B4897"/>
    <w:rsid w:val="006C349B"/>
    <w:rsid w:val="006C4BD7"/>
    <w:rsid w:val="006C626B"/>
    <w:rsid w:val="006C78BF"/>
    <w:rsid w:val="006D0C37"/>
    <w:rsid w:val="006D37C0"/>
    <w:rsid w:val="006D65D9"/>
    <w:rsid w:val="006E03F4"/>
    <w:rsid w:val="006E0737"/>
    <w:rsid w:val="006E1A4A"/>
    <w:rsid w:val="006E3AA7"/>
    <w:rsid w:val="006E64CB"/>
    <w:rsid w:val="006E6CF5"/>
    <w:rsid w:val="006E7269"/>
    <w:rsid w:val="006F19E9"/>
    <w:rsid w:val="006F2B53"/>
    <w:rsid w:val="006F34A7"/>
    <w:rsid w:val="006F3F5F"/>
    <w:rsid w:val="006F460E"/>
    <w:rsid w:val="00700ECE"/>
    <w:rsid w:val="0070281F"/>
    <w:rsid w:val="00702D53"/>
    <w:rsid w:val="00704FB5"/>
    <w:rsid w:val="0070579E"/>
    <w:rsid w:val="00705AB6"/>
    <w:rsid w:val="00710D6C"/>
    <w:rsid w:val="00712B49"/>
    <w:rsid w:val="0071355F"/>
    <w:rsid w:val="0071456B"/>
    <w:rsid w:val="00714600"/>
    <w:rsid w:val="0071590A"/>
    <w:rsid w:val="00717378"/>
    <w:rsid w:val="00720585"/>
    <w:rsid w:val="00721D5B"/>
    <w:rsid w:val="0072354E"/>
    <w:rsid w:val="00724478"/>
    <w:rsid w:val="00724BF8"/>
    <w:rsid w:val="0072542E"/>
    <w:rsid w:val="00725497"/>
    <w:rsid w:val="00725D1A"/>
    <w:rsid w:val="00726A7B"/>
    <w:rsid w:val="007273BD"/>
    <w:rsid w:val="007311AD"/>
    <w:rsid w:val="00731D42"/>
    <w:rsid w:val="00731E16"/>
    <w:rsid w:val="00731F9D"/>
    <w:rsid w:val="00733405"/>
    <w:rsid w:val="00735D1A"/>
    <w:rsid w:val="00736232"/>
    <w:rsid w:val="00736818"/>
    <w:rsid w:val="00740D27"/>
    <w:rsid w:val="007417D4"/>
    <w:rsid w:val="00741F21"/>
    <w:rsid w:val="00742248"/>
    <w:rsid w:val="00745447"/>
    <w:rsid w:val="00747E2D"/>
    <w:rsid w:val="0075156C"/>
    <w:rsid w:val="007530E5"/>
    <w:rsid w:val="007562E9"/>
    <w:rsid w:val="00757EE9"/>
    <w:rsid w:val="007601BF"/>
    <w:rsid w:val="00761AF5"/>
    <w:rsid w:val="00762CDB"/>
    <w:rsid w:val="00763003"/>
    <w:rsid w:val="00763452"/>
    <w:rsid w:val="00766E12"/>
    <w:rsid w:val="0077035B"/>
    <w:rsid w:val="007708B2"/>
    <w:rsid w:val="00770A81"/>
    <w:rsid w:val="007719F5"/>
    <w:rsid w:val="00773AA5"/>
    <w:rsid w:val="007742AB"/>
    <w:rsid w:val="00775066"/>
    <w:rsid w:val="00775A30"/>
    <w:rsid w:val="00776A77"/>
    <w:rsid w:val="0077782D"/>
    <w:rsid w:val="00781758"/>
    <w:rsid w:val="00781856"/>
    <w:rsid w:val="00782753"/>
    <w:rsid w:val="00782761"/>
    <w:rsid w:val="00782D1E"/>
    <w:rsid w:val="00784518"/>
    <w:rsid w:val="0078455D"/>
    <w:rsid w:val="00784634"/>
    <w:rsid w:val="007862D8"/>
    <w:rsid w:val="00786B8E"/>
    <w:rsid w:val="00790028"/>
    <w:rsid w:val="0079046D"/>
    <w:rsid w:val="007919EB"/>
    <w:rsid w:val="00794632"/>
    <w:rsid w:val="00794650"/>
    <w:rsid w:val="00794B35"/>
    <w:rsid w:val="00795A7C"/>
    <w:rsid w:val="007A4885"/>
    <w:rsid w:val="007A563E"/>
    <w:rsid w:val="007A67EE"/>
    <w:rsid w:val="007B19EE"/>
    <w:rsid w:val="007B2F19"/>
    <w:rsid w:val="007B60A3"/>
    <w:rsid w:val="007B657B"/>
    <w:rsid w:val="007B667C"/>
    <w:rsid w:val="007B70CA"/>
    <w:rsid w:val="007B7BFC"/>
    <w:rsid w:val="007D2421"/>
    <w:rsid w:val="007D2CC8"/>
    <w:rsid w:val="007D32D9"/>
    <w:rsid w:val="007D3EBB"/>
    <w:rsid w:val="007D5936"/>
    <w:rsid w:val="007D73FE"/>
    <w:rsid w:val="007D7F1D"/>
    <w:rsid w:val="007E1D62"/>
    <w:rsid w:val="007E2D23"/>
    <w:rsid w:val="007E315A"/>
    <w:rsid w:val="007E3982"/>
    <w:rsid w:val="007F0E4F"/>
    <w:rsid w:val="007F2A29"/>
    <w:rsid w:val="007F3C20"/>
    <w:rsid w:val="007F4CFC"/>
    <w:rsid w:val="007F65A7"/>
    <w:rsid w:val="007F6C36"/>
    <w:rsid w:val="008009E7"/>
    <w:rsid w:val="00800BB1"/>
    <w:rsid w:val="00801400"/>
    <w:rsid w:val="008035FA"/>
    <w:rsid w:val="00804089"/>
    <w:rsid w:val="008045D4"/>
    <w:rsid w:val="008112C0"/>
    <w:rsid w:val="0082336F"/>
    <w:rsid w:val="00823B97"/>
    <w:rsid w:val="008260DD"/>
    <w:rsid w:val="008262E2"/>
    <w:rsid w:val="008301AC"/>
    <w:rsid w:val="00831065"/>
    <w:rsid w:val="00832870"/>
    <w:rsid w:val="00836D83"/>
    <w:rsid w:val="0084029B"/>
    <w:rsid w:val="008405DC"/>
    <w:rsid w:val="00844D33"/>
    <w:rsid w:val="00846743"/>
    <w:rsid w:val="00852CB7"/>
    <w:rsid w:val="008560D6"/>
    <w:rsid w:val="00864F5D"/>
    <w:rsid w:val="00865143"/>
    <w:rsid w:val="008666CF"/>
    <w:rsid w:val="0086757C"/>
    <w:rsid w:val="0087025C"/>
    <w:rsid w:val="00872B73"/>
    <w:rsid w:val="00873014"/>
    <w:rsid w:val="00874DF8"/>
    <w:rsid w:val="00874E78"/>
    <w:rsid w:val="00875E81"/>
    <w:rsid w:val="0087740E"/>
    <w:rsid w:val="00877EF0"/>
    <w:rsid w:val="00880C71"/>
    <w:rsid w:val="008811BA"/>
    <w:rsid w:val="00881CA3"/>
    <w:rsid w:val="00882B67"/>
    <w:rsid w:val="008844F5"/>
    <w:rsid w:val="00884CF9"/>
    <w:rsid w:val="008870E8"/>
    <w:rsid w:val="00887204"/>
    <w:rsid w:val="00887450"/>
    <w:rsid w:val="00892481"/>
    <w:rsid w:val="0089291B"/>
    <w:rsid w:val="00892A3F"/>
    <w:rsid w:val="00893E32"/>
    <w:rsid w:val="0089405B"/>
    <w:rsid w:val="008947F5"/>
    <w:rsid w:val="00897279"/>
    <w:rsid w:val="008975A2"/>
    <w:rsid w:val="00897884"/>
    <w:rsid w:val="008A355F"/>
    <w:rsid w:val="008A394C"/>
    <w:rsid w:val="008A5A85"/>
    <w:rsid w:val="008A6FD9"/>
    <w:rsid w:val="008B13B1"/>
    <w:rsid w:val="008B2AD5"/>
    <w:rsid w:val="008B4C62"/>
    <w:rsid w:val="008B4E73"/>
    <w:rsid w:val="008B6180"/>
    <w:rsid w:val="008B6DAA"/>
    <w:rsid w:val="008C0651"/>
    <w:rsid w:val="008C1292"/>
    <w:rsid w:val="008C233F"/>
    <w:rsid w:val="008C2E0E"/>
    <w:rsid w:val="008C3159"/>
    <w:rsid w:val="008C52F2"/>
    <w:rsid w:val="008D0500"/>
    <w:rsid w:val="008D17FD"/>
    <w:rsid w:val="008D2CCC"/>
    <w:rsid w:val="008D2F13"/>
    <w:rsid w:val="008D45DD"/>
    <w:rsid w:val="008D5272"/>
    <w:rsid w:val="008D534D"/>
    <w:rsid w:val="008D53D4"/>
    <w:rsid w:val="008D6927"/>
    <w:rsid w:val="008D6D69"/>
    <w:rsid w:val="008D7203"/>
    <w:rsid w:val="008D7862"/>
    <w:rsid w:val="008E1397"/>
    <w:rsid w:val="008E4458"/>
    <w:rsid w:val="008F0799"/>
    <w:rsid w:val="008F13F4"/>
    <w:rsid w:val="008F726B"/>
    <w:rsid w:val="009007D0"/>
    <w:rsid w:val="0090556F"/>
    <w:rsid w:val="00906216"/>
    <w:rsid w:val="009103B5"/>
    <w:rsid w:val="00913C5B"/>
    <w:rsid w:val="0091575C"/>
    <w:rsid w:val="00915A00"/>
    <w:rsid w:val="0091788F"/>
    <w:rsid w:val="00920584"/>
    <w:rsid w:val="00922033"/>
    <w:rsid w:val="00922A31"/>
    <w:rsid w:val="00923212"/>
    <w:rsid w:val="009234A6"/>
    <w:rsid w:val="00924A40"/>
    <w:rsid w:val="00931B40"/>
    <w:rsid w:val="00932424"/>
    <w:rsid w:val="0093501E"/>
    <w:rsid w:val="00936EF9"/>
    <w:rsid w:val="0093795F"/>
    <w:rsid w:val="00937977"/>
    <w:rsid w:val="0094180A"/>
    <w:rsid w:val="00941F42"/>
    <w:rsid w:val="009422A1"/>
    <w:rsid w:val="00942DA6"/>
    <w:rsid w:val="009436D3"/>
    <w:rsid w:val="009456BC"/>
    <w:rsid w:val="009468C9"/>
    <w:rsid w:val="00947953"/>
    <w:rsid w:val="0095089C"/>
    <w:rsid w:val="009519D1"/>
    <w:rsid w:val="0095255C"/>
    <w:rsid w:val="00952B2E"/>
    <w:rsid w:val="0095346D"/>
    <w:rsid w:val="00956867"/>
    <w:rsid w:val="009579AD"/>
    <w:rsid w:val="00957C64"/>
    <w:rsid w:val="009617F9"/>
    <w:rsid w:val="00962757"/>
    <w:rsid w:val="00966855"/>
    <w:rsid w:val="009707F2"/>
    <w:rsid w:val="00973A80"/>
    <w:rsid w:val="00974E19"/>
    <w:rsid w:val="00975205"/>
    <w:rsid w:val="009774D9"/>
    <w:rsid w:val="00977CCC"/>
    <w:rsid w:val="009806B9"/>
    <w:rsid w:val="00981660"/>
    <w:rsid w:val="00982377"/>
    <w:rsid w:val="00982E90"/>
    <w:rsid w:val="009855B7"/>
    <w:rsid w:val="00985796"/>
    <w:rsid w:val="00987683"/>
    <w:rsid w:val="00990895"/>
    <w:rsid w:val="00991562"/>
    <w:rsid w:val="00991C63"/>
    <w:rsid w:val="00993549"/>
    <w:rsid w:val="00994A36"/>
    <w:rsid w:val="00994F38"/>
    <w:rsid w:val="00996A07"/>
    <w:rsid w:val="00997D70"/>
    <w:rsid w:val="009A0218"/>
    <w:rsid w:val="009A0510"/>
    <w:rsid w:val="009A266D"/>
    <w:rsid w:val="009A3BD6"/>
    <w:rsid w:val="009A431A"/>
    <w:rsid w:val="009A4856"/>
    <w:rsid w:val="009A594E"/>
    <w:rsid w:val="009A6156"/>
    <w:rsid w:val="009A68AE"/>
    <w:rsid w:val="009A7765"/>
    <w:rsid w:val="009B0618"/>
    <w:rsid w:val="009B0F1D"/>
    <w:rsid w:val="009B37F0"/>
    <w:rsid w:val="009B6DA6"/>
    <w:rsid w:val="009B748E"/>
    <w:rsid w:val="009B7BA8"/>
    <w:rsid w:val="009C0CF6"/>
    <w:rsid w:val="009C1D64"/>
    <w:rsid w:val="009C22C6"/>
    <w:rsid w:val="009C4AFB"/>
    <w:rsid w:val="009C6DF5"/>
    <w:rsid w:val="009C7569"/>
    <w:rsid w:val="009D1F1D"/>
    <w:rsid w:val="009D3767"/>
    <w:rsid w:val="009D3844"/>
    <w:rsid w:val="009D3A68"/>
    <w:rsid w:val="009D42D3"/>
    <w:rsid w:val="009D52EC"/>
    <w:rsid w:val="009D6358"/>
    <w:rsid w:val="009D73AC"/>
    <w:rsid w:val="009E0C85"/>
    <w:rsid w:val="009E3265"/>
    <w:rsid w:val="009E349A"/>
    <w:rsid w:val="009E3952"/>
    <w:rsid w:val="009E407C"/>
    <w:rsid w:val="009E49D4"/>
    <w:rsid w:val="009E533B"/>
    <w:rsid w:val="009E745F"/>
    <w:rsid w:val="009F0BD1"/>
    <w:rsid w:val="009F0D2F"/>
    <w:rsid w:val="009F4412"/>
    <w:rsid w:val="009F6FF9"/>
    <w:rsid w:val="00A01E13"/>
    <w:rsid w:val="00A01F35"/>
    <w:rsid w:val="00A025E6"/>
    <w:rsid w:val="00A04B41"/>
    <w:rsid w:val="00A04CA1"/>
    <w:rsid w:val="00A050DC"/>
    <w:rsid w:val="00A105DD"/>
    <w:rsid w:val="00A111E5"/>
    <w:rsid w:val="00A116F1"/>
    <w:rsid w:val="00A12485"/>
    <w:rsid w:val="00A13C41"/>
    <w:rsid w:val="00A14B00"/>
    <w:rsid w:val="00A15223"/>
    <w:rsid w:val="00A15C5F"/>
    <w:rsid w:val="00A15CF4"/>
    <w:rsid w:val="00A174EE"/>
    <w:rsid w:val="00A2045D"/>
    <w:rsid w:val="00A2080F"/>
    <w:rsid w:val="00A211B2"/>
    <w:rsid w:val="00A21A21"/>
    <w:rsid w:val="00A221D7"/>
    <w:rsid w:val="00A252FB"/>
    <w:rsid w:val="00A26FB1"/>
    <w:rsid w:val="00A2735B"/>
    <w:rsid w:val="00A3119B"/>
    <w:rsid w:val="00A327D7"/>
    <w:rsid w:val="00A3399F"/>
    <w:rsid w:val="00A33A6F"/>
    <w:rsid w:val="00A33C51"/>
    <w:rsid w:val="00A34B32"/>
    <w:rsid w:val="00A3552C"/>
    <w:rsid w:val="00A35F08"/>
    <w:rsid w:val="00A40242"/>
    <w:rsid w:val="00A4084D"/>
    <w:rsid w:val="00A45910"/>
    <w:rsid w:val="00A46E47"/>
    <w:rsid w:val="00A51AC7"/>
    <w:rsid w:val="00A51BE2"/>
    <w:rsid w:val="00A529DB"/>
    <w:rsid w:val="00A53BA6"/>
    <w:rsid w:val="00A55F81"/>
    <w:rsid w:val="00A60923"/>
    <w:rsid w:val="00A61341"/>
    <w:rsid w:val="00A62E35"/>
    <w:rsid w:val="00A62E52"/>
    <w:rsid w:val="00A63C11"/>
    <w:rsid w:val="00A671C7"/>
    <w:rsid w:val="00A67282"/>
    <w:rsid w:val="00A678D0"/>
    <w:rsid w:val="00A70232"/>
    <w:rsid w:val="00A71EED"/>
    <w:rsid w:val="00A729E0"/>
    <w:rsid w:val="00A74B41"/>
    <w:rsid w:val="00A755C0"/>
    <w:rsid w:val="00A75C6C"/>
    <w:rsid w:val="00A821B0"/>
    <w:rsid w:val="00A846FA"/>
    <w:rsid w:val="00A85D8A"/>
    <w:rsid w:val="00A86408"/>
    <w:rsid w:val="00A918E3"/>
    <w:rsid w:val="00A91F9F"/>
    <w:rsid w:val="00A924CC"/>
    <w:rsid w:val="00A92B1E"/>
    <w:rsid w:val="00A93C24"/>
    <w:rsid w:val="00A9447A"/>
    <w:rsid w:val="00A946DE"/>
    <w:rsid w:val="00A949EE"/>
    <w:rsid w:val="00A95462"/>
    <w:rsid w:val="00A9587B"/>
    <w:rsid w:val="00AA00DB"/>
    <w:rsid w:val="00AA0701"/>
    <w:rsid w:val="00AA1DB8"/>
    <w:rsid w:val="00AA7F9E"/>
    <w:rsid w:val="00AB1A63"/>
    <w:rsid w:val="00AB2683"/>
    <w:rsid w:val="00AB26A4"/>
    <w:rsid w:val="00AB326A"/>
    <w:rsid w:val="00AB4845"/>
    <w:rsid w:val="00AB51E6"/>
    <w:rsid w:val="00AB5D82"/>
    <w:rsid w:val="00AB685C"/>
    <w:rsid w:val="00AB7A3E"/>
    <w:rsid w:val="00AC13BF"/>
    <w:rsid w:val="00AC260A"/>
    <w:rsid w:val="00AC2739"/>
    <w:rsid w:val="00AC3BE2"/>
    <w:rsid w:val="00AC4267"/>
    <w:rsid w:val="00AC45CB"/>
    <w:rsid w:val="00AC77C1"/>
    <w:rsid w:val="00AD09FD"/>
    <w:rsid w:val="00AD2E45"/>
    <w:rsid w:val="00AD74D0"/>
    <w:rsid w:val="00AE088D"/>
    <w:rsid w:val="00AE0A43"/>
    <w:rsid w:val="00AE1187"/>
    <w:rsid w:val="00AE23A1"/>
    <w:rsid w:val="00AE23CC"/>
    <w:rsid w:val="00AE24E5"/>
    <w:rsid w:val="00AE285D"/>
    <w:rsid w:val="00AE2FE4"/>
    <w:rsid w:val="00AE33EE"/>
    <w:rsid w:val="00AE43E0"/>
    <w:rsid w:val="00AE4DB7"/>
    <w:rsid w:val="00AE7EDE"/>
    <w:rsid w:val="00AF158F"/>
    <w:rsid w:val="00AF2FB9"/>
    <w:rsid w:val="00AF543C"/>
    <w:rsid w:val="00AF7CDA"/>
    <w:rsid w:val="00B0140C"/>
    <w:rsid w:val="00B062A4"/>
    <w:rsid w:val="00B07655"/>
    <w:rsid w:val="00B14D35"/>
    <w:rsid w:val="00B17AEA"/>
    <w:rsid w:val="00B20980"/>
    <w:rsid w:val="00B212C9"/>
    <w:rsid w:val="00B216E5"/>
    <w:rsid w:val="00B222D8"/>
    <w:rsid w:val="00B223B1"/>
    <w:rsid w:val="00B22882"/>
    <w:rsid w:val="00B27624"/>
    <w:rsid w:val="00B34EC8"/>
    <w:rsid w:val="00B3506C"/>
    <w:rsid w:val="00B41E2F"/>
    <w:rsid w:val="00B42CE0"/>
    <w:rsid w:val="00B44CAB"/>
    <w:rsid w:val="00B46A74"/>
    <w:rsid w:val="00B46F95"/>
    <w:rsid w:val="00B5184D"/>
    <w:rsid w:val="00B52054"/>
    <w:rsid w:val="00B5391B"/>
    <w:rsid w:val="00B54273"/>
    <w:rsid w:val="00B550B9"/>
    <w:rsid w:val="00B5664C"/>
    <w:rsid w:val="00B61B08"/>
    <w:rsid w:val="00B61E0E"/>
    <w:rsid w:val="00B6202A"/>
    <w:rsid w:val="00B62676"/>
    <w:rsid w:val="00B630C0"/>
    <w:rsid w:val="00B640F7"/>
    <w:rsid w:val="00B64B60"/>
    <w:rsid w:val="00B64F16"/>
    <w:rsid w:val="00B66CB7"/>
    <w:rsid w:val="00B716E7"/>
    <w:rsid w:val="00B71F5F"/>
    <w:rsid w:val="00B72397"/>
    <w:rsid w:val="00B73ABC"/>
    <w:rsid w:val="00B74C6E"/>
    <w:rsid w:val="00B750F9"/>
    <w:rsid w:val="00B76F25"/>
    <w:rsid w:val="00B8223F"/>
    <w:rsid w:val="00B83DBC"/>
    <w:rsid w:val="00B852EA"/>
    <w:rsid w:val="00B92955"/>
    <w:rsid w:val="00B93EC7"/>
    <w:rsid w:val="00B94A90"/>
    <w:rsid w:val="00B959A0"/>
    <w:rsid w:val="00B968A1"/>
    <w:rsid w:val="00B96D54"/>
    <w:rsid w:val="00BB12C4"/>
    <w:rsid w:val="00BB2185"/>
    <w:rsid w:val="00BB3292"/>
    <w:rsid w:val="00BB46F5"/>
    <w:rsid w:val="00BB5F2B"/>
    <w:rsid w:val="00BB629F"/>
    <w:rsid w:val="00BC0140"/>
    <w:rsid w:val="00BC15CE"/>
    <w:rsid w:val="00BC216E"/>
    <w:rsid w:val="00BC3EF5"/>
    <w:rsid w:val="00BC408B"/>
    <w:rsid w:val="00BC4564"/>
    <w:rsid w:val="00BC4643"/>
    <w:rsid w:val="00BC472A"/>
    <w:rsid w:val="00BC6D3F"/>
    <w:rsid w:val="00BD137D"/>
    <w:rsid w:val="00BD1EF7"/>
    <w:rsid w:val="00BD3B31"/>
    <w:rsid w:val="00BD4EFA"/>
    <w:rsid w:val="00BD4FF6"/>
    <w:rsid w:val="00BD5366"/>
    <w:rsid w:val="00BD651E"/>
    <w:rsid w:val="00BD78CA"/>
    <w:rsid w:val="00BE0649"/>
    <w:rsid w:val="00BE095F"/>
    <w:rsid w:val="00BE16B5"/>
    <w:rsid w:val="00BE2101"/>
    <w:rsid w:val="00BE2C40"/>
    <w:rsid w:val="00BE3A28"/>
    <w:rsid w:val="00BE4545"/>
    <w:rsid w:val="00BE7B79"/>
    <w:rsid w:val="00BF0685"/>
    <w:rsid w:val="00BF6C40"/>
    <w:rsid w:val="00C0386A"/>
    <w:rsid w:val="00C04061"/>
    <w:rsid w:val="00C056EB"/>
    <w:rsid w:val="00C0598E"/>
    <w:rsid w:val="00C06BE9"/>
    <w:rsid w:val="00C12EDF"/>
    <w:rsid w:val="00C14EF9"/>
    <w:rsid w:val="00C176C6"/>
    <w:rsid w:val="00C17F9F"/>
    <w:rsid w:val="00C20202"/>
    <w:rsid w:val="00C2035C"/>
    <w:rsid w:val="00C20ABF"/>
    <w:rsid w:val="00C2288B"/>
    <w:rsid w:val="00C234CD"/>
    <w:rsid w:val="00C23B21"/>
    <w:rsid w:val="00C23F86"/>
    <w:rsid w:val="00C2492B"/>
    <w:rsid w:val="00C249C9"/>
    <w:rsid w:val="00C33297"/>
    <w:rsid w:val="00C34445"/>
    <w:rsid w:val="00C3450A"/>
    <w:rsid w:val="00C3598C"/>
    <w:rsid w:val="00C36579"/>
    <w:rsid w:val="00C4015C"/>
    <w:rsid w:val="00C40D28"/>
    <w:rsid w:val="00C4171C"/>
    <w:rsid w:val="00C432AC"/>
    <w:rsid w:val="00C44506"/>
    <w:rsid w:val="00C4621C"/>
    <w:rsid w:val="00C4683C"/>
    <w:rsid w:val="00C470FB"/>
    <w:rsid w:val="00C604B4"/>
    <w:rsid w:val="00C616FA"/>
    <w:rsid w:val="00C62281"/>
    <w:rsid w:val="00C637F8"/>
    <w:rsid w:val="00C648A9"/>
    <w:rsid w:val="00C65F6F"/>
    <w:rsid w:val="00C70878"/>
    <w:rsid w:val="00C71776"/>
    <w:rsid w:val="00C729AD"/>
    <w:rsid w:val="00C72AF7"/>
    <w:rsid w:val="00C736CB"/>
    <w:rsid w:val="00C75845"/>
    <w:rsid w:val="00C867D1"/>
    <w:rsid w:val="00C8694C"/>
    <w:rsid w:val="00C906A0"/>
    <w:rsid w:val="00C90F69"/>
    <w:rsid w:val="00C91354"/>
    <w:rsid w:val="00C92575"/>
    <w:rsid w:val="00C94850"/>
    <w:rsid w:val="00C97EC2"/>
    <w:rsid w:val="00CA0D27"/>
    <w:rsid w:val="00CA0FAB"/>
    <w:rsid w:val="00CA10F0"/>
    <w:rsid w:val="00CA1BED"/>
    <w:rsid w:val="00CA2B6F"/>
    <w:rsid w:val="00CA2BE9"/>
    <w:rsid w:val="00CA31DD"/>
    <w:rsid w:val="00CA3626"/>
    <w:rsid w:val="00CA463A"/>
    <w:rsid w:val="00CA509E"/>
    <w:rsid w:val="00CA70B9"/>
    <w:rsid w:val="00CB0279"/>
    <w:rsid w:val="00CB0B4E"/>
    <w:rsid w:val="00CB1676"/>
    <w:rsid w:val="00CB4401"/>
    <w:rsid w:val="00CC0524"/>
    <w:rsid w:val="00CC100D"/>
    <w:rsid w:val="00CC1878"/>
    <w:rsid w:val="00CC39B4"/>
    <w:rsid w:val="00CC6FF9"/>
    <w:rsid w:val="00CD0944"/>
    <w:rsid w:val="00CD0B7C"/>
    <w:rsid w:val="00CD27A8"/>
    <w:rsid w:val="00CD2CC6"/>
    <w:rsid w:val="00CD42BD"/>
    <w:rsid w:val="00CD527C"/>
    <w:rsid w:val="00CE0019"/>
    <w:rsid w:val="00CE00B3"/>
    <w:rsid w:val="00CE0636"/>
    <w:rsid w:val="00CE1EF1"/>
    <w:rsid w:val="00CE39A2"/>
    <w:rsid w:val="00CE57EB"/>
    <w:rsid w:val="00CE58A9"/>
    <w:rsid w:val="00CE5B7E"/>
    <w:rsid w:val="00CE75FF"/>
    <w:rsid w:val="00CE7D01"/>
    <w:rsid w:val="00CF3356"/>
    <w:rsid w:val="00CF4551"/>
    <w:rsid w:val="00CF76B3"/>
    <w:rsid w:val="00D00FF4"/>
    <w:rsid w:val="00D0219F"/>
    <w:rsid w:val="00D03ACE"/>
    <w:rsid w:val="00D05442"/>
    <w:rsid w:val="00D0735B"/>
    <w:rsid w:val="00D106B5"/>
    <w:rsid w:val="00D11865"/>
    <w:rsid w:val="00D12128"/>
    <w:rsid w:val="00D1273D"/>
    <w:rsid w:val="00D14B66"/>
    <w:rsid w:val="00D14C2C"/>
    <w:rsid w:val="00D16310"/>
    <w:rsid w:val="00D17162"/>
    <w:rsid w:val="00D1785B"/>
    <w:rsid w:val="00D20A6D"/>
    <w:rsid w:val="00D211C2"/>
    <w:rsid w:val="00D21364"/>
    <w:rsid w:val="00D21719"/>
    <w:rsid w:val="00D21868"/>
    <w:rsid w:val="00D22236"/>
    <w:rsid w:val="00D254A8"/>
    <w:rsid w:val="00D2759B"/>
    <w:rsid w:val="00D375E6"/>
    <w:rsid w:val="00D419BB"/>
    <w:rsid w:val="00D443AA"/>
    <w:rsid w:val="00D454B1"/>
    <w:rsid w:val="00D4596C"/>
    <w:rsid w:val="00D46537"/>
    <w:rsid w:val="00D46DFD"/>
    <w:rsid w:val="00D4773F"/>
    <w:rsid w:val="00D5106D"/>
    <w:rsid w:val="00D54786"/>
    <w:rsid w:val="00D55309"/>
    <w:rsid w:val="00D55836"/>
    <w:rsid w:val="00D55F9B"/>
    <w:rsid w:val="00D60704"/>
    <w:rsid w:val="00D6102B"/>
    <w:rsid w:val="00D63F47"/>
    <w:rsid w:val="00D66080"/>
    <w:rsid w:val="00D66B91"/>
    <w:rsid w:val="00D700FD"/>
    <w:rsid w:val="00D70548"/>
    <w:rsid w:val="00D727C6"/>
    <w:rsid w:val="00D73FED"/>
    <w:rsid w:val="00D74021"/>
    <w:rsid w:val="00D748F3"/>
    <w:rsid w:val="00D75AA0"/>
    <w:rsid w:val="00D77769"/>
    <w:rsid w:val="00D77800"/>
    <w:rsid w:val="00D80F14"/>
    <w:rsid w:val="00D817D0"/>
    <w:rsid w:val="00D82A2C"/>
    <w:rsid w:val="00D82E1B"/>
    <w:rsid w:val="00D83CE3"/>
    <w:rsid w:val="00D83D74"/>
    <w:rsid w:val="00D91C14"/>
    <w:rsid w:val="00D926AC"/>
    <w:rsid w:val="00D92951"/>
    <w:rsid w:val="00D92D79"/>
    <w:rsid w:val="00D944CB"/>
    <w:rsid w:val="00DA1F51"/>
    <w:rsid w:val="00DA7CCA"/>
    <w:rsid w:val="00DB2256"/>
    <w:rsid w:val="00DB2273"/>
    <w:rsid w:val="00DB2DB2"/>
    <w:rsid w:val="00DB66E8"/>
    <w:rsid w:val="00DB6701"/>
    <w:rsid w:val="00DB6823"/>
    <w:rsid w:val="00DC0F3C"/>
    <w:rsid w:val="00DC1AB8"/>
    <w:rsid w:val="00DC270B"/>
    <w:rsid w:val="00DC3A75"/>
    <w:rsid w:val="00DC5B84"/>
    <w:rsid w:val="00DC5B9B"/>
    <w:rsid w:val="00DC629B"/>
    <w:rsid w:val="00DC65B3"/>
    <w:rsid w:val="00DC70FC"/>
    <w:rsid w:val="00DD04A6"/>
    <w:rsid w:val="00DD0A13"/>
    <w:rsid w:val="00DD1810"/>
    <w:rsid w:val="00DD1BE8"/>
    <w:rsid w:val="00DD1C78"/>
    <w:rsid w:val="00DD3C8D"/>
    <w:rsid w:val="00DD56EC"/>
    <w:rsid w:val="00DD78E1"/>
    <w:rsid w:val="00DE566B"/>
    <w:rsid w:val="00DE6C34"/>
    <w:rsid w:val="00DE6D43"/>
    <w:rsid w:val="00DF25C2"/>
    <w:rsid w:val="00DF3E5B"/>
    <w:rsid w:val="00DF5643"/>
    <w:rsid w:val="00E02B1A"/>
    <w:rsid w:val="00E0429D"/>
    <w:rsid w:val="00E04343"/>
    <w:rsid w:val="00E05ED4"/>
    <w:rsid w:val="00E06B56"/>
    <w:rsid w:val="00E12A60"/>
    <w:rsid w:val="00E13293"/>
    <w:rsid w:val="00E14B70"/>
    <w:rsid w:val="00E151F0"/>
    <w:rsid w:val="00E16463"/>
    <w:rsid w:val="00E20E5B"/>
    <w:rsid w:val="00E222CD"/>
    <w:rsid w:val="00E22407"/>
    <w:rsid w:val="00E238F0"/>
    <w:rsid w:val="00E24678"/>
    <w:rsid w:val="00E2686C"/>
    <w:rsid w:val="00E27164"/>
    <w:rsid w:val="00E32480"/>
    <w:rsid w:val="00E332C4"/>
    <w:rsid w:val="00E350A4"/>
    <w:rsid w:val="00E359C0"/>
    <w:rsid w:val="00E361FF"/>
    <w:rsid w:val="00E36EA9"/>
    <w:rsid w:val="00E36FED"/>
    <w:rsid w:val="00E406BB"/>
    <w:rsid w:val="00E41A9B"/>
    <w:rsid w:val="00E438C7"/>
    <w:rsid w:val="00E443BC"/>
    <w:rsid w:val="00E461E7"/>
    <w:rsid w:val="00E46EEA"/>
    <w:rsid w:val="00E54742"/>
    <w:rsid w:val="00E55E81"/>
    <w:rsid w:val="00E573EE"/>
    <w:rsid w:val="00E57F7D"/>
    <w:rsid w:val="00E60817"/>
    <w:rsid w:val="00E635FB"/>
    <w:rsid w:val="00E63774"/>
    <w:rsid w:val="00E63DD0"/>
    <w:rsid w:val="00E6643A"/>
    <w:rsid w:val="00E66CE1"/>
    <w:rsid w:val="00E67665"/>
    <w:rsid w:val="00E71947"/>
    <w:rsid w:val="00E734C5"/>
    <w:rsid w:val="00E73E7E"/>
    <w:rsid w:val="00E753C9"/>
    <w:rsid w:val="00E760BC"/>
    <w:rsid w:val="00E778A3"/>
    <w:rsid w:val="00E80185"/>
    <w:rsid w:val="00E80698"/>
    <w:rsid w:val="00E80F33"/>
    <w:rsid w:val="00E82E21"/>
    <w:rsid w:val="00E83406"/>
    <w:rsid w:val="00E84083"/>
    <w:rsid w:val="00E84EAD"/>
    <w:rsid w:val="00E867C3"/>
    <w:rsid w:val="00E871BB"/>
    <w:rsid w:val="00E8763B"/>
    <w:rsid w:val="00E90B41"/>
    <w:rsid w:val="00E913B7"/>
    <w:rsid w:val="00E92597"/>
    <w:rsid w:val="00E949B4"/>
    <w:rsid w:val="00EA1074"/>
    <w:rsid w:val="00EA4130"/>
    <w:rsid w:val="00EA5A0F"/>
    <w:rsid w:val="00EA6353"/>
    <w:rsid w:val="00EA765C"/>
    <w:rsid w:val="00EB0576"/>
    <w:rsid w:val="00EB1FD8"/>
    <w:rsid w:val="00EB3462"/>
    <w:rsid w:val="00EB6131"/>
    <w:rsid w:val="00EB6A5B"/>
    <w:rsid w:val="00EB77DE"/>
    <w:rsid w:val="00EB7D4D"/>
    <w:rsid w:val="00EC468A"/>
    <w:rsid w:val="00EC5032"/>
    <w:rsid w:val="00EC7E12"/>
    <w:rsid w:val="00ED32E0"/>
    <w:rsid w:val="00ED4275"/>
    <w:rsid w:val="00ED511D"/>
    <w:rsid w:val="00ED53FF"/>
    <w:rsid w:val="00ED7FA2"/>
    <w:rsid w:val="00EE2BE1"/>
    <w:rsid w:val="00EE2D15"/>
    <w:rsid w:val="00EE2F3F"/>
    <w:rsid w:val="00EE4489"/>
    <w:rsid w:val="00EE5A05"/>
    <w:rsid w:val="00EE650F"/>
    <w:rsid w:val="00EE69CD"/>
    <w:rsid w:val="00EE75F1"/>
    <w:rsid w:val="00EF0CB8"/>
    <w:rsid w:val="00EF0EEC"/>
    <w:rsid w:val="00EF174F"/>
    <w:rsid w:val="00EF2D57"/>
    <w:rsid w:val="00EF34AF"/>
    <w:rsid w:val="00EF5320"/>
    <w:rsid w:val="00EF55FB"/>
    <w:rsid w:val="00EF5673"/>
    <w:rsid w:val="00EF6534"/>
    <w:rsid w:val="00EF7461"/>
    <w:rsid w:val="00F02709"/>
    <w:rsid w:val="00F02B58"/>
    <w:rsid w:val="00F037CD"/>
    <w:rsid w:val="00F03970"/>
    <w:rsid w:val="00F04187"/>
    <w:rsid w:val="00F04FA6"/>
    <w:rsid w:val="00F07FAC"/>
    <w:rsid w:val="00F10D7F"/>
    <w:rsid w:val="00F11371"/>
    <w:rsid w:val="00F12B1E"/>
    <w:rsid w:val="00F130BC"/>
    <w:rsid w:val="00F14D79"/>
    <w:rsid w:val="00F177D7"/>
    <w:rsid w:val="00F21165"/>
    <w:rsid w:val="00F220BA"/>
    <w:rsid w:val="00F22AE0"/>
    <w:rsid w:val="00F249BB"/>
    <w:rsid w:val="00F24D81"/>
    <w:rsid w:val="00F25E75"/>
    <w:rsid w:val="00F2602B"/>
    <w:rsid w:val="00F30D18"/>
    <w:rsid w:val="00F32997"/>
    <w:rsid w:val="00F336E5"/>
    <w:rsid w:val="00F33765"/>
    <w:rsid w:val="00F35B67"/>
    <w:rsid w:val="00F40782"/>
    <w:rsid w:val="00F41788"/>
    <w:rsid w:val="00F443D5"/>
    <w:rsid w:val="00F45196"/>
    <w:rsid w:val="00F4680C"/>
    <w:rsid w:val="00F531F5"/>
    <w:rsid w:val="00F53328"/>
    <w:rsid w:val="00F54DE6"/>
    <w:rsid w:val="00F5690F"/>
    <w:rsid w:val="00F56B02"/>
    <w:rsid w:val="00F63D33"/>
    <w:rsid w:val="00F64B5E"/>
    <w:rsid w:val="00F66122"/>
    <w:rsid w:val="00F66374"/>
    <w:rsid w:val="00F67EEB"/>
    <w:rsid w:val="00F67F3F"/>
    <w:rsid w:val="00F71614"/>
    <w:rsid w:val="00F71B9B"/>
    <w:rsid w:val="00F71F6A"/>
    <w:rsid w:val="00F72B7C"/>
    <w:rsid w:val="00F74D74"/>
    <w:rsid w:val="00F76822"/>
    <w:rsid w:val="00F76F16"/>
    <w:rsid w:val="00F776A1"/>
    <w:rsid w:val="00F81B9F"/>
    <w:rsid w:val="00F81BD7"/>
    <w:rsid w:val="00F8268A"/>
    <w:rsid w:val="00F829DE"/>
    <w:rsid w:val="00F839EE"/>
    <w:rsid w:val="00F8497E"/>
    <w:rsid w:val="00F85E52"/>
    <w:rsid w:val="00F90D30"/>
    <w:rsid w:val="00F91BED"/>
    <w:rsid w:val="00F95583"/>
    <w:rsid w:val="00F96138"/>
    <w:rsid w:val="00F978C1"/>
    <w:rsid w:val="00F97D78"/>
    <w:rsid w:val="00F97F8C"/>
    <w:rsid w:val="00FA0456"/>
    <w:rsid w:val="00FA1971"/>
    <w:rsid w:val="00FA2317"/>
    <w:rsid w:val="00FA2D21"/>
    <w:rsid w:val="00FA450D"/>
    <w:rsid w:val="00FA486B"/>
    <w:rsid w:val="00FA4ABB"/>
    <w:rsid w:val="00FA5F98"/>
    <w:rsid w:val="00FA7599"/>
    <w:rsid w:val="00FB1213"/>
    <w:rsid w:val="00FB1D36"/>
    <w:rsid w:val="00FB2511"/>
    <w:rsid w:val="00FB259A"/>
    <w:rsid w:val="00FB3515"/>
    <w:rsid w:val="00FB4226"/>
    <w:rsid w:val="00FB5A85"/>
    <w:rsid w:val="00FB5E9B"/>
    <w:rsid w:val="00FC09A3"/>
    <w:rsid w:val="00FC196F"/>
    <w:rsid w:val="00FC44AC"/>
    <w:rsid w:val="00FC60A8"/>
    <w:rsid w:val="00FC678F"/>
    <w:rsid w:val="00FC735B"/>
    <w:rsid w:val="00FD0C64"/>
    <w:rsid w:val="00FD25CD"/>
    <w:rsid w:val="00FD3C84"/>
    <w:rsid w:val="00FD3CD5"/>
    <w:rsid w:val="00FD50C9"/>
    <w:rsid w:val="00FD5500"/>
    <w:rsid w:val="00FD5A7B"/>
    <w:rsid w:val="00FD5AE6"/>
    <w:rsid w:val="00FD69BB"/>
    <w:rsid w:val="00FD6E84"/>
    <w:rsid w:val="00FE0CEE"/>
    <w:rsid w:val="00FE0D5B"/>
    <w:rsid w:val="00FE28A7"/>
    <w:rsid w:val="00FE3C64"/>
    <w:rsid w:val="00FE3F1F"/>
    <w:rsid w:val="00FE5C01"/>
    <w:rsid w:val="00FF05B2"/>
    <w:rsid w:val="00FF0BDE"/>
    <w:rsid w:val="00FF0D09"/>
    <w:rsid w:val="00FF11AE"/>
    <w:rsid w:val="00FF220A"/>
    <w:rsid w:val="00FF4407"/>
    <w:rsid w:val="00FF52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6D6D"/>
  <w15:docId w15:val="{2E9D6B7D-AFB1-BC4E-B87D-11C332DD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47A"/>
    <w:rPr>
      <w:rFonts w:ascii="Times New Roman" w:eastAsia="Times New Roman" w:hAnsi="Times New Roman" w:cs="Times New Roman"/>
      <w:lang w:val="en-AU" w:bidi="en-US"/>
    </w:rPr>
  </w:style>
  <w:style w:type="paragraph" w:styleId="Heading1">
    <w:name w:val="heading 1"/>
    <w:basedOn w:val="Normal"/>
    <w:next w:val="Normal"/>
    <w:link w:val="Heading1Char"/>
    <w:uiPriority w:val="9"/>
    <w:qFormat/>
    <w:rsid w:val="00DA7CCA"/>
    <w:pPr>
      <w:outlineLvl w:val="0"/>
    </w:pPr>
    <w:rPr>
      <w:rFonts w:ascii="Arial Nova Cond" w:hAnsi="Arial Nova Cond"/>
      <w:b/>
      <w:caps/>
      <w:color w:val="A82700"/>
      <w:sz w:val="32"/>
      <w:szCs w:val="32"/>
    </w:rPr>
  </w:style>
  <w:style w:type="paragraph" w:styleId="Heading2">
    <w:name w:val="heading 2"/>
    <w:basedOn w:val="Heading1"/>
    <w:next w:val="Normal"/>
    <w:link w:val="Heading2Char"/>
    <w:uiPriority w:val="9"/>
    <w:unhideWhenUsed/>
    <w:qFormat/>
    <w:rsid w:val="00143733"/>
    <w:pPr>
      <w:outlineLvl w:val="1"/>
    </w:pPr>
    <w:rPr>
      <w:b w:val="0"/>
      <w:szCs w:val="24"/>
    </w:rPr>
  </w:style>
  <w:style w:type="paragraph" w:styleId="Heading3">
    <w:name w:val="heading 3"/>
    <w:basedOn w:val="Normal"/>
    <w:next w:val="Normal"/>
    <w:link w:val="Heading3Char"/>
    <w:uiPriority w:val="9"/>
    <w:unhideWhenUsed/>
    <w:qFormat/>
    <w:rsid w:val="00F71614"/>
    <w:pPr>
      <w:keepNext/>
      <w:keepLines/>
      <w:spacing w:before="240" w:after="120"/>
      <w:outlineLvl w:val="2"/>
    </w:pPr>
    <w:rPr>
      <w:rFonts w:ascii="Arial Nova Cond" w:eastAsiaTheme="majorEastAsia" w:hAnsi="Arial Nova Cond" w:cstheme="majorBidi"/>
      <w:b/>
      <w:bCs/>
      <w:caps/>
      <w:color w:val="A82700"/>
      <w:sz w:val="21"/>
      <w:szCs w:val="21"/>
    </w:rPr>
  </w:style>
  <w:style w:type="paragraph" w:styleId="Heading4">
    <w:name w:val="heading 4"/>
    <w:basedOn w:val="Normal"/>
    <w:next w:val="Normal"/>
    <w:link w:val="Heading4Char"/>
    <w:uiPriority w:val="9"/>
    <w:unhideWhenUsed/>
    <w:qFormat/>
    <w:rsid w:val="00601857"/>
    <w:pPr>
      <w:keepNext/>
      <w:keepLines/>
      <w:spacing w:before="80" w:after="80"/>
      <w:outlineLvl w:val="3"/>
    </w:pPr>
    <w:rPr>
      <w:rFonts w:eastAsiaTheme="majorEastAsia"/>
      <w:b/>
      <w:i/>
      <w:iCs/>
      <w:color w:val="A82700"/>
    </w:rPr>
  </w:style>
  <w:style w:type="paragraph" w:styleId="Heading5">
    <w:name w:val="heading 5"/>
    <w:basedOn w:val="Normal"/>
    <w:next w:val="Normal"/>
    <w:link w:val="Heading5Char"/>
    <w:uiPriority w:val="9"/>
    <w:unhideWhenUsed/>
    <w:qFormat/>
    <w:rsid w:val="001306AA"/>
    <w:pPr>
      <w:keepNext/>
      <w:keepLines/>
      <w:spacing w:before="40"/>
      <w:outlineLvl w:val="4"/>
    </w:pPr>
    <w:rPr>
      <w:rFonts w:asciiTheme="majorHAnsi" w:eastAsiaTheme="majorEastAsia" w:hAnsiTheme="majorHAnsi" w:cstheme="majorBidi"/>
      <w:color w:val="EE3400" w:themeColor="accent1" w:themeShade="BF"/>
    </w:rPr>
  </w:style>
  <w:style w:type="paragraph" w:styleId="Heading6">
    <w:name w:val="heading 6"/>
    <w:basedOn w:val="Normal"/>
    <w:next w:val="Normal"/>
    <w:link w:val="Heading6Char"/>
    <w:uiPriority w:val="9"/>
    <w:semiHidden/>
    <w:unhideWhenUsed/>
    <w:qFormat/>
    <w:rsid w:val="00A9447A"/>
    <w:pPr>
      <w:keepNext/>
      <w:keepLines/>
      <w:spacing w:before="40"/>
      <w:outlineLvl w:val="5"/>
    </w:pPr>
    <w:rPr>
      <w:rFonts w:asciiTheme="majorHAnsi" w:eastAsiaTheme="majorEastAsia" w:hAnsiTheme="majorHAnsi" w:cstheme="majorBidi"/>
      <w:color w:val="9E2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447A"/>
    <w:pPr>
      <w:spacing w:before="115" w:line="249" w:lineRule="auto"/>
      <w:ind w:left="20" w:right="59"/>
    </w:pPr>
    <w:rPr>
      <w:color w:val="414042"/>
      <w:sz w:val="21"/>
      <w:szCs w:val="21"/>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Main"/>
    <w:basedOn w:val="Normal"/>
    <w:link w:val="ListParagraphChar"/>
    <w:uiPriority w:val="1"/>
    <w:qFormat/>
    <w:rsid w:val="00A9447A"/>
  </w:style>
  <w:style w:type="paragraph" w:customStyle="1" w:styleId="TableParagraph">
    <w:name w:val="Table Paragraph"/>
    <w:basedOn w:val="Normal"/>
    <w:uiPriority w:val="1"/>
    <w:qFormat/>
    <w:rsid w:val="00A9447A"/>
  </w:style>
  <w:style w:type="paragraph" w:styleId="Header">
    <w:name w:val="header"/>
    <w:basedOn w:val="Normal"/>
    <w:link w:val="HeaderChar"/>
    <w:uiPriority w:val="99"/>
    <w:unhideWhenUsed/>
    <w:rsid w:val="00A9447A"/>
    <w:pPr>
      <w:tabs>
        <w:tab w:val="center" w:pos="4680"/>
        <w:tab w:val="right" w:pos="9360"/>
      </w:tabs>
    </w:pPr>
  </w:style>
  <w:style w:type="character" w:customStyle="1" w:styleId="HeaderChar">
    <w:name w:val="Header Char"/>
    <w:basedOn w:val="DefaultParagraphFont"/>
    <w:link w:val="Header"/>
    <w:uiPriority w:val="99"/>
    <w:rsid w:val="00A9447A"/>
    <w:rPr>
      <w:rFonts w:ascii="Times New Roman" w:eastAsia="Times New Roman" w:hAnsi="Times New Roman" w:cs="Times New Roman"/>
      <w:lang w:val="en-AU" w:bidi="en-US"/>
    </w:rPr>
  </w:style>
  <w:style w:type="paragraph" w:styleId="Footer">
    <w:name w:val="footer"/>
    <w:basedOn w:val="Normal"/>
    <w:link w:val="FooterChar"/>
    <w:uiPriority w:val="99"/>
    <w:unhideWhenUsed/>
    <w:rsid w:val="00A9447A"/>
    <w:pPr>
      <w:tabs>
        <w:tab w:val="center" w:pos="4680"/>
        <w:tab w:val="right" w:pos="9360"/>
      </w:tabs>
    </w:pPr>
  </w:style>
  <w:style w:type="character" w:customStyle="1" w:styleId="FooterChar">
    <w:name w:val="Footer Char"/>
    <w:basedOn w:val="DefaultParagraphFont"/>
    <w:link w:val="Footer"/>
    <w:uiPriority w:val="99"/>
    <w:rsid w:val="00A9447A"/>
    <w:rPr>
      <w:rFonts w:ascii="Times New Roman" w:eastAsia="Times New Roman" w:hAnsi="Times New Roman" w:cs="Times New Roman"/>
      <w:lang w:val="en-AU" w:bidi="en-US"/>
    </w:rPr>
  </w:style>
  <w:style w:type="character" w:styleId="PageNumber">
    <w:name w:val="page number"/>
    <w:basedOn w:val="DefaultParagraphFont"/>
    <w:uiPriority w:val="99"/>
    <w:semiHidden/>
    <w:unhideWhenUsed/>
    <w:rsid w:val="00A9447A"/>
  </w:style>
  <w:style w:type="paragraph" w:styleId="BalloonText">
    <w:name w:val="Balloon Text"/>
    <w:basedOn w:val="Normal"/>
    <w:link w:val="BalloonTextChar"/>
    <w:uiPriority w:val="99"/>
    <w:semiHidden/>
    <w:unhideWhenUsed/>
    <w:rsid w:val="00A9447A"/>
    <w:rPr>
      <w:sz w:val="18"/>
      <w:szCs w:val="18"/>
    </w:rPr>
  </w:style>
  <w:style w:type="character" w:customStyle="1" w:styleId="BalloonTextChar">
    <w:name w:val="Balloon Text Char"/>
    <w:basedOn w:val="DefaultParagraphFont"/>
    <w:link w:val="BalloonText"/>
    <w:uiPriority w:val="99"/>
    <w:semiHidden/>
    <w:rsid w:val="00A9447A"/>
    <w:rPr>
      <w:rFonts w:ascii="Times New Roman" w:eastAsia="Times New Roman" w:hAnsi="Times New Roman" w:cs="Times New Roman"/>
      <w:sz w:val="18"/>
      <w:szCs w:val="18"/>
      <w:lang w:val="en-AU" w:bidi="en-US"/>
    </w:rPr>
  </w:style>
  <w:style w:type="paragraph" w:styleId="NoSpacing">
    <w:name w:val="No Spacing"/>
    <w:link w:val="NoSpacingChar"/>
    <w:uiPriority w:val="1"/>
    <w:rsid w:val="00A9447A"/>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A9447A"/>
    <w:rPr>
      <w:rFonts w:eastAsiaTheme="minorEastAsia"/>
      <w:lang w:eastAsia="zh-CN"/>
    </w:rPr>
  </w:style>
  <w:style w:type="character" w:customStyle="1" w:styleId="Heading1Char">
    <w:name w:val="Heading 1 Char"/>
    <w:basedOn w:val="DefaultParagraphFont"/>
    <w:link w:val="Heading1"/>
    <w:uiPriority w:val="9"/>
    <w:rsid w:val="00DA7CCA"/>
    <w:rPr>
      <w:rFonts w:ascii="Arial Nova Cond" w:eastAsia="Times New Roman" w:hAnsi="Arial Nova Cond" w:cs="Times New Roman"/>
      <w:b/>
      <w:caps/>
      <w:color w:val="A82700"/>
      <w:sz w:val="32"/>
      <w:szCs w:val="32"/>
      <w:lang w:val="en-AU" w:bidi="en-US"/>
    </w:rPr>
  </w:style>
  <w:style w:type="character" w:customStyle="1" w:styleId="Heading2Char">
    <w:name w:val="Heading 2 Char"/>
    <w:basedOn w:val="DefaultParagraphFont"/>
    <w:link w:val="Heading2"/>
    <w:uiPriority w:val="9"/>
    <w:rsid w:val="00143733"/>
    <w:rPr>
      <w:rFonts w:ascii="Arial Nova Cond" w:eastAsia="Times New Roman" w:hAnsi="Arial Nova Cond" w:cs="Times New Roman"/>
      <w:caps/>
      <w:color w:val="F47953"/>
      <w:sz w:val="32"/>
      <w:szCs w:val="24"/>
      <w:lang w:val="en-AU" w:bidi="en-US"/>
    </w:rPr>
  </w:style>
  <w:style w:type="character" w:styleId="Hyperlink">
    <w:name w:val="Hyperlink"/>
    <w:basedOn w:val="DefaultParagraphFont"/>
    <w:uiPriority w:val="99"/>
    <w:unhideWhenUsed/>
    <w:rsid w:val="00A9447A"/>
    <w:rPr>
      <w:color w:val="25408F" w:themeColor="hyperlink"/>
      <w:u w:val="single"/>
    </w:rPr>
  </w:style>
  <w:style w:type="character" w:styleId="UnresolvedMention">
    <w:name w:val="Unresolved Mention"/>
    <w:basedOn w:val="DefaultParagraphFont"/>
    <w:uiPriority w:val="99"/>
    <w:unhideWhenUsed/>
    <w:rsid w:val="00A9447A"/>
    <w:rPr>
      <w:color w:val="605E5C"/>
      <w:shd w:val="clear" w:color="auto" w:fill="E1DFDD"/>
    </w:rPr>
  </w:style>
  <w:style w:type="paragraph" w:customStyle="1" w:styleId="BodyText1">
    <w:name w:val="Body Text1"/>
    <w:link w:val="BodytextChar0"/>
    <w:rsid w:val="00A9447A"/>
    <w:pPr>
      <w:widowControl/>
      <w:tabs>
        <w:tab w:val="left" w:pos="284"/>
        <w:tab w:val="left" w:pos="567"/>
        <w:tab w:val="left" w:pos="851"/>
      </w:tabs>
      <w:suppressAutoHyphens/>
      <w:autoSpaceDE/>
      <w:autoSpaceDN/>
      <w:spacing w:after="120"/>
    </w:pPr>
    <w:rPr>
      <w:rFonts w:ascii="Source Sans Pro" w:eastAsiaTheme="minorEastAsia" w:hAnsi="Source Sans Pro"/>
      <w:color w:val="414042" w:themeColor="text1"/>
      <w:sz w:val="20"/>
      <w:lang w:val="en-AU" w:eastAsia="en-AU"/>
    </w:rPr>
  </w:style>
  <w:style w:type="paragraph" w:customStyle="1" w:styleId="ReferenceAHURI">
    <w:name w:val="Reference (AHURI)"/>
    <w:basedOn w:val="BodyText1"/>
    <w:uiPriority w:val="5"/>
    <w:rsid w:val="00A9447A"/>
    <w:pPr>
      <w:spacing w:after="180"/>
      <w:ind w:left="425" w:hanging="425"/>
    </w:pPr>
  </w:style>
  <w:style w:type="paragraph" w:styleId="TOC1">
    <w:name w:val="toc 1"/>
    <w:basedOn w:val="Normal"/>
    <w:next w:val="Normal"/>
    <w:autoRedefine/>
    <w:uiPriority w:val="39"/>
    <w:unhideWhenUsed/>
    <w:qFormat/>
    <w:rsid w:val="00A9447A"/>
    <w:pPr>
      <w:widowControl/>
      <w:tabs>
        <w:tab w:val="right" w:leader="dot" w:pos="9016"/>
      </w:tabs>
      <w:autoSpaceDE/>
      <w:autoSpaceDN/>
      <w:spacing w:after="100" w:line="259" w:lineRule="auto"/>
    </w:pPr>
    <w:rPr>
      <w:rFonts w:eastAsiaTheme="minorHAnsi"/>
      <w:b/>
      <w:bCs/>
      <w:noProof/>
      <w:color w:val="414042" w:themeColor="text1"/>
      <w:sz w:val="21"/>
      <w:szCs w:val="21"/>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1"/>
    <w:qFormat/>
    <w:locked/>
    <w:rsid w:val="00A9447A"/>
    <w:rPr>
      <w:rFonts w:ascii="Times New Roman" w:eastAsia="Times New Roman" w:hAnsi="Times New Roman" w:cs="Times New Roman"/>
      <w:lang w:val="en-AU" w:bidi="en-US"/>
    </w:rPr>
  </w:style>
  <w:style w:type="table" w:customStyle="1" w:styleId="Style3">
    <w:name w:val="Style3"/>
    <w:basedOn w:val="TableNormal"/>
    <w:uiPriority w:val="99"/>
    <w:rsid w:val="00A9447A"/>
    <w:pPr>
      <w:widowControl/>
      <w:autoSpaceDE/>
      <w:autoSpaceDN/>
    </w:pPr>
    <w:rPr>
      <w:rFonts w:ascii="Calibri Light" w:eastAsia="Times New Roman" w:hAnsi="Calibri Light" w:cs="Times New Roman"/>
      <w:sz w:val="20"/>
      <w:szCs w:val="20"/>
      <w:lang w:val="en-AU" w:eastAsia="en-AU"/>
    </w:rPr>
    <w:tblPr>
      <w:tblBorders>
        <w:insideH w:val="single" w:sz="8" w:space="0" w:color="F2F2F2" w:themeColor="background1" w:themeShade="F2"/>
        <w:insideV w:val="single" w:sz="8" w:space="0" w:color="F2F2F2" w:themeColor="background1" w:themeShade="F2"/>
      </w:tblBorders>
    </w:tblPr>
  </w:style>
  <w:style w:type="character" w:customStyle="1" w:styleId="BodytextChar0">
    <w:name w:val="Body text Char"/>
    <w:basedOn w:val="DefaultParagraphFont"/>
    <w:link w:val="BodyText1"/>
    <w:rsid w:val="00A9447A"/>
    <w:rPr>
      <w:rFonts w:ascii="Source Sans Pro" w:eastAsiaTheme="minorEastAsia" w:hAnsi="Source Sans Pro"/>
      <w:color w:val="414042" w:themeColor="text1"/>
      <w:sz w:val="20"/>
      <w:lang w:val="en-AU" w:eastAsia="en-AU"/>
    </w:rPr>
  </w:style>
  <w:style w:type="paragraph" w:customStyle="1" w:styleId="Tabletext">
    <w:name w:val="Table text"/>
    <w:basedOn w:val="BodyText1"/>
    <w:link w:val="TabletextChar"/>
    <w:qFormat/>
    <w:rsid w:val="00A9447A"/>
    <w:pPr>
      <w:spacing w:before="40" w:after="40"/>
    </w:pPr>
    <w:rPr>
      <w:rFonts w:ascii="Arial Nova Cond Light" w:hAnsi="Arial Nova Cond Light" w:cs="Times New Roman"/>
      <w:szCs w:val="20"/>
      <w:lang w:val="en-GB"/>
    </w:rPr>
  </w:style>
  <w:style w:type="character" w:customStyle="1" w:styleId="TabletextChar">
    <w:name w:val="Table text Char"/>
    <w:basedOn w:val="BodytextChar0"/>
    <w:link w:val="Tabletext"/>
    <w:rsid w:val="00A9447A"/>
    <w:rPr>
      <w:rFonts w:ascii="Arial Nova Cond Light" w:eastAsiaTheme="minorEastAsia" w:hAnsi="Arial Nova Cond Light" w:cs="Times New Roman"/>
      <w:color w:val="414042" w:themeColor="text1"/>
      <w:sz w:val="20"/>
      <w:szCs w:val="20"/>
      <w:lang w:val="en-GB" w:eastAsia="en-AU"/>
    </w:rPr>
  </w:style>
  <w:style w:type="paragraph" w:customStyle="1" w:styleId="Tableheader">
    <w:name w:val="Table header"/>
    <w:basedOn w:val="Tabletext"/>
    <w:link w:val="TableheaderChar"/>
    <w:qFormat/>
    <w:rsid w:val="00A9447A"/>
    <w:rPr>
      <w:rFonts w:ascii="Arial Nova Cond" w:hAnsi="Arial Nova Cond"/>
      <w:bCs/>
      <w:color w:val="FFFFFF" w:themeColor="background1"/>
    </w:rPr>
  </w:style>
  <w:style w:type="character" w:customStyle="1" w:styleId="TableheaderChar">
    <w:name w:val="Table header Char"/>
    <w:basedOn w:val="TabletextChar"/>
    <w:link w:val="Tableheader"/>
    <w:rsid w:val="00A9447A"/>
    <w:rPr>
      <w:rFonts w:ascii="Arial Nova Cond" w:eastAsiaTheme="minorEastAsia" w:hAnsi="Arial Nova Cond" w:cs="Times New Roman"/>
      <w:bCs/>
      <w:color w:val="FFFFFF" w:themeColor="background1"/>
      <w:sz w:val="20"/>
      <w:szCs w:val="20"/>
      <w:lang w:val="en-GB" w:eastAsia="en-AU"/>
    </w:rPr>
  </w:style>
  <w:style w:type="character" w:customStyle="1" w:styleId="BioheadingsChar">
    <w:name w:val="Bio headings Char"/>
    <w:basedOn w:val="DefaultParagraphFont"/>
    <w:link w:val="Bioheadings"/>
    <w:locked/>
    <w:rsid w:val="00A9447A"/>
    <w:rPr>
      <w:rFonts w:ascii="Arial Nova Cond" w:eastAsia="Times New Roman" w:hAnsi="Arial Nova Cond" w:cstheme="majorHAnsi"/>
      <w:caps/>
      <w:noProof/>
      <w:color w:val="222222"/>
      <w:sz w:val="24"/>
      <w:szCs w:val="24"/>
      <w:lang w:eastAsia="en-AU"/>
    </w:rPr>
  </w:style>
  <w:style w:type="paragraph" w:customStyle="1" w:styleId="Bioheadings">
    <w:name w:val="Bio headings"/>
    <w:basedOn w:val="Heading6"/>
    <w:next w:val="Heading6"/>
    <w:link w:val="BioheadingsChar"/>
    <w:autoRedefine/>
    <w:rsid w:val="00A9447A"/>
    <w:pPr>
      <w:widowControl/>
      <w:autoSpaceDE/>
      <w:autoSpaceDN/>
      <w:spacing w:before="120" w:after="60" w:line="288" w:lineRule="atLeast"/>
    </w:pPr>
    <w:rPr>
      <w:rFonts w:ascii="Arial Nova Cond" w:eastAsia="Times New Roman" w:hAnsi="Arial Nova Cond" w:cstheme="majorHAnsi"/>
      <w:caps/>
      <w:noProof/>
      <w:color w:val="222222"/>
      <w:sz w:val="24"/>
      <w:szCs w:val="24"/>
      <w:lang w:val="en-US" w:eastAsia="en-AU" w:bidi="ar-SA"/>
    </w:rPr>
  </w:style>
  <w:style w:type="paragraph" w:customStyle="1" w:styleId="Default">
    <w:name w:val="Default"/>
    <w:rsid w:val="00A9447A"/>
    <w:pPr>
      <w:widowControl/>
      <w:adjustRightInd w:val="0"/>
    </w:pPr>
    <w:rPr>
      <w:rFonts w:ascii="Calibri" w:hAnsi="Calibri" w:cs="Calibri"/>
      <w:color w:val="000000"/>
      <w:sz w:val="24"/>
      <w:szCs w:val="24"/>
      <w:lang w:val="en-AU"/>
    </w:rPr>
  </w:style>
  <w:style w:type="table" w:styleId="ListTable1Light-Accent1">
    <w:name w:val="List Table 1 Light Accent 1"/>
    <w:basedOn w:val="TableNormal"/>
    <w:uiPriority w:val="46"/>
    <w:rsid w:val="00A9447A"/>
    <w:pPr>
      <w:widowControl/>
      <w:autoSpaceDE/>
      <w:autoSpaceDN/>
    </w:pPr>
    <w:rPr>
      <w:lang w:val="sv-SE"/>
    </w:rPr>
    <w:tblPr>
      <w:tblStyleRowBandSize w:val="1"/>
      <w:tblStyleColBandSize w:val="1"/>
    </w:tblPr>
    <w:tblStylePr w:type="firstRow">
      <w:rPr>
        <w:b/>
        <w:bCs/>
      </w:rPr>
      <w:tblPr/>
      <w:tcPr>
        <w:tcBorders>
          <w:bottom w:val="single" w:sz="4" w:space="0" w:color="FFA58C" w:themeColor="accent1" w:themeTint="99"/>
        </w:tcBorders>
      </w:tcPr>
    </w:tblStylePr>
    <w:tblStylePr w:type="lastRow">
      <w:rPr>
        <w:b/>
        <w:bCs/>
      </w:rPr>
      <w:tblPr/>
      <w:tcPr>
        <w:tcBorders>
          <w:top w:val="single" w:sz="4" w:space="0" w:color="FFA58C" w:themeColor="accent1" w:themeTint="99"/>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6Char">
    <w:name w:val="Heading 6 Char"/>
    <w:basedOn w:val="DefaultParagraphFont"/>
    <w:link w:val="Heading6"/>
    <w:uiPriority w:val="9"/>
    <w:semiHidden/>
    <w:rsid w:val="00A9447A"/>
    <w:rPr>
      <w:rFonts w:asciiTheme="majorHAnsi" w:eastAsiaTheme="majorEastAsia" w:hAnsiTheme="majorHAnsi" w:cstheme="majorBidi"/>
      <w:color w:val="9E2200" w:themeColor="accent1" w:themeShade="7F"/>
      <w:lang w:val="en-AU" w:bidi="en-US"/>
    </w:rPr>
  </w:style>
  <w:style w:type="paragraph" w:customStyle="1" w:styleId="Bullet1">
    <w:name w:val="Bullet 1"/>
    <w:basedOn w:val="Normal"/>
    <w:rsid w:val="00A9447A"/>
    <w:pPr>
      <w:numPr>
        <w:numId w:val="1"/>
      </w:numPr>
    </w:pPr>
  </w:style>
  <w:style w:type="character" w:styleId="CommentReference">
    <w:name w:val="annotation reference"/>
    <w:basedOn w:val="DefaultParagraphFont"/>
    <w:uiPriority w:val="99"/>
    <w:semiHidden/>
    <w:unhideWhenUsed/>
    <w:rsid w:val="00A9447A"/>
    <w:rPr>
      <w:sz w:val="16"/>
      <w:szCs w:val="16"/>
    </w:rPr>
  </w:style>
  <w:style w:type="paragraph" w:styleId="CommentText">
    <w:name w:val="annotation text"/>
    <w:basedOn w:val="Normal"/>
    <w:link w:val="CommentTextChar"/>
    <w:uiPriority w:val="99"/>
    <w:unhideWhenUsed/>
    <w:rsid w:val="00A9447A"/>
    <w:rPr>
      <w:sz w:val="20"/>
      <w:szCs w:val="20"/>
    </w:rPr>
  </w:style>
  <w:style w:type="character" w:customStyle="1" w:styleId="CommentTextChar">
    <w:name w:val="Comment Text Char"/>
    <w:basedOn w:val="DefaultParagraphFont"/>
    <w:link w:val="CommentText"/>
    <w:uiPriority w:val="99"/>
    <w:rsid w:val="00A9447A"/>
    <w:rPr>
      <w:rFonts w:ascii="Times New Roman" w:eastAsia="Times New Roman" w:hAnsi="Times New Roman" w:cs="Times New Roman"/>
      <w:sz w:val="20"/>
      <w:szCs w:val="20"/>
      <w:lang w:val="en-AU" w:bidi="en-US"/>
    </w:rPr>
  </w:style>
  <w:style w:type="paragraph" w:styleId="CommentSubject">
    <w:name w:val="annotation subject"/>
    <w:basedOn w:val="CommentText"/>
    <w:next w:val="CommentText"/>
    <w:link w:val="CommentSubjectChar"/>
    <w:uiPriority w:val="99"/>
    <w:semiHidden/>
    <w:unhideWhenUsed/>
    <w:rsid w:val="00A9447A"/>
    <w:rPr>
      <w:b/>
      <w:bCs/>
    </w:rPr>
  </w:style>
  <w:style w:type="character" w:customStyle="1" w:styleId="CommentSubjectChar">
    <w:name w:val="Comment Subject Char"/>
    <w:basedOn w:val="CommentTextChar"/>
    <w:link w:val="CommentSubject"/>
    <w:uiPriority w:val="99"/>
    <w:semiHidden/>
    <w:rsid w:val="00A9447A"/>
    <w:rPr>
      <w:rFonts w:ascii="Times New Roman" w:eastAsia="Times New Roman" w:hAnsi="Times New Roman" w:cs="Times New Roman"/>
      <w:b/>
      <w:bCs/>
      <w:sz w:val="20"/>
      <w:szCs w:val="20"/>
      <w:lang w:val="en-AU" w:bidi="en-US"/>
    </w:rPr>
  </w:style>
  <w:style w:type="paragraph" w:customStyle="1" w:styleId="paragraph">
    <w:name w:val="paragraph"/>
    <w:basedOn w:val="Normal"/>
    <w:rsid w:val="00A9447A"/>
    <w:pPr>
      <w:widowControl/>
      <w:autoSpaceDE/>
      <w:autoSpaceDN/>
      <w:spacing w:before="100" w:beforeAutospacing="1" w:after="100" w:afterAutospacing="1"/>
    </w:pPr>
    <w:rPr>
      <w:sz w:val="24"/>
      <w:szCs w:val="24"/>
      <w:lang w:eastAsia="en-AU" w:bidi="ar-SA"/>
    </w:rPr>
  </w:style>
  <w:style w:type="character" w:customStyle="1" w:styleId="normaltextrun">
    <w:name w:val="normaltextrun"/>
    <w:basedOn w:val="DefaultParagraphFont"/>
    <w:rsid w:val="00A9447A"/>
  </w:style>
  <w:style w:type="character" w:customStyle="1" w:styleId="eop">
    <w:name w:val="eop"/>
    <w:basedOn w:val="DefaultParagraphFont"/>
    <w:rsid w:val="00A9447A"/>
  </w:style>
  <w:style w:type="paragraph" w:styleId="TOCHeading">
    <w:name w:val="TOC Heading"/>
    <w:basedOn w:val="Heading1"/>
    <w:next w:val="Normal"/>
    <w:uiPriority w:val="39"/>
    <w:unhideWhenUsed/>
    <w:qFormat/>
    <w:rsid w:val="00A9447A"/>
    <w:pPr>
      <w:keepNext/>
      <w:keepLines/>
      <w:widowControl/>
      <w:autoSpaceDE/>
      <w:autoSpaceDN/>
      <w:spacing w:before="240" w:line="259" w:lineRule="auto"/>
      <w:outlineLvl w:val="9"/>
    </w:pPr>
    <w:rPr>
      <w:rFonts w:asciiTheme="majorHAnsi" w:eastAsiaTheme="majorEastAsia" w:hAnsiTheme="majorHAnsi" w:cstheme="majorBidi"/>
      <w:b w:val="0"/>
      <w:caps w:val="0"/>
      <w:color w:val="EE3400" w:themeColor="accent1" w:themeShade="BF"/>
      <w:lang w:bidi="ar-SA"/>
    </w:rPr>
  </w:style>
  <w:style w:type="paragraph" w:styleId="TOC2">
    <w:name w:val="toc 2"/>
    <w:basedOn w:val="Normal"/>
    <w:next w:val="Normal"/>
    <w:autoRedefine/>
    <w:uiPriority w:val="39"/>
    <w:unhideWhenUsed/>
    <w:rsid w:val="00A9447A"/>
    <w:pPr>
      <w:tabs>
        <w:tab w:val="right" w:leader="dot" w:pos="9016"/>
      </w:tabs>
      <w:spacing w:after="100"/>
      <w:ind w:left="220"/>
    </w:pPr>
    <w:rPr>
      <w:iCs/>
      <w:noProof/>
      <w:sz w:val="20"/>
      <w:szCs w:val="20"/>
    </w:rPr>
  </w:style>
  <w:style w:type="character" w:customStyle="1" w:styleId="BodyTextChar">
    <w:name w:val="Body Text Char"/>
    <w:basedOn w:val="DefaultParagraphFont"/>
    <w:link w:val="BodyText"/>
    <w:uiPriority w:val="1"/>
    <w:rsid w:val="00A9447A"/>
    <w:rPr>
      <w:rFonts w:ascii="Times New Roman" w:eastAsia="Times New Roman" w:hAnsi="Times New Roman" w:cs="Times New Roman"/>
      <w:color w:val="414042"/>
      <w:sz w:val="21"/>
      <w:szCs w:val="21"/>
      <w:lang w:val="en-AU" w:bidi="en-US"/>
    </w:rPr>
  </w:style>
  <w:style w:type="paragraph" w:styleId="Caption">
    <w:name w:val="caption"/>
    <w:basedOn w:val="Normal"/>
    <w:next w:val="Normal"/>
    <w:uiPriority w:val="35"/>
    <w:unhideWhenUsed/>
    <w:qFormat/>
    <w:rsid w:val="00A9447A"/>
    <w:pPr>
      <w:spacing w:after="200"/>
    </w:pPr>
    <w:rPr>
      <w:i/>
      <w:iCs/>
      <w:color w:val="FCF277" w:themeColor="text2"/>
      <w:sz w:val="18"/>
      <w:szCs w:val="18"/>
    </w:rPr>
  </w:style>
  <w:style w:type="paragraph" w:styleId="Revision">
    <w:name w:val="Revision"/>
    <w:hidden/>
    <w:uiPriority w:val="99"/>
    <w:semiHidden/>
    <w:rsid w:val="00A9447A"/>
    <w:pPr>
      <w:widowControl/>
      <w:autoSpaceDE/>
      <w:autoSpaceDN/>
    </w:pPr>
    <w:rPr>
      <w:rFonts w:ascii="Times New Roman" w:eastAsia="Times New Roman" w:hAnsi="Times New Roman" w:cs="Times New Roman"/>
      <w:lang w:bidi="en-US"/>
    </w:rPr>
  </w:style>
  <w:style w:type="table" w:styleId="ListTable6Colorful-Accent1">
    <w:name w:val="List Table 6 Colorful Accent 1"/>
    <w:basedOn w:val="TableNormal"/>
    <w:uiPriority w:val="51"/>
    <w:rsid w:val="00A9447A"/>
    <w:rPr>
      <w:color w:val="EE3400" w:themeColor="accent1" w:themeShade="BF"/>
    </w:rPr>
    <w:tblPr>
      <w:tblStyleRowBandSize w:val="1"/>
      <w:tblStyleColBandSize w:val="1"/>
      <w:tblBorders>
        <w:top w:val="single" w:sz="4" w:space="0" w:color="FF6A40" w:themeColor="accent1"/>
        <w:bottom w:val="single" w:sz="4" w:space="0" w:color="FF6A40" w:themeColor="accent1"/>
      </w:tblBorders>
    </w:tblPr>
    <w:tblStylePr w:type="firstRow">
      <w:rPr>
        <w:b/>
        <w:bCs/>
      </w:rPr>
      <w:tblPr/>
      <w:tcPr>
        <w:tcBorders>
          <w:bottom w:val="single" w:sz="4" w:space="0" w:color="FF6A40" w:themeColor="accent1"/>
        </w:tcBorders>
      </w:tcPr>
    </w:tblStylePr>
    <w:tblStylePr w:type="lastRow">
      <w:rPr>
        <w:b/>
        <w:bCs/>
      </w:rPr>
      <w:tblPr/>
      <w:tcPr>
        <w:tcBorders>
          <w:top w:val="double" w:sz="4" w:space="0" w:color="FF6A40" w:themeColor="accent1"/>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3Char">
    <w:name w:val="Heading 3 Char"/>
    <w:basedOn w:val="DefaultParagraphFont"/>
    <w:link w:val="Heading3"/>
    <w:uiPriority w:val="9"/>
    <w:rsid w:val="00F71614"/>
    <w:rPr>
      <w:rFonts w:ascii="Arial Nova Cond" w:eastAsiaTheme="majorEastAsia" w:hAnsi="Arial Nova Cond" w:cstheme="majorBidi"/>
      <w:b/>
      <w:bCs/>
      <w:caps/>
      <w:color w:val="A82700"/>
      <w:sz w:val="21"/>
      <w:szCs w:val="21"/>
      <w:lang w:val="en-AU" w:bidi="en-US"/>
    </w:rPr>
  </w:style>
  <w:style w:type="character" w:customStyle="1" w:styleId="Heading4Char">
    <w:name w:val="Heading 4 Char"/>
    <w:basedOn w:val="DefaultParagraphFont"/>
    <w:link w:val="Heading4"/>
    <w:uiPriority w:val="9"/>
    <w:rsid w:val="00601857"/>
    <w:rPr>
      <w:rFonts w:ascii="Times New Roman" w:eastAsiaTheme="majorEastAsia" w:hAnsi="Times New Roman" w:cs="Times New Roman"/>
      <w:b/>
      <w:i/>
      <w:iCs/>
      <w:color w:val="A82700"/>
      <w:lang w:val="en-AU" w:bidi="en-US"/>
    </w:rPr>
  </w:style>
  <w:style w:type="table" w:customStyle="1" w:styleId="ListTable6Colorful-Accent11">
    <w:name w:val="List Table 6 Colorful - Accent 11"/>
    <w:basedOn w:val="TableNormal"/>
    <w:next w:val="ListTable6Colorful-Accent1"/>
    <w:uiPriority w:val="51"/>
    <w:rsid w:val="00A9447A"/>
    <w:rPr>
      <w:color w:val="EE3400"/>
    </w:rPr>
    <w:tblPr>
      <w:tblStyleRowBandSize w:val="1"/>
      <w:tblStyleColBandSize w:val="1"/>
      <w:tblBorders>
        <w:top w:val="single" w:sz="4" w:space="0" w:color="FF6A40"/>
        <w:bottom w:val="single" w:sz="4" w:space="0" w:color="FF6A40"/>
      </w:tblBorders>
    </w:tblPr>
    <w:tblStylePr w:type="firstRow">
      <w:rPr>
        <w:b/>
        <w:bCs/>
      </w:rPr>
      <w:tblPr/>
      <w:tcPr>
        <w:tcBorders>
          <w:bottom w:val="single" w:sz="4" w:space="0" w:color="FF6A40"/>
        </w:tcBorders>
      </w:tcPr>
    </w:tblStylePr>
    <w:tblStylePr w:type="lastRow">
      <w:rPr>
        <w:b/>
        <w:bCs/>
      </w:rPr>
      <w:tblPr/>
      <w:tcPr>
        <w:tcBorders>
          <w:top w:val="double" w:sz="4" w:space="0" w:color="FF6A40"/>
        </w:tcBorders>
      </w:tcPr>
    </w:tblStylePr>
    <w:tblStylePr w:type="firstCol">
      <w:rPr>
        <w:b/>
        <w:bCs/>
      </w:rPr>
    </w:tblStylePr>
    <w:tblStylePr w:type="lastCol">
      <w:rPr>
        <w:b/>
        <w:bCs/>
      </w:rPr>
    </w:tblStylePr>
    <w:tblStylePr w:type="band1Vert">
      <w:tblPr/>
      <w:tcPr>
        <w:shd w:val="clear" w:color="auto" w:fill="FFE1D8"/>
      </w:tcPr>
    </w:tblStylePr>
    <w:tblStylePr w:type="band1Horz">
      <w:tblPr/>
      <w:tcPr>
        <w:shd w:val="clear" w:color="auto" w:fill="FFE1D8"/>
      </w:tcPr>
    </w:tblStylePr>
  </w:style>
  <w:style w:type="character" w:styleId="Mention">
    <w:name w:val="Mention"/>
    <w:basedOn w:val="DefaultParagraphFont"/>
    <w:uiPriority w:val="99"/>
    <w:unhideWhenUsed/>
    <w:rsid w:val="00A9447A"/>
    <w:rPr>
      <w:color w:val="2B579A"/>
      <w:shd w:val="clear" w:color="auto" w:fill="E1DFDD"/>
    </w:rPr>
  </w:style>
  <w:style w:type="table" w:styleId="TableGrid">
    <w:name w:val="Table Grid"/>
    <w:basedOn w:val="TableNormal"/>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447A"/>
    <w:pPr>
      <w:jc w:val="center"/>
    </w:pPr>
    <w:rPr>
      <w:noProof/>
      <w:color w:val="414042"/>
      <w:sz w:val="21"/>
      <w:szCs w:val="21"/>
    </w:rPr>
  </w:style>
  <w:style w:type="character" w:customStyle="1" w:styleId="EndNoteBibliographyTitleChar">
    <w:name w:val="EndNote Bibliography Title Char"/>
    <w:basedOn w:val="BodyTextChar"/>
    <w:link w:val="EndNoteBibliographyTitle"/>
    <w:rsid w:val="00A9447A"/>
    <w:rPr>
      <w:rFonts w:ascii="Times New Roman" w:eastAsia="Times New Roman" w:hAnsi="Times New Roman" w:cs="Times New Roman"/>
      <w:noProof/>
      <w:color w:val="414042"/>
      <w:sz w:val="21"/>
      <w:szCs w:val="21"/>
      <w:lang w:val="en-AU" w:bidi="en-US"/>
    </w:rPr>
  </w:style>
  <w:style w:type="paragraph" w:customStyle="1" w:styleId="EndNoteBibliography">
    <w:name w:val="EndNote Bibliography"/>
    <w:basedOn w:val="Normal"/>
    <w:link w:val="EndNoteBibliographyChar"/>
    <w:rsid w:val="00A9447A"/>
    <w:rPr>
      <w:noProof/>
      <w:color w:val="414042"/>
      <w:sz w:val="21"/>
      <w:szCs w:val="21"/>
    </w:rPr>
  </w:style>
  <w:style w:type="character" w:customStyle="1" w:styleId="EndNoteBibliographyChar">
    <w:name w:val="EndNote Bibliography Char"/>
    <w:basedOn w:val="BodyTextChar"/>
    <w:link w:val="EndNoteBibliography"/>
    <w:rsid w:val="00A9447A"/>
    <w:rPr>
      <w:rFonts w:ascii="Times New Roman" w:eastAsia="Times New Roman" w:hAnsi="Times New Roman" w:cs="Times New Roman"/>
      <w:noProof/>
      <w:color w:val="414042"/>
      <w:sz w:val="21"/>
      <w:szCs w:val="21"/>
      <w:lang w:val="en-AU" w:bidi="en-US"/>
    </w:rPr>
  </w:style>
  <w:style w:type="character" w:styleId="FootnoteReference">
    <w:name w:val="footnote reference"/>
    <w:basedOn w:val="DefaultParagraphFont"/>
    <w:uiPriority w:val="99"/>
    <w:semiHidden/>
    <w:unhideWhenUsed/>
    <w:rsid w:val="00A9447A"/>
    <w:rPr>
      <w:vertAlign w:val="superscript"/>
    </w:rPr>
  </w:style>
  <w:style w:type="character" w:customStyle="1" w:styleId="FootnoteTextChar">
    <w:name w:val="Footnote Text Char"/>
    <w:basedOn w:val="DefaultParagraphFont"/>
    <w:link w:val="FootnoteText"/>
    <w:uiPriority w:val="99"/>
    <w:semiHidden/>
    <w:rsid w:val="00A9447A"/>
    <w:rPr>
      <w:sz w:val="20"/>
      <w:szCs w:val="20"/>
    </w:rPr>
  </w:style>
  <w:style w:type="paragraph" w:styleId="FootnoteText">
    <w:name w:val="footnote text"/>
    <w:basedOn w:val="Normal"/>
    <w:link w:val="FootnoteTextChar"/>
    <w:uiPriority w:val="99"/>
    <w:semiHidden/>
    <w:unhideWhenUsed/>
    <w:rsid w:val="00A9447A"/>
    <w:rPr>
      <w:rFonts w:asciiTheme="minorHAnsi" w:eastAsiaTheme="minorHAnsi" w:hAnsiTheme="minorHAnsi" w:cstheme="minorBidi"/>
      <w:sz w:val="20"/>
      <w:szCs w:val="20"/>
      <w:lang w:val="en-US" w:bidi="ar-SA"/>
    </w:rPr>
  </w:style>
  <w:style w:type="character" w:customStyle="1" w:styleId="FootnoteTextChar1">
    <w:name w:val="Footnote Text Char1"/>
    <w:basedOn w:val="DefaultParagraphFont"/>
    <w:uiPriority w:val="99"/>
    <w:semiHidden/>
    <w:rsid w:val="00A9447A"/>
    <w:rPr>
      <w:rFonts w:ascii="Times New Roman" w:eastAsia="Times New Roman" w:hAnsi="Times New Roman" w:cs="Times New Roman"/>
      <w:sz w:val="20"/>
      <w:szCs w:val="20"/>
      <w:lang w:val="en-AU" w:bidi="en-US"/>
    </w:rPr>
  </w:style>
  <w:style w:type="table" w:styleId="ListTable3-Accent1">
    <w:name w:val="List Table 3 Accent 1"/>
    <w:basedOn w:val="TableNormal"/>
    <w:uiPriority w:val="48"/>
    <w:rsid w:val="00A9447A"/>
    <w:tblPr>
      <w:tblStyleRowBandSize w:val="1"/>
      <w:tblStyleColBandSize w:val="1"/>
      <w:tblBorders>
        <w:top w:val="single" w:sz="4" w:space="0" w:color="FF6A40" w:themeColor="accent1"/>
        <w:left w:val="single" w:sz="4" w:space="0" w:color="FF6A40" w:themeColor="accent1"/>
        <w:bottom w:val="single" w:sz="4" w:space="0" w:color="FF6A40" w:themeColor="accent1"/>
        <w:right w:val="single" w:sz="4" w:space="0" w:color="FF6A40" w:themeColor="accent1"/>
      </w:tblBorders>
    </w:tblPr>
    <w:tblStylePr w:type="firstRow">
      <w:rPr>
        <w:b/>
        <w:bCs/>
        <w:color w:val="FFFFFF" w:themeColor="background1"/>
      </w:rPr>
      <w:tblPr/>
      <w:tcPr>
        <w:shd w:val="clear" w:color="auto" w:fill="FF6A40" w:themeFill="accent1"/>
      </w:tcPr>
    </w:tblStylePr>
    <w:tblStylePr w:type="lastRow">
      <w:rPr>
        <w:b/>
        <w:bCs/>
      </w:rPr>
      <w:tblPr/>
      <w:tcPr>
        <w:tcBorders>
          <w:top w:val="double" w:sz="4" w:space="0" w:color="FF6A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A40" w:themeColor="accent1"/>
          <w:right w:val="single" w:sz="4" w:space="0" w:color="FF6A40" w:themeColor="accent1"/>
        </w:tcBorders>
      </w:tcPr>
    </w:tblStylePr>
    <w:tblStylePr w:type="band1Horz">
      <w:tblPr/>
      <w:tcPr>
        <w:tcBorders>
          <w:top w:val="single" w:sz="4" w:space="0" w:color="FF6A40" w:themeColor="accent1"/>
          <w:bottom w:val="single" w:sz="4" w:space="0" w:color="FF6A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A40" w:themeColor="accent1"/>
          <w:left w:val="nil"/>
        </w:tcBorders>
      </w:tcPr>
    </w:tblStylePr>
    <w:tblStylePr w:type="swCell">
      <w:tblPr/>
      <w:tcPr>
        <w:tcBorders>
          <w:top w:val="double" w:sz="4" w:space="0" w:color="FF6A40" w:themeColor="accent1"/>
          <w:right w:val="nil"/>
        </w:tcBorders>
      </w:tcPr>
    </w:tblStylePr>
  </w:style>
  <w:style w:type="paragraph" w:styleId="TOC3">
    <w:name w:val="toc 3"/>
    <w:basedOn w:val="Normal"/>
    <w:next w:val="Normal"/>
    <w:autoRedefine/>
    <w:uiPriority w:val="39"/>
    <w:unhideWhenUsed/>
    <w:rsid w:val="00A9447A"/>
    <w:pPr>
      <w:spacing w:after="100"/>
      <w:ind w:left="440"/>
    </w:pPr>
  </w:style>
  <w:style w:type="table" w:customStyle="1" w:styleId="TableGrid0">
    <w:name w:val="Table Grid0"/>
    <w:basedOn w:val="TableNormal"/>
    <w:uiPriority w:val="39"/>
    <w:rsid w:val="00311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1"/>
    <w:link w:val="Style1Char"/>
    <w:rsid w:val="00C20202"/>
    <w:pPr>
      <w:spacing w:before="480" w:line="192" w:lineRule="auto"/>
      <w:ind w:left="23"/>
    </w:pPr>
    <w:rPr>
      <w:rFonts w:ascii="Arial Nova Cond" w:hAnsi="Arial Nova Cond"/>
      <w:b/>
      <w:color w:val="414042" w:themeColor="text1"/>
      <w:spacing w:val="-27"/>
      <w:sz w:val="140"/>
      <w:szCs w:val="140"/>
    </w:rPr>
  </w:style>
  <w:style w:type="character" w:customStyle="1" w:styleId="Style1Char">
    <w:name w:val="Style1 Char"/>
    <w:basedOn w:val="DefaultParagraphFont"/>
    <w:link w:val="Style1"/>
    <w:rsid w:val="00C20202"/>
    <w:rPr>
      <w:rFonts w:ascii="Arial Nova Cond" w:eastAsia="Times New Roman" w:hAnsi="Arial Nova Cond" w:cs="Times New Roman"/>
      <w:b/>
      <w:color w:val="414042" w:themeColor="text1"/>
      <w:spacing w:val="-27"/>
      <w:sz w:val="140"/>
      <w:szCs w:val="140"/>
      <w:lang w:val="en-AU" w:bidi="en-US"/>
    </w:rPr>
  </w:style>
  <w:style w:type="paragraph" w:customStyle="1" w:styleId="SIScoverheading">
    <w:name w:val="SIS cover heading"/>
    <w:basedOn w:val="Normal"/>
    <w:qFormat/>
    <w:rsid w:val="0071456B"/>
    <w:pPr>
      <w:widowControl/>
      <w:autoSpaceDE/>
      <w:autoSpaceDN/>
      <w:spacing w:line="192" w:lineRule="auto"/>
    </w:pPr>
    <w:rPr>
      <w:rFonts w:ascii="Open Sans" w:eastAsiaTheme="minorEastAsia" w:hAnsi="Open Sans" w:cstheme="minorBidi"/>
      <w:color w:val="414042" w:themeColor="text1"/>
      <w:spacing w:val="-12"/>
      <w:sz w:val="56"/>
      <w:szCs w:val="60"/>
      <w:lang w:val="en-US" w:bidi="ar-SA"/>
    </w:rPr>
  </w:style>
  <w:style w:type="paragraph" w:customStyle="1" w:styleId="SIScoversubheading">
    <w:name w:val="SIS cover subheading"/>
    <w:basedOn w:val="Normal"/>
    <w:link w:val="SIScoversubheadingChar"/>
    <w:qFormat/>
    <w:rsid w:val="0071456B"/>
    <w:pPr>
      <w:widowControl/>
      <w:autoSpaceDE/>
      <w:autoSpaceDN/>
      <w:spacing w:line="216" w:lineRule="auto"/>
    </w:pPr>
    <w:rPr>
      <w:rFonts w:ascii="Open Sans" w:eastAsiaTheme="minorEastAsia" w:hAnsi="Open Sans" w:cstheme="minorBidi"/>
      <w:color w:val="414042" w:themeColor="text1"/>
      <w:spacing w:val="-4"/>
      <w:sz w:val="40"/>
      <w:szCs w:val="36"/>
      <w:lang w:val="en-US" w:bidi="ar-SA"/>
    </w:rPr>
  </w:style>
  <w:style w:type="character" w:customStyle="1" w:styleId="SIScoversubheadingChar">
    <w:name w:val="SIS cover subheading Char"/>
    <w:basedOn w:val="DefaultParagraphFont"/>
    <w:link w:val="SIScoversubheading"/>
    <w:rsid w:val="0071456B"/>
    <w:rPr>
      <w:rFonts w:ascii="Open Sans" w:eastAsiaTheme="minorEastAsia" w:hAnsi="Open Sans"/>
      <w:color w:val="414042" w:themeColor="text1"/>
      <w:spacing w:val="-4"/>
      <w:sz w:val="40"/>
      <w:szCs w:val="36"/>
    </w:rPr>
  </w:style>
  <w:style w:type="paragraph" w:customStyle="1" w:styleId="BodyTextSP">
    <w:name w:val="Body Text (SP)"/>
    <w:link w:val="BodyTextSPChar"/>
    <w:qFormat/>
    <w:rsid w:val="00E36EA9"/>
    <w:pPr>
      <w:widowControl/>
      <w:autoSpaceDE/>
      <w:autoSpaceDN/>
      <w:spacing w:before="80" w:after="60" w:line="276" w:lineRule="auto"/>
      <w:ind w:left="510" w:hanging="510"/>
    </w:pPr>
    <w:rPr>
      <w:rFonts w:eastAsiaTheme="minorEastAsia"/>
      <w:color w:val="414042" w:themeColor="text1"/>
      <w:szCs w:val="20"/>
    </w:rPr>
  </w:style>
  <w:style w:type="character" w:customStyle="1" w:styleId="BodyTextSPChar">
    <w:name w:val="Body Text (SP) Char"/>
    <w:basedOn w:val="DefaultParagraphFont"/>
    <w:link w:val="BodyTextSP"/>
    <w:rsid w:val="00E36EA9"/>
    <w:rPr>
      <w:rFonts w:eastAsiaTheme="minorEastAsia"/>
      <w:color w:val="414042" w:themeColor="text1"/>
      <w:szCs w:val="20"/>
    </w:rPr>
  </w:style>
  <w:style w:type="paragraph" w:customStyle="1" w:styleId="BlackSubheadingItalic">
    <w:name w:val="Black Subheading Italic"/>
    <w:basedOn w:val="Normal"/>
    <w:link w:val="BlackSubheadingItalicChar"/>
    <w:qFormat/>
    <w:rsid w:val="00E60817"/>
    <w:pPr>
      <w:widowControl/>
      <w:autoSpaceDE/>
      <w:autoSpaceDN/>
      <w:spacing w:before="240" w:after="120"/>
    </w:pPr>
    <w:rPr>
      <w:rFonts w:ascii="Open Sans" w:eastAsiaTheme="minorHAnsi" w:hAnsi="Open Sans" w:cs="Open Sans"/>
      <w:b/>
      <w:i/>
      <w:sz w:val="24"/>
      <w:szCs w:val="24"/>
      <w:lang w:eastAsia="zh-CN" w:bidi="th-TH"/>
    </w:rPr>
  </w:style>
  <w:style w:type="character" w:customStyle="1" w:styleId="BlackSubheadingItalicChar">
    <w:name w:val="Black Subheading Italic Char"/>
    <w:basedOn w:val="DefaultParagraphFont"/>
    <w:link w:val="BlackSubheadingItalic"/>
    <w:rsid w:val="00E60817"/>
    <w:rPr>
      <w:rFonts w:ascii="Open Sans" w:hAnsi="Open Sans" w:cs="Open Sans"/>
      <w:b/>
      <w:i/>
      <w:sz w:val="24"/>
      <w:szCs w:val="24"/>
      <w:lang w:val="en-AU" w:eastAsia="zh-CN" w:bidi="th-TH"/>
    </w:rPr>
  </w:style>
  <w:style w:type="paragraph" w:customStyle="1" w:styleId="TableHeader0">
    <w:name w:val="Table Header"/>
    <w:basedOn w:val="Normal"/>
    <w:qFormat/>
    <w:rsid w:val="00116F68"/>
    <w:pPr>
      <w:widowControl/>
      <w:autoSpaceDE/>
      <w:autoSpaceDN/>
      <w:spacing w:before="40" w:after="40"/>
      <w:jc w:val="center"/>
    </w:pPr>
    <w:rPr>
      <w:rFonts w:asciiTheme="minorHAnsi" w:hAnsiTheme="minorHAnsi"/>
      <w:b/>
      <w:bCs/>
      <w:color w:val="FFFFFF" w:themeColor="background1"/>
      <w:sz w:val="19"/>
      <w:szCs w:val="20"/>
      <w:lang w:val="en-US" w:bidi="ar-SA"/>
    </w:rPr>
  </w:style>
  <w:style w:type="paragraph" w:customStyle="1" w:styleId="Normal4">
    <w:name w:val="Normal4"/>
    <w:basedOn w:val="Normal"/>
    <w:link w:val="Normal4Char"/>
    <w:autoRedefine/>
    <w:qFormat/>
    <w:rsid w:val="005521C7"/>
    <w:pPr>
      <w:widowControl/>
      <w:shd w:val="clear" w:color="auto" w:fill="FFFFFF" w:themeFill="background1"/>
      <w:autoSpaceDE/>
      <w:autoSpaceDN/>
      <w:spacing w:before="120" w:after="160" w:line="276" w:lineRule="auto"/>
    </w:pPr>
    <w:rPr>
      <w:rFonts w:asciiTheme="minorHAnsi" w:eastAsiaTheme="minorHAnsi" w:hAnsiTheme="minorHAnsi" w:cs="Arial"/>
      <w:lang w:bidi="ar-SA"/>
    </w:rPr>
  </w:style>
  <w:style w:type="character" w:customStyle="1" w:styleId="Normal4Char">
    <w:name w:val="Normal4 Char"/>
    <w:basedOn w:val="DefaultParagraphFont"/>
    <w:link w:val="Normal4"/>
    <w:rsid w:val="005521C7"/>
    <w:rPr>
      <w:rFonts w:cs="Arial"/>
      <w:shd w:val="clear" w:color="auto" w:fill="FFFFFF" w:themeFill="background1"/>
      <w:lang w:val="en-AU"/>
    </w:rPr>
  </w:style>
  <w:style w:type="paragraph" w:customStyle="1" w:styleId="Table">
    <w:name w:val="Table"/>
    <w:basedOn w:val="Normal"/>
    <w:qFormat/>
    <w:rsid w:val="00F67F3F"/>
    <w:pPr>
      <w:widowControl/>
      <w:autoSpaceDE/>
      <w:autoSpaceDN/>
      <w:spacing w:before="40" w:after="40" w:line="252" w:lineRule="auto"/>
    </w:pPr>
    <w:rPr>
      <w:rFonts w:ascii="Calibri" w:eastAsiaTheme="minorHAnsi" w:hAnsi="Calibri" w:cs="Calibri"/>
      <w:sz w:val="19"/>
      <w:szCs w:val="19"/>
      <w:lang w:bidi="ar-SA"/>
    </w:rPr>
  </w:style>
  <w:style w:type="character" w:customStyle="1" w:styleId="lt-line-clampline">
    <w:name w:val="lt-line-clamp__line"/>
    <w:basedOn w:val="DefaultParagraphFont"/>
    <w:rsid w:val="00F67F3F"/>
  </w:style>
  <w:style w:type="paragraph" w:customStyle="1" w:styleId="PlainParagraph">
    <w:name w:val="Plain Paragraph"/>
    <w:basedOn w:val="Normal"/>
    <w:rsid w:val="007601BF"/>
    <w:pPr>
      <w:widowControl/>
      <w:autoSpaceDE/>
      <w:autoSpaceDN/>
      <w:spacing w:before="120" w:after="120" w:line="280" w:lineRule="atLeast"/>
      <w:ind w:left="567"/>
    </w:pPr>
    <w:rPr>
      <w:rFonts w:ascii="Arial" w:hAnsi="Arial" w:cs="Arial"/>
      <w:lang w:eastAsia="en-AU" w:bidi="ar-SA"/>
    </w:rPr>
  </w:style>
  <w:style w:type="paragraph" w:customStyle="1" w:styleId="NumberedList1">
    <w:name w:val="Numbered List: 1)"/>
    <w:basedOn w:val="PlainParagraph"/>
    <w:semiHidden/>
    <w:rsid w:val="007601BF"/>
    <w:pPr>
      <w:numPr>
        <w:numId w:val="2"/>
      </w:numPr>
      <w:spacing w:before="0"/>
    </w:pPr>
  </w:style>
  <w:style w:type="paragraph" w:customStyle="1" w:styleId="NumberedList11">
    <w:name w:val="Numbered List: 1) 1"/>
    <w:basedOn w:val="NumberedList1"/>
    <w:semiHidden/>
    <w:rsid w:val="007601BF"/>
    <w:pPr>
      <w:numPr>
        <w:ilvl w:val="1"/>
      </w:numPr>
    </w:pPr>
  </w:style>
  <w:style w:type="paragraph" w:customStyle="1" w:styleId="NumberedList12">
    <w:name w:val="Numbered List: 1) 2"/>
    <w:basedOn w:val="NumberedList11"/>
    <w:semiHidden/>
    <w:rsid w:val="007601BF"/>
    <w:pPr>
      <w:numPr>
        <w:ilvl w:val="2"/>
      </w:numPr>
    </w:pPr>
  </w:style>
  <w:style w:type="paragraph" w:customStyle="1" w:styleId="NumberedList13">
    <w:name w:val="Numbered List: 1) 3"/>
    <w:basedOn w:val="NumberedList12"/>
    <w:semiHidden/>
    <w:rsid w:val="007601BF"/>
    <w:pPr>
      <w:numPr>
        <w:ilvl w:val="3"/>
      </w:numPr>
    </w:pPr>
  </w:style>
  <w:style w:type="paragraph" w:customStyle="1" w:styleId="NumberedList14">
    <w:name w:val="Numbered List: 1) 4"/>
    <w:basedOn w:val="NumberedList13"/>
    <w:semiHidden/>
    <w:rsid w:val="007601BF"/>
    <w:pPr>
      <w:numPr>
        <w:ilvl w:val="4"/>
      </w:numPr>
    </w:pPr>
  </w:style>
  <w:style w:type="paragraph" w:customStyle="1" w:styleId="NumberedList15">
    <w:name w:val="Numbered List: 1) 5"/>
    <w:basedOn w:val="NumberedList14"/>
    <w:semiHidden/>
    <w:rsid w:val="007601BF"/>
    <w:pPr>
      <w:numPr>
        <w:ilvl w:val="5"/>
      </w:numPr>
    </w:pPr>
  </w:style>
  <w:style w:type="paragraph" w:customStyle="1" w:styleId="NumberedList16">
    <w:name w:val="Numbered List: 1) 6"/>
    <w:basedOn w:val="NumberedList15"/>
    <w:semiHidden/>
    <w:rsid w:val="007601BF"/>
    <w:pPr>
      <w:numPr>
        <w:ilvl w:val="6"/>
      </w:numPr>
    </w:pPr>
  </w:style>
  <w:style w:type="paragraph" w:customStyle="1" w:styleId="NumberedList17">
    <w:name w:val="Numbered List: 1) 7"/>
    <w:basedOn w:val="NumberedList16"/>
    <w:semiHidden/>
    <w:rsid w:val="007601BF"/>
    <w:pPr>
      <w:numPr>
        <w:ilvl w:val="7"/>
      </w:numPr>
    </w:pPr>
  </w:style>
  <w:style w:type="paragraph" w:customStyle="1" w:styleId="NumberedList18">
    <w:name w:val="Numbered List: 1) 8"/>
    <w:basedOn w:val="NumberedList17"/>
    <w:semiHidden/>
    <w:rsid w:val="007601BF"/>
    <w:pPr>
      <w:numPr>
        <w:ilvl w:val="8"/>
      </w:numPr>
    </w:pPr>
  </w:style>
  <w:style w:type="character" w:customStyle="1" w:styleId="Heading5Char">
    <w:name w:val="Heading 5 Char"/>
    <w:basedOn w:val="DefaultParagraphFont"/>
    <w:link w:val="Heading5"/>
    <w:uiPriority w:val="9"/>
    <w:rsid w:val="001306AA"/>
    <w:rPr>
      <w:rFonts w:asciiTheme="majorHAnsi" w:eastAsiaTheme="majorEastAsia" w:hAnsiTheme="majorHAnsi" w:cstheme="majorBidi"/>
      <w:color w:val="EE3400" w:themeColor="accent1" w:themeShade="BF"/>
      <w:lang w:val="en-AU" w:bidi="en-US"/>
    </w:rPr>
  </w:style>
  <w:style w:type="character" w:styleId="FollowedHyperlink">
    <w:name w:val="FollowedHyperlink"/>
    <w:basedOn w:val="DefaultParagraphFont"/>
    <w:uiPriority w:val="99"/>
    <w:semiHidden/>
    <w:unhideWhenUsed/>
    <w:rsid w:val="00A70232"/>
    <w:rPr>
      <w:color w:val="79437D" w:themeColor="followedHyperlink"/>
      <w:u w:val="single"/>
    </w:rPr>
  </w:style>
  <w:style w:type="paragraph" w:styleId="EndnoteText">
    <w:name w:val="endnote text"/>
    <w:basedOn w:val="Normal"/>
    <w:link w:val="EndnoteTextChar"/>
    <w:uiPriority w:val="99"/>
    <w:semiHidden/>
    <w:unhideWhenUsed/>
    <w:rsid w:val="00671135"/>
    <w:rPr>
      <w:sz w:val="20"/>
      <w:szCs w:val="20"/>
    </w:rPr>
  </w:style>
  <w:style w:type="character" w:customStyle="1" w:styleId="EndnoteTextChar">
    <w:name w:val="Endnote Text Char"/>
    <w:basedOn w:val="DefaultParagraphFont"/>
    <w:link w:val="EndnoteText"/>
    <w:uiPriority w:val="99"/>
    <w:semiHidden/>
    <w:rsid w:val="00671135"/>
    <w:rPr>
      <w:rFonts w:ascii="Times New Roman" w:eastAsia="Times New Roman" w:hAnsi="Times New Roman" w:cs="Times New Roman"/>
      <w:sz w:val="20"/>
      <w:szCs w:val="20"/>
      <w:lang w:val="en-AU" w:bidi="en-US"/>
    </w:rPr>
  </w:style>
  <w:style w:type="character" w:styleId="EndnoteReference">
    <w:name w:val="endnote reference"/>
    <w:basedOn w:val="DefaultParagraphFont"/>
    <w:uiPriority w:val="99"/>
    <w:semiHidden/>
    <w:unhideWhenUsed/>
    <w:rsid w:val="00671135"/>
    <w:rPr>
      <w:vertAlign w:val="superscript"/>
    </w:rPr>
  </w:style>
  <w:style w:type="character" w:customStyle="1" w:styleId="apple-converted-space">
    <w:name w:val="apple-converted-space"/>
    <w:basedOn w:val="DefaultParagraphFont"/>
    <w:rsid w:val="00251FAF"/>
  </w:style>
  <w:style w:type="paragraph" w:styleId="NormalWeb">
    <w:name w:val="Normal (Web)"/>
    <w:basedOn w:val="Normal"/>
    <w:uiPriority w:val="99"/>
    <w:semiHidden/>
    <w:unhideWhenUsed/>
    <w:rsid w:val="0055310B"/>
    <w:pPr>
      <w:widowControl/>
      <w:autoSpaceDE/>
      <w:autoSpaceDN/>
      <w:spacing w:before="100" w:beforeAutospacing="1" w:after="100" w:afterAutospacing="1"/>
    </w:pPr>
    <w:rPr>
      <w:sz w:val="24"/>
      <w:szCs w:val="24"/>
      <w:lang w:eastAsia="en-GB" w:bidi="ar-SA"/>
    </w:rPr>
  </w:style>
  <w:style w:type="character" w:customStyle="1" w:styleId="markedcontent">
    <w:name w:val="markedcontent"/>
    <w:basedOn w:val="DefaultParagraphFont"/>
    <w:rsid w:val="003A5C4A"/>
  </w:style>
  <w:style w:type="character" w:customStyle="1" w:styleId="authors">
    <w:name w:val="authors"/>
    <w:basedOn w:val="DefaultParagraphFont"/>
    <w:rsid w:val="003A5C4A"/>
  </w:style>
  <w:style w:type="character" w:customStyle="1" w:styleId="Date1">
    <w:name w:val="Date1"/>
    <w:basedOn w:val="DefaultParagraphFont"/>
    <w:rsid w:val="003A5C4A"/>
  </w:style>
  <w:style w:type="character" w:customStyle="1" w:styleId="arttitle">
    <w:name w:val="art_title"/>
    <w:basedOn w:val="DefaultParagraphFont"/>
    <w:rsid w:val="003A5C4A"/>
  </w:style>
  <w:style w:type="character" w:customStyle="1" w:styleId="serialtitle">
    <w:name w:val="serial_title"/>
    <w:basedOn w:val="DefaultParagraphFont"/>
    <w:rsid w:val="003A5C4A"/>
  </w:style>
  <w:style w:type="character" w:customStyle="1" w:styleId="volumeissue">
    <w:name w:val="volume_issue"/>
    <w:basedOn w:val="DefaultParagraphFont"/>
    <w:rsid w:val="003A5C4A"/>
  </w:style>
  <w:style w:type="character" w:customStyle="1" w:styleId="pagerange">
    <w:name w:val="page_range"/>
    <w:basedOn w:val="DefaultParagraphFont"/>
    <w:rsid w:val="003A5C4A"/>
  </w:style>
  <w:style w:type="character" w:customStyle="1" w:styleId="doilink">
    <w:name w:val="doi_link"/>
    <w:basedOn w:val="DefaultParagraphFont"/>
    <w:rsid w:val="003A5C4A"/>
  </w:style>
  <w:style w:type="character" w:customStyle="1" w:styleId="scxw219621689">
    <w:name w:val="scxw219621689"/>
    <w:basedOn w:val="DefaultParagraphFont"/>
    <w:rsid w:val="003A5C4A"/>
  </w:style>
  <w:style w:type="paragraph" w:styleId="Quote">
    <w:name w:val="Quote"/>
    <w:basedOn w:val="Normal"/>
    <w:next w:val="Normal"/>
    <w:link w:val="QuoteChar"/>
    <w:autoRedefine/>
    <w:uiPriority w:val="29"/>
    <w:qFormat/>
    <w:rsid w:val="003A5C4A"/>
    <w:pPr>
      <w:spacing w:before="200" w:after="160" w:line="276" w:lineRule="auto"/>
      <w:ind w:left="862" w:right="862"/>
    </w:pPr>
    <w:rPr>
      <w:rFonts w:ascii="Calibri" w:hAnsi="Calibri"/>
      <w:iCs/>
    </w:rPr>
  </w:style>
  <w:style w:type="character" w:customStyle="1" w:styleId="QuoteChar">
    <w:name w:val="Quote Char"/>
    <w:basedOn w:val="DefaultParagraphFont"/>
    <w:link w:val="Quote"/>
    <w:uiPriority w:val="29"/>
    <w:rsid w:val="003A5C4A"/>
    <w:rPr>
      <w:rFonts w:ascii="Calibri" w:eastAsia="Times New Roman" w:hAnsi="Calibri" w:cs="Times New Roman"/>
      <w:iCs/>
      <w:lang w:val="en-AU" w:bidi="en-US"/>
    </w:rPr>
  </w:style>
  <w:style w:type="paragraph" w:customStyle="1" w:styleId="dotpoints">
    <w:name w:val="dot points"/>
    <w:basedOn w:val="ListParagraph"/>
    <w:link w:val="dotpointsChar"/>
    <w:autoRedefine/>
    <w:qFormat/>
    <w:rsid w:val="003973A8"/>
    <w:pPr>
      <w:widowControl/>
      <w:numPr>
        <w:numId w:val="3"/>
      </w:numPr>
      <w:autoSpaceDE/>
      <w:autoSpaceDN/>
      <w:spacing w:before="120" w:after="160" w:line="276" w:lineRule="auto"/>
      <w:ind w:left="714" w:hanging="357"/>
      <w:contextualSpacing/>
    </w:pPr>
    <w:rPr>
      <w:rFonts w:ascii="Calibri" w:hAnsi="Calibri"/>
    </w:rPr>
  </w:style>
  <w:style w:type="paragraph" w:styleId="Subtitle">
    <w:name w:val="Subtitle"/>
    <w:basedOn w:val="Normal"/>
    <w:next w:val="Normal"/>
    <w:link w:val="SubtitleChar"/>
    <w:uiPriority w:val="11"/>
    <w:qFormat/>
    <w:rsid w:val="00FB5E9B"/>
    <w:pPr>
      <w:numPr>
        <w:ilvl w:val="1"/>
      </w:numPr>
      <w:spacing w:after="160"/>
    </w:pPr>
    <w:rPr>
      <w:rFonts w:asciiTheme="minorHAnsi" w:eastAsiaTheme="minorEastAsia" w:hAnsiTheme="minorHAnsi" w:cstheme="minorBidi"/>
      <w:spacing w:val="15"/>
      <w:sz w:val="18"/>
    </w:rPr>
  </w:style>
  <w:style w:type="character" w:customStyle="1" w:styleId="dotpointsChar">
    <w:name w:val="dot points Char"/>
    <w:basedOn w:val="ListParagraphChar"/>
    <w:link w:val="dotpoints"/>
    <w:rsid w:val="003973A8"/>
    <w:rPr>
      <w:rFonts w:ascii="Calibri" w:eastAsia="Times New Roman" w:hAnsi="Calibri" w:cs="Times New Roman"/>
      <w:lang w:val="en-AU" w:bidi="en-US"/>
    </w:rPr>
  </w:style>
  <w:style w:type="character" w:customStyle="1" w:styleId="SubtitleChar">
    <w:name w:val="Subtitle Char"/>
    <w:basedOn w:val="DefaultParagraphFont"/>
    <w:link w:val="Subtitle"/>
    <w:uiPriority w:val="11"/>
    <w:rsid w:val="00FB5E9B"/>
    <w:rPr>
      <w:rFonts w:eastAsiaTheme="minorEastAsia"/>
      <w:spacing w:val="15"/>
      <w:sz w:val="18"/>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6586">
      <w:bodyDiv w:val="1"/>
      <w:marLeft w:val="0"/>
      <w:marRight w:val="0"/>
      <w:marTop w:val="0"/>
      <w:marBottom w:val="0"/>
      <w:divBdr>
        <w:top w:val="none" w:sz="0" w:space="0" w:color="auto"/>
        <w:left w:val="none" w:sz="0" w:space="0" w:color="auto"/>
        <w:bottom w:val="none" w:sz="0" w:space="0" w:color="auto"/>
        <w:right w:val="none" w:sz="0" w:space="0" w:color="auto"/>
      </w:divBdr>
    </w:div>
    <w:div w:id="135220810">
      <w:bodyDiv w:val="1"/>
      <w:marLeft w:val="0"/>
      <w:marRight w:val="0"/>
      <w:marTop w:val="0"/>
      <w:marBottom w:val="0"/>
      <w:divBdr>
        <w:top w:val="none" w:sz="0" w:space="0" w:color="auto"/>
        <w:left w:val="none" w:sz="0" w:space="0" w:color="auto"/>
        <w:bottom w:val="none" w:sz="0" w:space="0" w:color="auto"/>
        <w:right w:val="none" w:sz="0" w:space="0" w:color="auto"/>
      </w:divBdr>
      <w:divsChild>
        <w:div w:id="1640500332">
          <w:marLeft w:val="547"/>
          <w:marRight w:val="0"/>
          <w:marTop w:val="0"/>
          <w:marBottom w:val="0"/>
          <w:divBdr>
            <w:top w:val="none" w:sz="0" w:space="0" w:color="auto"/>
            <w:left w:val="none" w:sz="0" w:space="0" w:color="auto"/>
            <w:bottom w:val="none" w:sz="0" w:space="0" w:color="auto"/>
            <w:right w:val="none" w:sz="0" w:space="0" w:color="auto"/>
          </w:divBdr>
        </w:div>
      </w:divsChild>
    </w:div>
    <w:div w:id="164899748">
      <w:bodyDiv w:val="1"/>
      <w:marLeft w:val="0"/>
      <w:marRight w:val="0"/>
      <w:marTop w:val="0"/>
      <w:marBottom w:val="0"/>
      <w:divBdr>
        <w:top w:val="none" w:sz="0" w:space="0" w:color="auto"/>
        <w:left w:val="none" w:sz="0" w:space="0" w:color="auto"/>
        <w:bottom w:val="none" w:sz="0" w:space="0" w:color="auto"/>
        <w:right w:val="none" w:sz="0" w:space="0" w:color="auto"/>
      </w:divBdr>
    </w:div>
    <w:div w:id="276837571">
      <w:bodyDiv w:val="1"/>
      <w:marLeft w:val="0"/>
      <w:marRight w:val="0"/>
      <w:marTop w:val="0"/>
      <w:marBottom w:val="0"/>
      <w:divBdr>
        <w:top w:val="none" w:sz="0" w:space="0" w:color="auto"/>
        <w:left w:val="none" w:sz="0" w:space="0" w:color="auto"/>
        <w:bottom w:val="none" w:sz="0" w:space="0" w:color="auto"/>
        <w:right w:val="none" w:sz="0" w:space="0" w:color="auto"/>
      </w:divBdr>
    </w:div>
    <w:div w:id="340855288">
      <w:bodyDiv w:val="1"/>
      <w:marLeft w:val="0"/>
      <w:marRight w:val="0"/>
      <w:marTop w:val="0"/>
      <w:marBottom w:val="0"/>
      <w:divBdr>
        <w:top w:val="none" w:sz="0" w:space="0" w:color="auto"/>
        <w:left w:val="none" w:sz="0" w:space="0" w:color="auto"/>
        <w:bottom w:val="none" w:sz="0" w:space="0" w:color="auto"/>
        <w:right w:val="none" w:sz="0" w:space="0" w:color="auto"/>
      </w:divBdr>
      <w:divsChild>
        <w:div w:id="720983443">
          <w:marLeft w:val="0"/>
          <w:marRight w:val="0"/>
          <w:marTop w:val="0"/>
          <w:marBottom w:val="0"/>
          <w:divBdr>
            <w:top w:val="none" w:sz="0" w:space="0" w:color="auto"/>
            <w:left w:val="none" w:sz="0" w:space="0" w:color="auto"/>
            <w:bottom w:val="none" w:sz="0" w:space="0" w:color="auto"/>
            <w:right w:val="none" w:sz="0" w:space="0" w:color="auto"/>
          </w:divBdr>
        </w:div>
      </w:divsChild>
    </w:div>
    <w:div w:id="364643529">
      <w:bodyDiv w:val="1"/>
      <w:marLeft w:val="0"/>
      <w:marRight w:val="0"/>
      <w:marTop w:val="0"/>
      <w:marBottom w:val="0"/>
      <w:divBdr>
        <w:top w:val="none" w:sz="0" w:space="0" w:color="auto"/>
        <w:left w:val="none" w:sz="0" w:space="0" w:color="auto"/>
        <w:bottom w:val="none" w:sz="0" w:space="0" w:color="auto"/>
        <w:right w:val="none" w:sz="0" w:space="0" w:color="auto"/>
      </w:divBdr>
    </w:div>
    <w:div w:id="633102173">
      <w:bodyDiv w:val="1"/>
      <w:marLeft w:val="0"/>
      <w:marRight w:val="0"/>
      <w:marTop w:val="0"/>
      <w:marBottom w:val="0"/>
      <w:divBdr>
        <w:top w:val="none" w:sz="0" w:space="0" w:color="auto"/>
        <w:left w:val="none" w:sz="0" w:space="0" w:color="auto"/>
        <w:bottom w:val="none" w:sz="0" w:space="0" w:color="auto"/>
        <w:right w:val="none" w:sz="0" w:space="0" w:color="auto"/>
      </w:divBdr>
    </w:div>
    <w:div w:id="649947636">
      <w:bodyDiv w:val="1"/>
      <w:marLeft w:val="0"/>
      <w:marRight w:val="0"/>
      <w:marTop w:val="0"/>
      <w:marBottom w:val="0"/>
      <w:divBdr>
        <w:top w:val="none" w:sz="0" w:space="0" w:color="auto"/>
        <w:left w:val="none" w:sz="0" w:space="0" w:color="auto"/>
        <w:bottom w:val="none" w:sz="0" w:space="0" w:color="auto"/>
        <w:right w:val="none" w:sz="0" w:space="0" w:color="auto"/>
      </w:divBdr>
      <w:divsChild>
        <w:div w:id="1099525001">
          <w:marLeft w:val="0"/>
          <w:marRight w:val="0"/>
          <w:marTop w:val="0"/>
          <w:marBottom w:val="0"/>
          <w:divBdr>
            <w:top w:val="none" w:sz="0" w:space="0" w:color="auto"/>
            <w:left w:val="none" w:sz="0" w:space="0" w:color="auto"/>
            <w:bottom w:val="none" w:sz="0" w:space="0" w:color="auto"/>
            <w:right w:val="none" w:sz="0" w:space="0" w:color="auto"/>
          </w:divBdr>
        </w:div>
        <w:div w:id="399789720">
          <w:marLeft w:val="0"/>
          <w:marRight w:val="0"/>
          <w:marTop w:val="0"/>
          <w:marBottom w:val="0"/>
          <w:divBdr>
            <w:top w:val="none" w:sz="0" w:space="0" w:color="auto"/>
            <w:left w:val="none" w:sz="0" w:space="0" w:color="auto"/>
            <w:bottom w:val="none" w:sz="0" w:space="0" w:color="auto"/>
            <w:right w:val="none" w:sz="0" w:space="0" w:color="auto"/>
          </w:divBdr>
        </w:div>
        <w:div w:id="1093277564">
          <w:marLeft w:val="0"/>
          <w:marRight w:val="0"/>
          <w:marTop w:val="0"/>
          <w:marBottom w:val="0"/>
          <w:divBdr>
            <w:top w:val="none" w:sz="0" w:space="0" w:color="auto"/>
            <w:left w:val="none" w:sz="0" w:space="0" w:color="auto"/>
            <w:bottom w:val="none" w:sz="0" w:space="0" w:color="auto"/>
            <w:right w:val="none" w:sz="0" w:space="0" w:color="auto"/>
          </w:divBdr>
          <w:divsChild>
            <w:div w:id="1331566323">
              <w:marLeft w:val="0"/>
              <w:marRight w:val="0"/>
              <w:marTop w:val="0"/>
              <w:marBottom w:val="0"/>
              <w:divBdr>
                <w:top w:val="none" w:sz="0" w:space="0" w:color="auto"/>
                <w:left w:val="none" w:sz="0" w:space="0" w:color="auto"/>
                <w:bottom w:val="none" w:sz="0" w:space="0" w:color="auto"/>
                <w:right w:val="none" w:sz="0" w:space="0" w:color="auto"/>
              </w:divBdr>
            </w:div>
            <w:div w:id="148644013">
              <w:marLeft w:val="0"/>
              <w:marRight w:val="0"/>
              <w:marTop w:val="0"/>
              <w:marBottom w:val="0"/>
              <w:divBdr>
                <w:top w:val="none" w:sz="0" w:space="0" w:color="auto"/>
                <w:left w:val="none" w:sz="0" w:space="0" w:color="auto"/>
                <w:bottom w:val="none" w:sz="0" w:space="0" w:color="auto"/>
                <w:right w:val="none" w:sz="0" w:space="0" w:color="auto"/>
              </w:divBdr>
            </w:div>
            <w:div w:id="1266885291">
              <w:marLeft w:val="0"/>
              <w:marRight w:val="0"/>
              <w:marTop w:val="0"/>
              <w:marBottom w:val="0"/>
              <w:divBdr>
                <w:top w:val="none" w:sz="0" w:space="0" w:color="auto"/>
                <w:left w:val="none" w:sz="0" w:space="0" w:color="auto"/>
                <w:bottom w:val="none" w:sz="0" w:space="0" w:color="auto"/>
                <w:right w:val="none" w:sz="0" w:space="0" w:color="auto"/>
              </w:divBdr>
            </w:div>
            <w:div w:id="2145156850">
              <w:marLeft w:val="0"/>
              <w:marRight w:val="0"/>
              <w:marTop w:val="0"/>
              <w:marBottom w:val="0"/>
              <w:divBdr>
                <w:top w:val="none" w:sz="0" w:space="0" w:color="auto"/>
                <w:left w:val="none" w:sz="0" w:space="0" w:color="auto"/>
                <w:bottom w:val="none" w:sz="0" w:space="0" w:color="auto"/>
                <w:right w:val="none" w:sz="0" w:space="0" w:color="auto"/>
              </w:divBdr>
            </w:div>
          </w:divsChild>
        </w:div>
        <w:div w:id="107745028">
          <w:marLeft w:val="0"/>
          <w:marRight w:val="0"/>
          <w:marTop w:val="0"/>
          <w:marBottom w:val="0"/>
          <w:divBdr>
            <w:top w:val="none" w:sz="0" w:space="0" w:color="auto"/>
            <w:left w:val="none" w:sz="0" w:space="0" w:color="auto"/>
            <w:bottom w:val="none" w:sz="0" w:space="0" w:color="auto"/>
            <w:right w:val="none" w:sz="0" w:space="0" w:color="auto"/>
          </w:divBdr>
          <w:divsChild>
            <w:div w:id="1360082324">
              <w:marLeft w:val="0"/>
              <w:marRight w:val="0"/>
              <w:marTop w:val="30"/>
              <w:marBottom w:val="30"/>
              <w:divBdr>
                <w:top w:val="none" w:sz="0" w:space="0" w:color="auto"/>
                <w:left w:val="none" w:sz="0" w:space="0" w:color="auto"/>
                <w:bottom w:val="none" w:sz="0" w:space="0" w:color="auto"/>
                <w:right w:val="none" w:sz="0" w:space="0" w:color="auto"/>
              </w:divBdr>
              <w:divsChild>
                <w:div w:id="1908565503">
                  <w:marLeft w:val="0"/>
                  <w:marRight w:val="0"/>
                  <w:marTop w:val="0"/>
                  <w:marBottom w:val="0"/>
                  <w:divBdr>
                    <w:top w:val="none" w:sz="0" w:space="0" w:color="auto"/>
                    <w:left w:val="none" w:sz="0" w:space="0" w:color="auto"/>
                    <w:bottom w:val="none" w:sz="0" w:space="0" w:color="auto"/>
                    <w:right w:val="none" w:sz="0" w:space="0" w:color="auto"/>
                  </w:divBdr>
                  <w:divsChild>
                    <w:div w:id="22218338">
                      <w:marLeft w:val="0"/>
                      <w:marRight w:val="0"/>
                      <w:marTop w:val="0"/>
                      <w:marBottom w:val="0"/>
                      <w:divBdr>
                        <w:top w:val="none" w:sz="0" w:space="0" w:color="auto"/>
                        <w:left w:val="none" w:sz="0" w:space="0" w:color="auto"/>
                        <w:bottom w:val="none" w:sz="0" w:space="0" w:color="auto"/>
                        <w:right w:val="none" w:sz="0" w:space="0" w:color="auto"/>
                      </w:divBdr>
                    </w:div>
                  </w:divsChild>
                </w:div>
                <w:div w:id="1731075139">
                  <w:marLeft w:val="0"/>
                  <w:marRight w:val="0"/>
                  <w:marTop w:val="0"/>
                  <w:marBottom w:val="0"/>
                  <w:divBdr>
                    <w:top w:val="none" w:sz="0" w:space="0" w:color="auto"/>
                    <w:left w:val="none" w:sz="0" w:space="0" w:color="auto"/>
                    <w:bottom w:val="none" w:sz="0" w:space="0" w:color="auto"/>
                    <w:right w:val="none" w:sz="0" w:space="0" w:color="auto"/>
                  </w:divBdr>
                  <w:divsChild>
                    <w:div w:id="18556920">
                      <w:marLeft w:val="0"/>
                      <w:marRight w:val="0"/>
                      <w:marTop w:val="0"/>
                      <w:marBottom w:val="0"/>
                      <w:divBdr>
                        <w:top w:val="none" w:sz="0" w:space="0" w:color="auto"/>
                        <w:left w:val="none" w:sz="0" w:space="0" w:color="auto"/>
                        <w:bottom w:val="none" w:sz="0" w:space="0" w:color="auto"/>
                        <w:right w:val="none" w:sz="0" w:space="0" w:color="auto"/>
                      </w:divBdr>
                    </w:div>
                  </w:divsChild>
                </w:div>
                <w:div w:id="2000620126">
                  <w:marLeft w:val="0"/>
                  <w:marRight w:val="0"/>
                  <w:marTop w:val="0"/>
                  <w:marBottom w:val="0"/>
                  <w:divBdr>
                    <w:top w:val="none" w:sz="0" w:space="0" w:color="auto"/>
                    <w:left w:val="none" w:sz="0" w:space="0" w:color="auto"/>
                    <w:bottom w:val="none" w:sz="0" w:space="0" w:color="auto"/>
                    <w:right w:val="none" w:sz="0" w:space="0" w:color="auto"/>
                  </w:divBdr>
                  <w:divsChild>
                    <w:div w:id="1423376557">
                      <w:marLeft w:val="0"/>
                      <w:marRight w:val="0"/>
                      <w:marTop w:val="0"/>
                      <w:marBottom w:val="0"/>
                      <w:divBdr>
                        <w:top w:val="none" w:sz="0" w:space="0" w:color="auto"/>
                        <w:left w:val="none" w:sz="0" w:space="0" w:color="auto"/>
                        <w:bottom w:val="none" w:sz="0" w:space="0" w:color="auto"/>
                        <w:right w:val="none" w:sz="0" w:space="0" w:color="auto"/>
                      </w:divBdr>
                    </w:div>
                  </w:divsChild>
                </w:div>
                <w:div w:id="1719627509">
                  <w:marLeft w:val="0"/>
                  <w:marRight w:val="0"/>
                  <w:marTop w:val="0"/>
                  <w:marBottom w:val="0"/>
                  <w:divBdr>
                    <w:top w:val="none" w:sz="0" w:space="0" w:color="auto"/>
                    <w:left w:val="none" w:sz="0" w:space="0" w:color="auto"/>
                    <w:bottom w:val="none" w:sz="0" w:space="0" w:color="auto"/>
                    <w:right w:val="none" w:sz="0" w:space="0" w:color="auto"/>
                  </w:divBdr>
                  <w:divsChild>
                    <w:div w:id="830947705">
                      <w:marLeft w:val="0"/>
                      <w:marRight w:val="0"/>
                      <w:marTop w:val="0"/>
                      <w:marBottom w:val="0"/>
                      <w:divBdr>
                        <w:top w:val="none" w:sz="0" w:space="0" w:color="auto"/>
                        <w:left w:val="none" w:sz="0" w:space="0" w:color="auto"/>
                        <w:bottom w:val="none" w:sz="0" w:space="0" w:color="auto"/>
                        <w:right w:val="none" w:sz="0" w:space="0" w:color="auto"/>
                      </w:divBdr>
                    </w:div>
                  </w:divsChild>
                </w:div>
                <w:div w:id="2002809932">
                  <w:marLeft w:val="0"/>
                  <w:marRight w:val="0"/>
                  <w:marTop w:val="0"/>
                  <w:marBottom w:val="0"/>
                  <w:divBdr>
                    <w:top w:val="none" w:sz="0" w:space="0" w:color="auto"/>
                    <w:left w:val="none" w:sz="0" w:space="0" w:color="auto"/>
                    <w:bottom w:val="none" w:sz="0" w:space="0" w:color="auto"/>
                    <w:right w:val="none" w:sz="0" w:space="0" w:color="auto"/>
                  </w:divBdr>
                  <w:divsChild>
                    <w:div w:id="1580015408">
                      <w:marLeft w:val="0"/>
                      <w:marRight w:val="0"/>
                      <w:marTop w:val="0"/>
                      <w:marBottom w:val="0"/>
                      <w:divBdr>
                        <w:top w:val="none" w:sz="0" w:space="0" w:color="auto"/>
                        <w:left w:val="none" w:sz="0" w:space="0" w:color="auto"/>
                        <w:bottom w:val="none" w:sz="0" w:space="0" w:color="auto"/>
                        <w:right w:val="none" w:sz="0" w:space="0" w:color="auto"/>
                      </w:divBdr>
                    </w:div>
                  </w:divsChild>
                </w:div>
                <w:div w:id="81219880">
                  <w:marLeft w:val="0"/>
                  <w:marRight w:val="0"/>
                  <w:marTop w:val="0"/>
                  <w:marBottom w:val="0"/>
                  <w:divBdr>
                    <w:top w:val="none" w:sz="0" w:space="0" w:color="auto"/>
                    <w:left w:val="none" w:sz="0" w:space="0" w:color="auto"/>
                    <w:bottom w:val="none" w:sz="0" w:space="0" w:color="auto"/>
                    <w:right w:val="none" w:sz="0" w:space="0" w:color="auto"/>
                  </w:divBdr>
                  <w:divsChild>
                    <w:div w:id="668870285">
                      <w:marLeft w:val="0"/>
                      <w:marRight w:val="0"/>
                      <w:marTop w:val="0"/>
                      <w:marBottom w:val="0"/>
                      <w:divBdr>
                        <w:top w:val="none" w:sz="0" w:space="0" w:color="auto"/>
                        <w:left w:val="none" w:sz="0" w:space="0" w:color="auto"/>
                        <w:bottom w:val="none" w:sz="0" w:space="0" w:color="auto"/>
                        <w:right w:val="none" w:sz="0" w:space="0" w:color="auto"/>
                      </w:divBdr>
                    </w:div>
                  </w:divsChild>
                </w:div>
                <w:div w:id="1696691167">
                  <w:marLeft w:val="0"/>
                  <w:marRight w:val="0"/>
                  <w:marTop w:val="0"/>
                  <w:marBottom w:val="0"/>
                  <w:divBdr>
                    <w:top w:val="none" w:sz="0" w:space="0" w:color="auto"/>
                    <w:left w:val="none" w:sz="0" w:space="0" w:color="auto"/>
                    <w:bottom w:val="none" w:sz="0" w:space="0" w:color="auto"/>
                    <w:right w:val="none" w:sz="0" w:space="0" w:color="auto"/>
                  </w:divBdr>
                  <w:divsChild>
                    <w:div w:id="366181484">
                      <w:marLeft w:val="0"/>
                      <w:marRight w:val="0"/>
                      <w:marTop w:val="0"/>
                      <w:marBottom w:val="0"/>
                      <w:divBdr>
                        <w:top w:val="none" w:sz="0" w:space="0" w:color="auto"/>
                        <w:left w:val="none" w:sz="0" w:space="0" w:color="auto"/>
                        <w:bottom w:val="none" w:sz="0" w:space="0" w:color="auto"/>
                        <w:right w:val="none" w:sz="0" w:space="0" w:color="auto"/>
                      </w:divBdr>
                    </w:div>
                  </w:divsChild>
                </w:div>
                <w:div w:id="500197913">
                  <w:marLeft w:val="0"/>
                  <w:marRight w:val="0"/>
                  <w:marTop w:val="0"/>
                  <w:marBottom w:val="0"/>
                  <w:divBdr>
                    <w:top w:val="none" w:sz="0" w:space="0" w:color="auto"/>
                    <w:left w:val="none" w:sz="0" w:space="0" w:color="auto"/>
                    <w:bottom w:val="none" w:sz="0" w:space="0" w:color="auto"/>
                    <w:right w:val="none" w:sz="0" w:space="0" w:color="auto"/>
                  </w:divBdr>
                  <w:divsChild>
                    <w:div w:id="1475412209">
                      <w:marLeft w:val="0"/>
                      <w:marRight w:val="0"/>
                      <w:marTop w:val="0"/>
                      <w:marBottom w:val="0"/>
                      <w:divBdr>
                        <w:top w:val="none" w:sz="0" w:space="0" w:color="auto"/>
                        <w:left w:val="none" w:sz="0" w:space="0" w:color="auto"/>
                        <w:bottom w:val="none" w:sz="0" w:space="0" w:color="auto"/>
                        <w:right w:val="none" w:sz="0" w:space="0" w:color="auto"/>
                      </w:divBdr>
                    </w:div>
                  </w:divsChild>
                </w:div>
                <w:div w:id="1379478446">
                  <w:marLeft w:val="0"/>
                  <w:marRight w:val="0"/>
                  <w:marTop w:val="0"/>
                  <w:marBottom w:val="0"/>
                  <w:divBdr>
                    <w:top w:val="none" w:sz="0" w:space="0" w:color="auto"/>
                    <w:left w:val="none" w:sz="0" w:space="0" w:color="auto"/>
                    <w:bottom w:val="none" w:sz="0" w:space="0" w:color="auto"/>
                    <w:right w:val="none" w:sz="0" w:space="0" w:color="auto"/>
                  </w:divBdr>
                  <w:divsChild>
                    <w:div w:id="1817406187">
                      <w:marLeft w:val="0"/>
                      <w:marRight w:val="0"/>
                      <w:marTop w:val="0"/>
                      <w:marBottom w:val="0"/>
                      <w:divBdr>
                        <w:top w:val="none" w:sz="0" w:space="0" w:color="auto"/>
                        <w:left w:val="none" w:sz="0" w:space="0" w:color="auto"/>
                        <w:bottom w:val="none" w:sz="0" w:space="0" w:color="auto"/>
                        <w:right w:val="none" w:sz="0" w:space="0" w:color="auto"/>
                      </w:divBdr>
                    </w:div>
                  </w:divsChild>
                </w:div>
                <w:div w:id="706637196">
                  <w:marLeft w:val="0"/>
                  <w:marRight w:val="0"/>
                  <w:marTop w:val="0"/>
                  <w:marBottom w:val="0"/>
                  <w:divBdr>
                    <w:top w:val="none" w:sz="0" w:space="0" w:color="auto"/>
                    <w:left w:val="none" w:sz="0" w:space="0" w:color="auto"/>
                    <w:bottom w:val="none" w:sz="0" w:space="0" w:color="auto"/>
                    <w:right w:val="none" w:sz="0" w:space="0" w:color="auto"/>
                  </w:divBdr>
                  <w:divsChild>
                    <w:div w:id="1394356452">
                      <w:marLeft w:val="0"/>
                      <w:marRight w:val="0"/>
                      <w:marTop w:val="0"/>
                      <w:marBottom w:val="0"/>
                      <w:divBdr>
                        <w:top w:val="none" w:sz="0" w:space="0" w:color="auto"/>
                        <w:left w:val="none" w:sz="0" w:space="0" w:color="auto"/>
                        <w:bottom w:val="none" w:sz="0" w:space="0" w:color="auto"/>
                        <w:right w:val="none" w:sz="0" w:space="0" w:color="auto"/>
                      </w:divBdr>
                    </w:div>
                  </w:divsChild>
                </w:div>
                <w:div w:id="1539588554">
                  <w:marLeft w:val="0"/>
                  <w:marRight w:val="0"/>
                  <w:marTop w:val="0"/>
                  <w:marBottom w:val="0"/>
                  <w:divBdr>
                    <w:top w:val="none" w:sz="0" w:space="0" w:color="auto"/>
                    <w:left w:val="none" w:sz="0" w:space="0" w:color="auto"/>
                    <w:bottom w:val="none" w:sz="0" w:space="0" w:color="auto"/>
                    <w:right w:val="none" w:sz="0" w:space="0" w:color="auto"/>
                  </w:divBdr>
                  <w:divsChild>
                    <w:div w:id="895092562">
                      <w:marLeft w:val="0"/>
                      <w:marRight w:val="0"/>
                      <w:marTop w:val="0"/>
                      <w:marBottom w:val="0"/>
                      <w:divBdr>
                        <w:top w:val="none" w:sz="0" w:space="0" w:color="auto"/>
                        <w:left w:val="none" w:sz="0" w:space="0" w:color="auto"/>
                        <w:bottom w:val="none" w:sz="0" w:space="0" w:color="auto"/>
                        <w:right w:val="none" w:sz="0" w:space="0" w:color="auto"/>
                      </w:divBdr>
                    </w:div>
                  </w:divsChild>
                </w:div>
                <w:div w:id="1523662476">
                  <w:marLeft w:val="0"/>
                  <w:marRight w:val="0"/>
                  <w:marTop w:val="0"/>
                  <w:marBottom w:val="0"/>
                  <w:divBdr>
                    <w:top w:val="none" w:sz="0" w:space="0" w:color="auto"/>
                    <w:left w:val="none" w:sz="0" w:space="0" w:color="auto"/>
                    <w:bottom w:val="none" w:sz="0" w:space="0" w:color="auto"/>
                    <w:right w:val="none" w:sz="0" w:space="0" w:color="auto"/>
                  </w:divBdr>
                  <w:divsChild>
                    <w:div w:id="1836803552">
                      <w:marLeft w:val="0"/>
                      <w:marRight w:val="0"/>
                      <w:marTop w:val="0"/>
                      <w:marBottom w:val="0"/>
                      <w:divBdr>
                        <w:top w:val="none" w:sz="0" w:space="0" w:color="auto"/>
                        <w:left w:val="none" w:sz="0" w:space="0" w:color="auto"/>
                        <w:bottom w:val="none" w:sz="0" w:space="0" w:color="auto"/>
                        <w:right w:val="none" w:sz="0" w:space="0" w:color="auto"/>
                      </w:divBdr>
                    </w:div>
                  </w:divsChild>
                </w:div>
                <w:div w:id="199827790">
                  <w:marLeft w:val="0"/>
                  <w:marRight w:val="0"/>
                  <w:marTop w:val="0"/>
                  <w:marBottom w:val="0"/>
                  <w:divBdr>
                    <w:top w:val="none" w:sz="0" w:space="0" w:color="auto"/>
                    <w:left w:val="none" w:sz="0" w:space="0" w:color="auto"/>
                    <w:bottom w:val="none" w:sz="0" w:space="0" w:color="auto"/>
                    <w:right w:val="none" w:sz="0" w:space="0" w:color="auto"/>
                  </w:divBdr>
                  <w:divsChild>
                    <w:div w:id="569536020">
                      <w:marLeft w:val="0"/>
                      <w:marRight w:val="0"/>
                      <w:marTop w:val="0"/>
                      <w:marBottom w:val="0"/>
                      <w:divBdr>
                        <w:top w:val="none" w:sz="0" w:space="0" w:color="auto"/>
                        <w:left w:val="none" w:sz="0" w:space="0" w:color="auto"/>
                        <w:bottom w:val="none" w:sz="0" w:space="0" w:color="auto"/>
                        <w:right w:val="none" w:sz="0" w:space="0" w:color="auto"/>
                      </w:divBdr>
                    </w:div>
                  </w:divsChild>
                </w:div>
                <w:div w:id="472453206">
                  <w:marLeft w:val="0"/>
                  <w:marRight w:val="0"/>
                  <w:marTop w:val="0"/>
                  <w:marBottom w:val="0"/>
                  <w:divBdr>
                    <w:top w:val="none" w:sz="0" w:space="0" w:color="auto"/>
                    <w:left w:val="none" w:sz="0" w:space="0" w:color="auto"/>
                    <w:bottom w:val="none" w:sz="0" w:space="0" w:color="auto"/>
                    <w:right w:val="none" w:sz="0" w:space="0" w:color="auto"/>
                  </w:divBdr>
                  <w:divsChild>
                    <w:div w:id="1052729678">
                      <w:marLeft w:val="0"/>
                      <w:marRight w:val="0"/>
                      <w:marTop w:val="0"/>
                      <w:marBottom w:val="0"/>
                      <w:divBdr>
                        <w:top w:val="none" w:sz="0" w:space="0" w:color="auto"/>
                        <w:left w:val="none" w:sz="0" w:space="0" w:color="auto"/>
                        <w:bottom w:val="none" w:sz="0" w:space="0" w:color="auto"/>
                        <w:right w:val="none" w:sz="0" w:space="0" w:color="auto"/>
                      </w:divBdr>
                    </w:div>
                  </w:divsChild>
                </w:div>
                <w:div w:id="2012952491">
                  <w:marLeft w:val="0"/>
                  <w:marRight w:val="0"/>
                  <w:marTop w:val="0"/>
                  <w:marBottom w:val="0"/>
                  <w:divBdr>
                    <w:top w:val="none" w:sz="0" w:space="0" w:color="auto"/>
                    <w:left w:val="none" w:sz="0" w:space="0" w:color="auto"/>
                    <w:bottom w:val="none" w:sz="0" w:space="0" w:color="auto"/>
                    <w:right w:val="none" w:sz="0" w:space="0" w:color="auto"/>
                  </w:divBdr>
                  <w:divsChild>
                    <w:div w:id="903178160">
                      <w:marLeft w:val="0"/>
                      <w:marRight w:val="0"/>
                      <w:marTop w:val="0"/>
                      <w:marBottom w:val="0"/>
                      <w:divBdr>
                        <w:top w:val="none" w:sz="0" w:space="0" w:color="auto"/>
                        <w:left w:val="none" w:sz="0" w:space="0" w:color="auto"/>
                        <w:bottom w:val="none" w:sz="0" w:space="0" w:color="auto"/>
                        <w:right w:val="none" w:sz="0" w:space="0" w:color="auto"/>
                      </w:divBdr>
                    </w:div>
                  </w:divsChild>
                </w:div>
                <w:div w:id="485754463">
                  <w:marLeft w:val="0"/>
                  <w:marRight w:val="0"/>
                  <w:marTop w:val="0"/>
                  <w:marBottom w:val="0"/>
                  <w:divBdr>
                    <w:top w:val="none" w:sz="0" w:space="0" w:color="auto"/>
                    <w:left w:val="none" w:sz="0" w:space="0" w:color="auto"/>
                    <w:bottom w:val="none" w:sz="0" w:space="0" w:color="auto"/>
                    <w:right w:val="none" w:sz="0" w:space="0" w:color="auto"/>
                  </w:divBdr>
                  <w:divsChild>
                    <w:div w:id="570699136">
                      <w:marLeft w:val="0"/>
                      <w:marRight w:val="0"/>
                      <w:marTop w:val="0"/>
                      <w:marBottom w:val="0"/>
                      <w:divBdr>
                        <w:top w:val="none" w:sz="0" w:space="0" w:color="auto"/>
                        <w:left w:val="none" w:sz="0" w:space="0" w:color="auto"/>
                        <w:bottom w:val="none" w:sz="0" w:space="0" w:color="auto"/>
                        <w:right w:val="none" w:sz="0" w:space="0" w:color="auto"/>
                      </w:divBdr>
                    </w:div>
                  </w:divsChild>
                </w:div>
                <w:div w:id="1960986918">
                  <w:marLeft w:val="0"/>
                  <w:marRight w:val="0"/>
                  <w:marTop w:val="0"/>
                  <w:marBottom w:val="0"/>
                  <w:divBdr>
                    <w:top w:val="none" w:sz="0" w:space="0" w:color="auto"/>
                    <w:left w:val="none" w:sz="0" w:space="0" w:color="auto"/>
                    <w:bottom w:val="none" w:sz="0" w:space="0" w:color="auto"/>
                    <w:right w:val="none" w:sz="0" w:space="0" w:color="auto"/>
                  </w:divBdr>
                  <w:divsChild>
                    <w:div w:id="1670598174">
                      <w:marLeft w:val="0"/>
                      <w:marRight w:val="0"/>
                      <w:marTop w:val="0"/>
                      <w:marBottom w:val="0"/>
                      <w:divBdr>
                        <w:top w:val="none" w:sz="0" w:space="0" w:color="auto"/>
                        <w:left w:val="none" w:sz="0" w:space="0" w:color="auto"/>
                        <w:bottom w:val="none" w:sz="0" w:space="0" w:color="auto"/>
                        <w:right w:val="none" w:sz="0" w:space="0" w:color="auto"/>
                      </w:divBdr>
                    </w:div>
                  </w:divsChild>
                </w:div>
                <w:div w:id="1530333812">
                  <w:marLeft w:val="0"/>
                  <w:marRight w:val="0"/>
                  <w:marTop w:val="0"/>
                  <w:marBottom w:val="0"/>
                  <w:divBdr>
                    <w:top w:val="none" w:sz="0" w:space="0" w:color="auto"/>
                    <w:left w:val="none" w:sz="0" w:space="0" w:color="auto"/>
                    <w:bottom w:val="none" w:sz="0" w:space="0" w:color="auto"/>
                    <w:right w:val="none" w:sz="0" w:space="0" w:color="auto"/>
                  </w:divBdr>
                  <w:divsChild>
                    <w:div w:id="1663701015">
                      <w:marLeft w:val="0"/>
                      <w:marRight w:val="0"/>
                      <w:marTop w:val="0"/>
                      <w:marBottom w:val="0"/>
                      <w:divBdr>
                        <w:top w:val="none" w:sz="0" w:space="0" w:color="auto"/>
                        <w:left w:val="none" w:sz="0" w:space="0" w:color="auto"/>
                        <w:bottom w:val="none" w:sz="0" w:space="0" w:color="auto"/>
                        <w:right w:val="none" w:sz="0" w:space="0" w:color="auto"/>
                      </w:divBdr>
                    </w:div>
                  </w:divsChild>
                </w:div>
                <w:div w:id="2127263371">
                  <w:marLeft w:val="0"/>
                  <w:marRight w:val="0"/>
                  <w:marTop w:val="0"/>
                  <w:marBottom w:val="0"/>
                  <w:divBdr>
                    <w:top w:val="none" w:sz="0" w:space="0" w:color="auto"/>
                    <w:left w:val="none" w:sz="0" w:space="0" w:color="auto"/>
                    <w:bottom w:val="none" w:sz="0" w:space="0" w:color="auto"/>
                    <w:right w:val="none" w:sz="0" w:space="0" w:color="auto"/>
                  </w:divBdr>
                  <w:divsChild>
                    <w:div w:id="264312183">
                      <w:marLeft w:val="0"/>
                      <w:marRight w:val="0"/>
                      <w:marTop w:val="0"/>
                      <w:marBottom w:val="0"/>
                      <w:divBdr>
                        <w:top w:val="none" w:sz="0" w:space="0" w:color="auto"/>
                        <w:left w:val="none" w:sz="0" w:space="0" w:color="auto"/>
                        <w:bottom w:val="none" w:sz="0" w:space="0" w:color="auto"/>
                        <w:right w:val="none" w:sz="0" w:space="0" w:color="auto"/>
                      </w:divBdr>
                    </w:div>
                  </w:divsChild>
                </w:div>
                <w:div w:id="2124759316">
                  <w:marLeft w:val="0"/>
                  <w:marRight w:val="0"/>
                  <w:marTop w:val="0"/>
                  <w:marBottom w:val="0"/>
                  <w:divBdr>
                    <w:top w:val="none" w:sz="0" w:space="0" w:color="auto"/>
                    <w:left w:val="none" w:sz="0" w:space="0" w:color="auto"/>
                    <w:bottom w:val="none" w:sz="0" w:space="0" w:color="auto"/>
                    <w:right w:val="none" w:sz="0" w:space="0" w:color="auto"/>
                  </w:divBdr>
                  <w:divsChild>
                    <w:div w:id="1700276800">
                      <w:marLeft w:val="0"/>
                      <w:marRight w:val="0"/>
                      <w:marTop w:val="0"/>
                      <w:marBottom w:val="0"/>
                      <w:divBdr>
                        <w:top w:val="none" w:sz="0" w:space="0" w:color="auto"/>
                        <w:left w:val="none" w:sz="0" w:space="0" w:color="auto"/>
                        <w:bottom w:val="none" w:sz="0" w:space="0" w:color="auto"/>
                        <w:right w:val="none" w:sz="0" w:space="0" w:color="auto"/>
                      </w:divBdr>
                    </w:div>
                  </w:divsChild>
                </w:div>
                <w:div w:id="1836457104">
                  <w:marLeft w:val="0"/>
                  <w:marRight w:val="0"/>
                  <w:marTop w:val="0"/>
                  <w:marBottom w:val="0"/>
                  <w:divBdr>
                    <w:top w:val="none" w:sz="0" w:space="0" w:color="auto"/>
                    <w:left w:val="none" w:sz="0" w:space="0" w:color="auto"/>
                    <w:bottom w:val="none" w:sz="0" w:space="0" w:color="auto"/>
                    <w:right w:val="none" w:sz="0" w:space="0" w:color="auto"/>
                  </w:divBdr>
                  <w:divsChild>
                    <w:div w:id="985160930">
                      <w:marLeft w:val="0"/>
                      <w:marRight w:val="0"/>
                      <w:marTop w:val="0"/>
                      <w:marBottom w:val="0"/>
                      <w:divBdr>
                        <w:top w:val="none" w:sz="0" w:space="0" w:color="auto"/>
                        <w:left w:val="none" w:sz="0" w:space="0" w:color="auto"/>
                        <w:bottom w:val="none" w:sz="0" w:space="0" w:color="auto"/>
                        <w:right w:val="none" w:sz="0" w:space="0" w:color="auto"/>
                      </w:divBdr>
                    </w:div>
                  </w:divsChild>
                </w:div>
                <w:div w:id="1004012030">
                  <w:marLeft w:val="0"/>
                  <w:marRight w:val="0"/>
                  <w:marTop w:val="0"/>
                  <w:marBottom w:val="0"/>
                  <w:divBdr>
                    <w:top w:val="none" w:sz="0" w:space="0" w:color="auto"/>
                    <w:left w:val="none" w:sz="0" w:space="0" w:color="auto"/>
                    <w:bottom w:val="none" w:sz="0" w:space="0" w:color="auto"/>
                    <w:right w:val="none" w:sz="0" w:space="0" w:color="auto"/>
                  </w:divBdr>
                  <w:divsChild>
                    <w:div w:id="1421678842">
                      <w:marLeft w:val="0"/>
                      <w:marRight w:val="0"/>
                      <w:marTop w:val="0"/>
                      <w:marBottom w:val="0"/>
                      <w:divBdr>
                        <w:top w:val="none" w:sz="0" w:space="0" w:color="auto"/>
                        <w:left w:val="none" w:sz="0" w:space="0" w:color="auto"/>
                        <w:bottom w:val="none" w:sz="0" w:space="0" w:color="auto"/>
                        <w:right w:val="none" w:sz="0" w:space="0" w:color="auto"/>
                      </w:divBdr>
                    </w:div>
                  </w:divsChild>
                </w:div>
                <w:div w:id="954218724">
                  <w:marLeft w:val="0"/>
                  <w:marRight w:val="0"/>
                  <w:marTop w:val="0"/>
                  <w:marBottom w:val="0"/>
                  <w:divBdr>
                    <w:top w:val="none" w:sz="0" w:space="0" w:color="auto"/>
                    <w:left w:val="none" w:sz="0" w:space="0" w:color="auto"/>
                    <w:bottom w:val="none" w:sz="0" w:space="0" w:color="auto"/>
                    <w:right w:val="none" w:sz="0" w:space="0" w:color="auto"/>
                  </w:divBdr>
                  <w:divsChild>
                    <w:div w:id="2136485459">
                      <w:marLeft w:val="0"/>
                      <w:marRight w:val="0"/>
                      <w:marTop w:val="0"/>
                      <w:marBottom w:val="0"/>
                      <w:divBdr>
                        <w:top w:val="none" w:sz="0" w:space="0" w:color="auto"/>
                        <w:left w:val="none" w:sz="0" w:space="0" w:color="auto"/>
                        <w:bottom w:val="none" w:sz="0" w:space="0" w:color="auto"/>
                        <w:right w:val="none" w:sz="0" w:space="0" w:color="auto"/>
                      </w:divBdr>
                    </w:div>
                  </w:divsChild>
                </w:div>
                <w:div w:id="1151555507">
                  <w:marLeft w:val="0"/>
                  <w:marRight w:val="0"/>
                  <w:marTop w:val="0"/>
                  <w:marBottom w:val="0"/>
                  <w:divBdr>
                    <w:top w:val="none" w:sz="0" w:space="0" w:color="auto"/>
                    <w:left w:val="none" w:sz="0" w:space="0" w:color="auto"/>
                    <w:bottom w:val="none" w:sz="0" w:space="0" w:color="auto"/>
                    <w:right w:val="none" w:sz="0" w:space="0" w:color="auto"/>
                  </w:divBdr>
                  <w:divsChild>
                    <w:div w:id="710037621">
                      <w:marLeft w:val="0"/>
                      <w:marRight w:val="0"/>
                      <w:marTop w:val="0"/>
                      <w:marBottom w:val="0"/>
                      <w:divBdr>
                        <w:top w:val="none" w:sz="0" w:space="0" w:color="auto"/>
                        <w:left w:val="none" w:sz="0" w:space="0" w:color="auto"/>
                        <w:bottom w:val="none" w:sz="0" w:space="0" w:color="auto"/>
                        <w:right w:val="none" w:sz="0" w:space="0" w:color="auto"/>
                      </w:divBdr>
                    </w:div>
                  </w:divsChild>
                </w:div>
                <w:div w:id="983005139">
                  <w:marLeft w:val="0"/>
                  <w:marRight w:val="0"/>
                  <w:marTop w:val="0"/>
                  <w:marBottom w:val="0"/>
                  <w:divBdr>
                    <w:top w:val="none" w:sz="0" w:space="0" w:color="auto"/>
                    <w:left w:val="none" w:sz="0" w:space="0" w:color="auto"/>
                    <w:bottom w:val="none" w:sz="0" w:space="0" w:color="auto"/>
                    <w:right w:val="none" w:sz="0" w:space="0" w:color="auto"/>
                  </w:divBdr>
                  <w:divsChild>
                    <w:div w:id="378210573">
                      <w:marLeft w:val="0"/>
                      <w:marRight w:val="0"/>
                      <w:marTop w:val="0"/>
                      <w:marBottom w:val="0"/>
                      <w:divBdr>
                        <w:top w:val="none" w:sz="0" w:space="0" w:color="auto"/>
                        <w:left w:val="none" w:sz="0" w:space="0" w:color="auto"/>
                        <w:bottom w:val="none" w:sz="0" w:space="0" w:color="auto"/>
                        <w:right w:val="none" w:sz="0" w:space="0" w:color="auto"/>
                      </w:divBdr>
                    </w:div>
                  </w:divsChild>
                </w:div>
                <w:div w:id="1456679268">
                  <w:marLeft w:val="0"/>
                  <w:marRight w:val="0"/>
                  <w:marTop w:val="0"/>
                  <w:marBottom w:val="0"/>
                  <w:divBdr>
                    <w:top w:val="none" w:sz="0" w:space="0" w:color="auto"/>
                    <w:left w:val="none" w:sz="0" w:space="0" w:color="auto"/>
                    <w:bottom w:val="none" w:sz="0" w:space="0" w:color="auto"/>
                    <w:right w:val="none" w:sz="0" w:space="0" w:color="auto"/>
                  </w:divBdr>
                  <w:divsChild>
                    <w:div w:id="205532145">
                      <w:marLeft w:val="0"/>
                      <w:marRight w:val="0"/>
                      <w:marTop w:val="0"/>
                      <w:marBottom w:val="0"/>
                      <w:divBdr>
                        <w:top w:val="none" w:sz="0" w:space="0" w:color="auto"/>
                        <w:left w:val="none" w:sz="0" w:space="0" w:color="auto"/>
                        <w:bottom w:val="none" w:sz="0" w:space="0" w:color="auto"/>
                        <w:right w:val="none" w:sz="0" w:space="0" w:color="auto"/>
                      </w:divBdr>
                    </w:div>
                  </w:divsChild>
                </w:div>
                <w:div w:id="976378846">
                  <w:marLeft w:val="0"/>
                  <w:marRight w:val="0"/>
                  <w:marTop w:val="0"/>
                  <w:marBottom w:val="0"/>
                  <w:divBdr>
                    <w:top w:val="none" w:sz="0" w:space="0" w:color="auto"/>
                    <w:left w:val="none" w:sz="0" w:space="0" w:color="auto"/>
                    <w:bottom w:val="none" w:sz="0" w:space="0" w:color="auto"/>
                    <w:right w:val="none" w:sz="0" w:space="0" w:color="auto"/>
                  </w:divBdr>
                  <w:divsChild>
                    <w:div w:id="2070879265">
                      <w:marLeft w:val="0"/>
                      <w:marRight w:val="0"/>
                      <w:marTop w:val="0"/>
                      <w:marBottom w:val="0"/>
                      <w:divBdr>
                        <w:top w:val="none" w:sz="0" w:space="0" w:color="auto"/>
                        <w:left w:val="none" w:sz="0" w:space="0" w:color="auto"/>
                        <w:bottom w:val="none" w:sz="0" w:space="0" w:color="auto"/>
                        <w:right w:val="none" w:sz="0" w:space="0" w:color="auto"/>
                      </w:divBdr>
                    </w:div>
                  </w:divsChild>
                </w:div>
                <w:div w:id="54593191">
                  <w:marLeft w:val="0"/>
                  <w:marRight w:val="0"/>
                  <w:marTop w:val="0"/>
                  <w:marBottom w:val="0"/>
                  <w:divBdr>
                    <w:top w:val="none" w:sz="0" w:space="0" w:color="auto"/>
                    <w:left w:val="none" w:sz="0" w:space="0" w:color="auto"/>
                    <w:bottom w:val="none" w:sz="0" w:space="0" w:color="auto"/>
                    <w:right w:val="none" w:sz="0" w:space="0" w:color="auto"/>
                  </w:divBdr>
                  <w:divsChild>
                    <w:div w:id="18760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10371">
      <w:bodyDiv w:val="1"/>
      <w:marLeft w:val="0"/>
      <w:marRight w:val="0"/>
      <w:marTop w:val="0"/>
      <w:marBottom w:val="0"/>
      <w:divBdr>
        <w:top w:val="none" w:sz="0" w:space="0" w:color="auto"/>
        <w:left w:val="none" w:sz="0" w:space="0" w:color="auto"/>
        <w:bottom w:val="none" w:sz="0" w:space="0" w:color="auto"/>
        <w:right w:val="none" w:sz="0" w:space="0" w:color="auto"/>
      </w:divBdr>
    </w:div>
    <w:div w:id="795375110">
      <w:bodyDiv w:val="1"/>
      <w:marLeft w:val="0"/>
      <w:marRight w:val="0"/>
      <w:marTop w:val="0"/>
      <w:marBottom w:val="0"/>
      <w:divBdr>
        <w:top w:val="none" w:sz="0" w:space="0" w:color="auto"/>
        <w:left w:val="none" w:sz="0" w:space="0" w:color="auto"/>
        <w:bottom w:val="none" w:sz="0" w:space="0" w:color="auto"/>
        <w:right w:val="none" w:sz="0" w:space="0" w:color="auto"/>
      </w:divBdr>
      <w:divsChild>
        <w:div w:id="120541300">
          <w:marLeft w:val="0"/>
          <w:marRight w:val="0"/>
          <w:marTop w:val="0"/>
          <w:marBottom w:val="0"/>
          <w:divBdr>
            <w:top w:val="none" w:sz="0" w:space="0" w:color="auto"/>
            <w:left w:val="none" w:sz="0" w:space="0" w:color="auto"/>
            <w:bottom w:val="none" w:sz="0" w:space="0" w:color="auto"/>
            <w:right w:val="none" w:sz="0" w:space="0" w:color="auto"/>
          </w:divBdr>
        </w:div>
        <w:div w:id="448821745">
          <w:marLeft w:val="0"/>
          <w:marRight w:val="0"/>
          <w:marTop w:val="0"/>
          <w:marBottom w:val="0"/>
          <w:divBdr>
            <w:top w:val="none" w:sz="0" w:space="0" w:color="auto"/>
            <w:left w:val="none" w:sz="0" w:space="0" w:color="auto"/>
            <w:bottom w:val="none" w:sz="0" w:space="0" w:color="auto"/>
            <w:right w:val="none" w:sz="0" w:space="0" w:color="auto"/>
          </w:divBdr>
        </w:div>
      </w:divsChild>
    </w:div>
    <w:div w:id="1137531494">
      <w:bodyDiv w:val="1"/>
      <w:marLeft w:val="0"/>
      <w:marRight w:val="0"/>
      <w:marTop w:val="0"/>
      <w:marBottom w:val="0"/>
      <w:divBdr>
        <w:top w:val="none" w:sz="0" w:space="0" w:color="auto"/>
        <w:left w:val="none" w:sz="0" w:space="0" w:color="auto"/>
        <w:bottom w:val="none" w:sz="0" w:space="0" w:color="auto"/>
        <w:right w:val="none" w:sz="0" w:space="0" w:color="auto"/>
      </w:divBdr>
    </w:div>
    <w:div w:id="1159809515">
      <w:bodyDiv w:val="1"/>
      <w:marLeft w:val="0"/>
      <w:marRight w:val="0"/>
      <w:marTop w:val="0"/>
      <w:marBottom w:val="0"/>
      <w:divBdr>
        <w:top w:val="none" w:sz="0" w:space="0" w:color="auto"/>
        <w:left w:val="none" w:sz="0" w:space="0" w:color="auto"/>
        <w:bottom w:val="none" w:sz="0" w:space="0" w:color="auto"/>
        <w:right w:val="none" w:sz="0" w:space="0" w:color="auto"/>
      </w:divBdr>
    </w:div>
    <w:div w:id="1198664404">
      <w:bodyDiv w:val="1"/>
      <w:marLeft w:val="0"/>
      <w:marRight w:val="0"/>
      <w:marTop w:val="0"/>
      <w:marBottom w:val="0"/>
      <w:divBdr>
        <w:top w:val="none" w:sz="0" w:space="0" w:color="auto"/>
        <w:left w:val="none" w:sz="0" w:space="0" w:color="auto"/>
        <w:bottom w:val="none" w:sz="0" w:space="0" w:color="auto"/>
        <w:right w:val="none" w:sz="0" w:space="0" w:color="auto"/>
      </w:divBdr>
    </w:div>
    <w:div w:id="1227640791">
      <w:bodyDiv w:val="1"/>
      <w:marLeft w:val="0"/>
      <w:marRight w:val="0"/>
      <w:marTop w:val="0"/>
      <w:marBottom w:val="0"/>
      <w:divBdr>
        <w:top w:val="none" w:sz="0" w:space="0" w:color="auto"/>
        <w:left w:val="none" w:sz="0" w:space="0" w:color="auto"/>
        <w:bottom w:val="none" w:sz="0" w:space="0" w:color="auto"/>
        <w:right w:val="none" w:sz="0" w:space="0" w:color="auto"/>
      </w:divBdr>
    </w:div>
    <w:div w:id="1262840699">
      <w:bodyDiv w:val="1"/>
      <w:marLeft w:val="0"/>
      <w:marRight w:val="0"/>
      <w:marTop w:val="0"/>
      <w:marBottom w:val="0"/>
      <w:divBdr>
        <w:top w:val="none" w:sz="0" w:space="0" w:color="auto"/>
        <w:left w:val="none" w:sz="0" w:space="0" w:color="auto"/>
        <w:bottom w:val="none" w:sz="0" w:space="0" w:color="auto"/>
        <w:right w:val="none" w:sz="0" w:space="0" w:color="auto"/>
      </w:divBdr>
    </w:div>
    <w:div w:id="1381318491">
      <w:bodyDiv w:val="1"/>
      <w:marLeft w:val="0"/>
      <w:marRight w:val="0"/>
      <w:marTop w:val="0"/>
      <w:marBottom w:val="0"/>
      <w:divBdr>
        <w:top w:val="none" w:sz="0" w:space="0" w:color="auto"/>
        <w:left w:val="none" w:sz="0" w:space="0" w:color="auto"/>
        <w:bottom w:val="none" w:sz="0" w:space="0" w:color="auto"/>
        <w:right w:val="none" w:sz="0" w:space="0" w:color="auto"/>
      </w:divBdr>
      <w:divsChild>
        <w:div w:id="1121076591">
          <w:marLeft w:val="0"/>
          <w:marRight w:val="0"/>
          <w:marTop w:val="0"/>
          <w:marBottom w:val="0"/>
          <w:divBdr>
            <w:top w:val="none" w:sz="0" w:space="0" w:color="auto"/>
            <w:left w:val="none" w:sz="0" w:space="0" w:color="auto"/>
            <w:bottom w:val="none" w:sz="0" w:space="0" w:color="auto"/>
            <w:right w:val="none" w:sz="0" w:space="0" w:color="auto"/>
          </w:divBdr>
        </w:div>
      </w:divsChild>
    </w:div>
    <w:div w:id="1714311174">
      <w:bodyDiv w:val="1"/>
      <w:marLeft w:val="0"/>
      <w:marRight w:val="0"/>
      <w:marTop w:val="0"/>
      <w:marBottom w:val="0"/>
      <w:divBdr>
        <w:top w:val="none" w:sz="0" w:space="0" w:color="auto"/>
        <w:left w:val="none" w:sz="0" w:space="0" w:color="auto"/>
        <w:bottom w:val="none" w:sz="0" w:space="0" w:color="auto"/>
        <w:right w:val="none" w:sz="0" w:space="0" w:color="auto"/>
      </w:divBdr>
      <w:divsChild>
        <w:div w:id="953751890">
          <w:marLeft w:val="0"/>
          <w:marRight w:val="0"/>
          <w:marTop w:val="0"/>
          <w:marBottom w:val="0"/>
          <w:divBdr>
            <w:top w:val="none" w:sz="0" w:space="0" w:color="auto"/>
            <w:left w:val="none" w:sz="0" w:space="0" w:color="auto"/>
            <w:bottom w:val="none" w:sz="0" w:space="0" w:color="auto"/>
            <w:right w:val="none" w:sz="0" w:space="0" w:color="auto"/>
          </w:divBdr>
        </w:div>
      </w:divsChild>
    </w:div>
    <w:div w:id="1738092395">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sChild>
        <w:div w:id="478687925">
          <w:marLeft w:val="446"/>
          <w:marRight w:val="0"/>
          <w:marTop w:val="0"/>
          <w:marBottom w:val="0"/>
          <w:divBdr>
            <w:top w:val="none" w:sz="0" w:space="0" w:color="auto"/>
            <w:left w:val="none" w:sz="0" w:space="0" w:color="auto"/>
            <w:bottom w:val="none" w:sz="0" w:space="0" w:color="auto"/>
            <w:right w:val="none" w:sz="0" w:space="0" w:color="auto"/>
          </w:divBdr>
        </w:div>
        <w:div w:id="977229108">
          <w:marLeft w:val="1166"/>
          <w:marRight w:val="0"/>
          <w:marTop w:val="0"/>
          <w:marBottom w:val="0"/>
          <w:divBdr>
            <w:top w:val="none" w:sz="0" w:space="0" w:color="auto"/>
            <w:left w:val="none" w:sz="0" w:space="0" w:color="auto"/>
            <w:bottom w:val="none" w:sz="0" w:space="0" w:color="auto"/>
            <w:right w:val="none" w:sz="0" w:space="0" w:color="auto"/>
          </w:divBdr>
        </w:div>
        <w:div w:id="1389499706">
          <w:marLeft w:val="1166"/>
          <w:marRight w:val="0"/>
          <w:marTop w:val="0"/>
          <w:marBottom w:val="0"/>
          <w:divBdr>
            <w:top w:val="none" w:sz="0" w:space="0" w:color="auto"/>
            <w:left w:val="none" w:sz="0" w:space="0" w:color="auto"/>
            <w:bottom w:val="none" w:sz="0" w:space="0" w:color="auto"/>
            <w:right w:val="none" w:sz="0" w:space="0" w:color="auto"/>
          </w:divBdr>
        </w:div>
        <w:div w:id="28141962">
          <w:marLeft w:val="1166"/>
          <w:marRight w:val="0"/>
          <w:marTop w:val="0"/>
          <w:marBottom w:val="0"/>
          <w:divBdr>
            <w:top w:val="none" w:sz="0" w:space="0" w:color="auto"/>
            <w:left w:val="none" w:sz="0" w:space="0" w:color="auto"/>
            <w:bottom w:val="none" w:sz="0" w:space="0" w:color="auto"/>
            <w:right w:val="none" w:sz="0" w:space="0" w:color="auto"/>
          </w:divBdr>
        </w:div>
      </w:divsChild>
    </w:div>
    <w:div w:id="1802845927">
      <w:bodyDiv w:val="1"/>
      <w:marLeft w:val="0"/>
      <w:marRight w:val="0"/>
      <w:marTop w:val="0"/>
      <w:marBottom w:val="0"/>
      <w:divBdr>
        <w:top w:val="none" w:sz="0" w:space="0" w:color="auto"/>
        <w:left w:val="none" w:sz="0" w:space="0" w:color="auto"/>
        <w:bottom w:val="none" w:sz="0" w:space="0" w:color="auto"/>
        <w:right w:val="none" w:sz="0" w:space="0" w:color="auto"/>
      </w:divBdr>
    </w:div>
    <w:div w:id="1842045905">
      <w:bodyDiv w:val="1"/>
      <w:marLeft w:val="0"/>
      <w:marRight w:val="0"/>
      <w:marTop w:val="0"/>
      <w:marBottom w:val="0"/>
      <w:divBdr>
        <w:top w:val="none" w:sz="0" w:space="0" w:color="auto"/>
        <w:left w:val="none" w:sz="0" w:space="0" w:color="auto"/>
        <w:bottom w:val="none" w:sz="0" w:space="0" w:color="auto"/>
        <w:right w:val="none" w:sz="0" w:space="0" w:color="auto"/>
      </w:divBdr>
    </w:div>
    <w:div w:id="1917401706">
      <w:bodyDiv w:val="1"/>
      <w:marLeft w:val="0"/>
      <w:marRight w:val="0"/>
      <w:marTop w:val="0"/>
      <w:marBottom w:val="0"/>
      <w:divBdr>
        <w:top w:val="none" w:sz="0" w:space="0" w:color="auto"/>
        <w:left w:val="none" w:sz="0" w:space="0" w:color="auto"/>
        <w:bottom w:val="none" w:sz="0" w:space="0" w:color="auto"/>
        <w:right w:val="none" w:sz="0" w:space="0" w:color="auto"/>
      </w:divBdr>
      <w:divsChild>
        <w:div w:id="989944969">
          <w:marLeft w:val="1253"/>
          <w:marRight w:val="0"/>
          <w:marTop w:val="0"/>
          <w:marBottom w:val="0"/>
          <w:divBdr>
            <w:top w:val="none" w:sz="0" w:space="0" w:color="auto"/>
            <w:left w:val="none" w:sz="0" w:space="0" w:color="auto"/>
            <w:bottom w:val="none" w:sz="0" w:space="0" w:color="auto"/>
            <w:right w:val="none" w:sz="0" w:space="0" w:color="auto"/>
          </w:divBdr>
        </w:div>
        <w:div w:id="484049587">
          <w:marLeft w:val="1253"/>
          <w:marRight w:val="0"/>
          <w:marTop w:val="0"/>
          <w:marBottom w:val="0"/>
          <w:divBdr>
            <w:top w:val="none" w:sz="0" w:space="0" w:color="auto"/>
            <w:left w:val="none" w:sz="0" w:space="0" w:color="auto"/>
            <w:bottom w:val="none" w:sz="0" w:space="0" w:color="auto"/>
            <w:right w:val="none" w:sz="0" w:space="0" w:color="auto"/>
          </w:divBdr>
        </w:div>
        <w:div w:id="1646743051">
          <w:marLeft w:val="1253"/>
          <w:marRight w:val="0"/>
          <w:marTop w:val="0"/>
          <w:marBottom w:val="0"/>
          <w:divBdr>
            <w:top w:val="none" w:sz="0" w:space="0" w:color="auto"/>
            <w:left w:val="none" w:sz="0" w:space="0" w:color="auto"/>
            <w:bottom w:val="none" w:sz="0" w:space="0" w:color="auto"/>
            <w:right w:val="none" w:sz="0" w:space="0" w:color="auto"/>
          </w:divBdr>
        </w:div>
        <w:div w:id="87435702">
          <w:marLeft w:val="1253"/>
          <w:marRight w:val="0"/>
          <w:marTop w:val="0"/>
          <w:marBottom w:val="0"/>
          <w:divBdr>
            <w:top w:val="none" w:sz="0" w:space="0" w:color="auto"/>
            <w:left w:val="none" w:sz="0" w:space="0" w:color="auto"/>
            <w:bottom w:val="none" w:sz="0" w:space="0" w:color="auto"/>
            <w:right w:val="none" w:sz="0" w:space="0" w:color="auto"/>
          </w:divBdr>
        </w:div>
        <w:div w:id="1513687344">
          <w:marLeft w:val="1253"/>
          <w:marRight w:val="0"/>
          <w:marTop w:val="0"/>
          <w:marBottom w:val="0"/>
          <w:divBdr>
            <w:top w:val="none" w:sz="0" w:space="0" w:color="auto"/>
            <w:left w:val="none" w:sz="0" w:space="0" w:color="auto"/>
            <w:bottom w:val="none" w:sz="0" w:space="0" w:color="auto"/>
            <w:right w:val="none" w:sz="0" w:space="0" w:color="auto"/>
          </w:divBdr>
        </w:div>
        <w:div w:id="1187716441">
          <w:marLeft w:val="1253"/>
          <w:marRight w:val="0"/>
          <w:marTop w:val="0"/>
          <w:marBottom w:val="0"/>
          <w:divBdr>
            <w:top w:val="none" w:sz="0" w:space="0" w:color="auto"/>
            <w:left w:val="none" w:sz="0" w:space="0" w:color="auto"/>
            <w:bottom w:val="none" w:sz="0" w:space="0" w:color="auto"/>
            <w:right w:val="none" w:sz="0" w:space="0" w:color="auto"/>
          </w:divBdr>
        </w:div>
      </w:divsChild>
    </w:div>
    <w:div w:id="1980720000">
      <w:bodyDiv w:val="1"/>
      <w:marLeft w:val="0"/>
      <w:marRight w:val="0"/>
      <w:marTop w:val="0"/>
      <w:marBottom w:val="0"/>
      <w:divBdr>
        <w:top w:val="none" w:sz="0" w:space="0" w:color="auto"/>
        <w:left w:val="none" w:sz="0" w:space="0" w:color="auto"/>
        <w:bottom w:val="none" w:sz="0" w:space="0" w:color="auto"/>
        <w:right w:val="none" w:sz="0" w:space="0" w:color="auto"/>
      </w:divBdr>
    </w:div>
    <w:div w:id="2059357341">
      <w:bodyDiv w:val="1"/>
      <w:marLeft w:val="0"/>
      <w:marRight w:val="0"/>
      <w:marTop w:val="0"/>
      <w:marBottom w:val="0"/>
      <w:divBdr>
        <w:top w:val="none" w:sz="0" w:space="0" w:color="auto"/>
        <w:left w:val="none" w:sz="0" w:space="0" w:color="auto"/>
        <w:bottom w:val="none" w:sz="0" w:space="0" w:color="auto"/>
        <w:right w:val="none" w:sz="0" w:space="0" w:color="auto"/>
      </w:divBdr>
    </w:div>
    <w:div w:id="209643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providers/working-provider/school-leaver-employment-supports" TargetMode="External"/><Relationship Id="rId18" Type="http://schemas.openxmlformats.org/officeDocument/2006/relationships/hyperlink" Target="https://doi.org/10.1177/0022466916641381" TargetMode="External"/><Relationship Id="rId26" Type="http://schemas.openxmlformats.org/officeDocument/2006/relationships/hyperlink" Target="https://doi.org/10.1111/jar.12207" TargetMode="External"/><Relationship Id="rId39" Type="http://schemas.openxmlformats.org/officeDocument/2006/relationships/hyperlink" Target="https://doi.org/10.1177/2165143413486693" TargetMode="External"/><Relationship Id="rId21" Type="http://schemas.openxmlformats.org/officeDocument/2006/relationships/hyperlink" Target="https://doi.org/10.1177/0885728811399091" TargetMode="External"/><Relationship Id="rId34" Type="http://schemas.openxmlformats.org/officeDocument/2006/relationships/hyperlink" Target="https://data.ndis.gov.au/reports-and-analyses/participant-groups/people-intellectual-disability-ndis" TargetMode="External"/><Relationship Id="rId42" Type="http://schemas.openxmlformats.org/officeDocument/2006/relationships/hyperlink" Target="https://doi.org/10.1177/1744629518769421" TargetMode="External"/><Relationship Id="rId47" Type="http://schemas.openxmlformats.org/officeDocument/2006/relationships/hyperlink" Target="https://tickettowork.org.au/resource/170/" TargetMode="External"/><Relationship Id="rId50" Type="http://schemas.openxmlformats.org/officeDocument/2006/relationships/hyperlink" Target="https://doi.org/10.1177/15407969187777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ickettowork.org.au/media/submissions_researches_buttons/Ticket_to_Work_Post_School_Outcomes_final_2019.pdf" TargetMode="External"/><Relationship Id="rId29" Type="http://schemas.openxmlformats.org/officeDocument/2006/relationships/hyperlink" Target="https://doi.org/10.1177/2165143414522092" TargetMode="External"/><Relationship Id="rId11" Type="http://schemas.openxmlformats.org/officeDocument/2006/relationships/hyperlink" Target="https://www.ndis.gov.au/providers/working-provider/school-leaver-employment-supports" TargetMode="External"/><Relationship Id="rId24" Type="http://schemas.openxmlformats.org/officeDocument/2006/relationships/hyperlink" Target="https://doi.org/10.3233/JVR-180928" TargetMode="External"/><Relationship Id="rId32" Type="http://schemas.openxmlformats.org/officeDocument/2006/relationships/hyperlink" Target="https://doi.org/10.1177/1744629514564448" TargetMode="External"/><Relationship Id="rId37" Type="http://schemas.openxmlformats.org/officeDocument/2006/relationships/hyperlink" Target="https://www.ndis.gov.au/participants/finding-keeping-and-changing-jobs/leaving-school" TargetMode="External"/><Relationship Id="rId40" Type="http://schemas.openxmlformats.org/officeDocument/2006/relationships/hyperlink" Target="https://doi.org/10.1177/2165143416665574" TargetMode="External"/><Relationship Id="rId45" Type="http://schemas.openxmlformats.org/officeDocument/2006/relationships/hyperlink" Target="https://doi.org/10.1177/1044207318792178"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891/0047-2220.47.2.10" TargetMode="External"/><Relationship Id="rId31" Type="http://schemas.openxmlformats.org/officeDocument/2006/relationships/hyperlink" Target="https://doi.org/10.3233/JVR-170910" TargetMode="External"/><Relationship Id="rId44" Type="http://schemas.openxmlformats.org/officeDocument/2006/relationships/hyperlink" Target="https://tickettowork.org.au/media/uploads/2020/03/02/empserviceusers.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11/j.1750-8606.2007.00016.x" TargetMode="External"/><Relationship Id="rId22" Type="http://schemas.openxmlformats.org/officeDocument/2006/relationships/hyperlink" Target="https://doi.org/10.3102/0034654315583135" TargetMode="External"/><Relationship Id="rId27" Type="http://schemas.openxmlformats.org/officeDocument/2006/relationships/hyperlink" Target="https://www.cde.state.co.us/cdesped/transitnprogtxnmy" TargetMode="External"/><Relationship Id="rId30" Type="http://schemas.openxmlformats.org/officeDocument/2006/relationships/hyperlink" Target="https://tickettowork.org.au/media/download_resources/pdf/Collaboration-the-key-to-unlocking-a-successful-future-for.pdf" TargetMode="External"/><Relationship Id="rId35" Type="http://schemas.openxmlformats.org/officeDocument/2006/relationships/hyperlink" Target="https://data.ndis.gov.au/reports-and-analyses/outcomes-and-goals/employment-outcomes-participants-their-families-and-carers" TargetMode="External"/><Relationship Id="rId43" Type="http://schemas.openxmlformats.org/officeDocument/2006/relationships/hyperlink" Target="https://doi.org/10.1007/s10803-015-2426-5" TargetMode="External"/><Relationship Id="rId48" Type="http://schemas.openxmlformats.org/officeDocument/2006/relationships/hyperlink" Target="https://doi.org/10.3233/JVR-2012-0607" TargetMode="External"/><Relationship Id="rId8" Type="http://schemas.openxmlformats.org/officeDocument/2006/relationships/webSettings" Target="webSettings.xml"/><Relationship Id="rId51" Type="http://schemas.openxmlformats.org/officeDocument/2006/relationships/hyperlink" Target="https://doi.org/10.1177/2165143417750092" TargetMode="External"/><Relationship Id="rId3" Type="http://schemas.openxmlformats.org/officeDocument/2006/relationships/customXml" Target="../customXml/item3.xml"/><Relationship Id="rId12" Type="http://schemas.openxmlformats.org/officeDocument/2006/relationships/hyperlink" Target="https://www.ndis.gov.au/providers/working-provider/school-leaver-employment-supports" TargetMode="External"/><Relationship Id="rId17" Type="http://schemas.openxmlformats.org/officeDocument/2006/relationships/hyperlink" Target="https://doi.org/10.1177/019874290503000401" TargetMode="External"/><Relationship Id="rId25" Type="http://schemas.openxmlformats.org/officeDocument/2006/relationships/hyperlink" Target="https://doi.org/10.1080/14719037.2012.698855" TargetMode="External"/><Relationship Id="rId33" Type="http://schemas.openxmlformats.org/officeDocument/2006/relationships/hyperlink" Target="https://data.ndis.gov.au/reports-and-analyses/participant-groups/people-intellectual-disability-ndis" TargetMode="External"/><Relationship Id="rId38" Type="http://schemas.openxmlformats.org/officeDocument/2006/relationships/hyperlink" Target="https://doi.org/10.1163/9789004394551" TargetMode="External"/><Relationship Id="rId46" Type="http://schemas.openxmlformats.org/officeDocument/2006/relationships/hyperlink" Target="https://thinkcollege.net/sites/default/files/files/TCreport_Accreditation-full_2021.pdf" TargetMode="External"/><Relationship Id="rId20" Type="http://schemas.openxmlformats.org/officeDocument/2006/relationships/hyperlink" Target="https://doi.org/10.1007/s41252-018-0080-6" TargetMode="External"/><Relationship Id="rId41" Type="http://schemas.openxmlformats.org/officeDocument/2006/relationships/hyperlink" Target="https://doi.org/10.3233/JVR-15076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ickettowork.org.au/media/research_submissions_files/Ticket-to-work-outcome-report-ARTD-final.pdf" TargetMode="External"/><Relationship Id="rId23" Type="http://schemas.openxmlformats.org/officeDocument/2006/relationships/hyperlink" Target="https://doi.org/10.1177/1088357611430841" TargetMode="External"/><Relationship Id="rId28" Type="http://schemas.openxmlformats.org/officeDocument/2006/relationships/hyperlink" Target="https://doi.org/https://doi.org/10.1007/978-94-6351-134-6_11" TargetMode="External"/><Relationship Id="rId36" Type="http://schemas.openxmlformats.org/officeDocument/2006/relationships/hyperlink" Target="https://www.ndis.gov.au/providers/working-provider/school-leaver-employment-supports" TargetMode="External"/><Relationship Id="rId49" Type="http://schemas.openxmlformats.org/officeDocument/2006/relationships/hyperlink" Target="https://doi.org/10.1352/1934-9556-52.4.29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28120\Desktop\CSI%20Template_20191018.dotx" TargetMode="External"/></Relationships>
</file>

<file path=word/theme/theme1.xml><?xml version="1.0" encoding="utf-8"?>
<a:theme xmlns:a="http://schemas.openxmlformats.org/drawingml/2006/main" name="Office Theme">
  <a:themeElements>
    <a:clrScheme name="CSI v2">
      <a:dk1>
        <a:srgbClr val="414042"/>
      </a:dk1>
      <a:lt1>
        <a:srgbClr val="FFFFFF"/>
      </a:lt1>
      <a:dk2>
        <a:srgbClr val="FCF277"/>
      </a:dk2>
      <a:lt2>
        <a:srgbClr val="EF4050"/>
      </a:lt2>
      <a:accent1>
        <a:srgbClr val="FF6A40"/>
      </a:accent1>
      <a:accent2>
        <a:srgbClr val="F13CA7"/>
      </a:accent2>
      <a:accent3>
        <a:srgbClr val="79427C"/>
      </a:accent3>
      <a:accent4>
        <a:srgbClr val="25408F"/>
      </a:accent4>
      <a:accent5>
        <a:srgbClr val="80D5BC"/>
      </a:accent5>
      <a:accent6>
        <a:srgbClr val="62AC57"/>
      </a:accent6>
      <a:hlink>
        <a:srgbClr val="25408F"/>
      </a:hlink>
      <a:folHlink>
        <a:srgbClr val="7943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28441457815B4784C7AF49121AF3B0" ma:contentTypeVersion="16" ma:contentTypeDescription="Create a new document." ma:contentTypeScope="" ma:versionID="02761437564e089f9c5fa73171279390">
  <xsd:schema xmlns:xsd="http://www.w3.org/2001/XMLSchema" xmlns:xs="http://www.w3.org/2001/XMLSchema" xmlns:p="http://schemas.microsoft.com/office/2006/metadata/properties" xmlns:ns2="6696bc79-a29a-4e88-8d1d-e07845a5273f" xmlns:ns3="42bb5c4d-0532-4743-8157-8065115a43dd" targetNamespace="http://schemas.microsoft.com/office/2006/metadata/properties" ma:root="true" ma:fieldsID="7e57462d58a3593b3b8aa4be41015e37" ns2:_="" ns3:_="">
    <xsd:import namespace="6696bc79-a29a-4e88-8d1d-e07845a5273f"/>
    <xsd:import namespace="42bb5c4d-0532-4743-8157-8065115a4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6bc79-a29a-4e88-8d1d-e07845a52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bb5c4d-0532-4743-8157-8065115a43d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6b30017-1b1a-4ae7-a3db-d6b88d75b373}" ma:internalName="TaxCatchAll" ma:showField="CatchAllData" ma:web="42bb5c4d-0532-4743-8157-8065115a43d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96bc79-a29a-4e88-8d1d-e07845a5273f">
      <Terms xmlns="http://schemas.microsoft.com/office/infopath/2007/PartnerControls"/>
    </lcf76f155ced4ddcb4097134ff3c332f>
    <TaxCatchAll xmlns="42bb5c4d-0532-4743-8157-8065115a43d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4BA00-0C0D-4BCE-8436-87CA5CAAFE07}">
  <ds:schemaRefs>
    <ds:schemaRef ds:uri="http://schemas.microsoft.com/sharepoint/v3/contenttype/forms"/>
  </ds:schemaRefs>
</ds:datastoreItem>
</file>

<file path=customXml/itemProps2.xml><?xml version="1.0" encoding="utf-8"?>
<ds:datastoreItem xmlns:ds="http://schemas.openxmlformats.org/officeDocument/2006/customXml" ds:itemID="{2F72A0C2-B415-4FA7-A11B-5237C10C2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6bc79-a29a-4e88-8d1d-e07845a5273f"/>
    <ds:schemaRef ds:uri="42bb5c4d-0532-4743-8157-8065115a4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8A7374-4BCF-46FB-9FFD-3E58D904C0DF}">
  <ds:schemaRefs>
    <ds:schemaRef ds:uri="http://schemas.microsoft.com/office/2006/metadata/properties"/>
    <ds:schemaRef ds:uri="http://schemas.microsoft.com/office/infopath/2007/PartnerControls"/>
    <ds:schemaRef ds:uri="6696bc79-a29a-4e88-8d1d-e07845a5273f"/>
    <ds:schemaRef ds:uri="42bb5c4d-0532-4743-8157-8065115a43dd"/>
  </ds:schemaRefs>
</ds:datastoreItem>
</file>

<file path=customXml/itemProps4.xml><?xml version="1.0" encoding="utf-8"?>
<ds:datastoreItem xmlns:ds="http://schemas.openxmlformats.org/officeDocument/2006/customXml" ds:itemID="{4F9FBB16-3FA9-4927-AC6D-30FE551F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 Template_20191018.dotx</Template>
  <TotalTime>3</TotalTime>
  <Pages>16</Pages>
  <Words>7210</Words>
  <Characters>41102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48216</CharactersWithSpaces>
  <SharedDoc>false</SharedDoc>
  <HLinks>
    <vt:vector size="102" baseType="variant">
      <vt:variant>
        <vt:i4>3014701</vt:i4>
      </vt:variant>
      <vt:variant>
        <vt:i4>87</vt:i4>
      </vt:variant>
      <vt:variant>
        <vt:i4>0</vt:i4>
      </vt:variant>
      <vt:variant>
        <vt:i4>5</vt:i4>
      </vt:variant>
      <vt:variant>
        <vt:lpwstr>http://australiancharities.acnc.gov.au/wp-content/uploads/2018/05/ACNC-change-over-time-FINAL-20180509.pdf</vt:lpwstr>
      </vt:variant>
      <vt:variant>
        <vt:lpwstr/>
      </vt:variant>
      <vt:variant>
        <vt:i4>8257644</vt:i4>
      </vt:variant>
      <vt:variant>
        <vt:i4>84</vt:i4>
      </vt:variant>
      <vt:variant>
        <vt:i4>0</vt:i4>
      </vt:variant>
      <vt:variant>
        <vt:i4>5</vt:i4>
      </vt:variant>
      <vt:variant>
        <vt:lpwstr>https://www.sprc.unsw.edu.au/media/SPRCFile/2012_10_HASI_final_6_Sept_2012.pdf</vt:lpwstr>
      </vt:variant>
      <vt:variant>
        <vt:lpwstr/>
      </vt:variant>
      <vt:variant>
        <vt:i4>3473446</vt:i4>
      </vt:variant>
      <vt:variant>
        <vt:i4>81</vt:i4>
      </vt:variant>
      <vt:variant>
        <vt:i4>0</vt:i4>
      </vt:variant>
      <vt:variant>
        <vt:i4>5</vt:i4>
      </vt:variant>
      <vt:variant>
        <vt:lpwstr>http://www.csi.edu.au/media/uploads/CSI_The_Compass.pdf</vt:lpwstr>
      </vt:variant>
      <vt:variant>
        <vt:lpwstr/>
      </vt:variant>
      <vt:variant>
        <vt:i4>2883587</vt:i4>
      </vt:variant>
      <vt:variant>
        <vt:i4>74</vt:i4>
      </vt:variant>
      <vt:variant>
        <vt:i4>0</vt:i4>
      </vt:variant>
      <vt:variant>
        <vt:i4>5</vt:i4>
      </vt:variant>
      <vt:variant>
        <vt:lpwstr/>
      </vt:variant>
      <vt:variant>
        <vt:lpwstr>_Toc6408576</vt:lpwstr>
      </vt:variant>
      <vt:variant>
        <vt:i4>2883587</vt:i4>
      </vt:variant>
      <vt:variant>
        <vt:i4>68</vt:i4>
      </vt:variant>
      <vt:variant>
        <vt:i4>0</vt:i4>
      </vt:variant>
      <vt:variant>
        <vt:i4>5</vt:i4>
      </vt:variant>
      <vt:variant>
        <vt:lpwstr/>
      </vt:variant>
      <vt:variant>
        <vt:lpwstr>_Toc6408574</vt:lpwstr>
      </vt:variant>
      <vt:variant>
        <vt:i4>2949123</vt:i4>
      </vt:variant>
      <vt:variant>
        <vt:i4>62</vt:i4>
      </vt:variant>
      <vt:variant>
        <vt:i4>0</vt:i4>
      </vt:variant>
      <vt:variant>
        <vt:i4>5</vt:i4>
      </vt:variant>
      <vt:variant>
        <vt:lpwstr/>
      </vt:variant>
      <vt:variant>
        <vt:lpwstr>_Toc6408567</vt:lpwstr>
      </vt:variant>
      <vt:variant>
        <vt:i4>2949123</vt:i4>
      </vt:variant>
      <vt:variant>
        <vt:i4>56</vt:i4>
      </vt:variant>
      <vt:variant>
        <vt:i4>0</vt:i4>
      </vt:variant>
      <vt:variant>
        <vt:i4>5</vt:i4>
      </vt:variant>
      <vt:variant>
        <vt:lpwstr/>
      </vt:variant>
      <vt:variant>
        <vt:lpwstr>_Toc6408566</vt:lpwstr>
      </vt:variant>
      <vt:variant>
        <vt:i4>2949123</vt:i4>
      </vt:variant>
      <vt:variant>
        <vt:i4>50</vt:i4>
      </vt:variant>
      <vt:variant>
        <vt:i4>0</vt:i4>
      </vt:variant>
      <vt:variant>
        <vt:i4>5</vt:i4>
      </vt:variant>
      <vt:variant>
        <vt:lpwstr/>
      </vt:variant>
      <vt:variant>
        <vt:lpwstr>_Toc6408565</vt:lpwstr>
      </vt:variant>
      <vt:variant>
        <vt:i4>2949123</vt:i4>
      </vt:variant>
      <vt:variant>
        <vt:i4>44</vt:i4>
      </vt:variant>
      <vt:variant>
        <vt:i4>0</vt:i4>
      </vt:variant>
      <vt:variant>
        <vt:i4>5</vt:i4>
      </vt:variant>
      <vt:variant>
        <vt:lpwstr/>
      </vt:variant>
      <vt:variant>
        <vt:lpwstr>_Toc6408564</vt:lpwstr>
      </vt:variant>
      <vt:variant>
        <vt:i4>2949123</vt:i4>
      </vt:variant>
      <vt:variant>
        <vt:i4>38</vt:i4>
      </vt:variant>
      <vt:variant>
        <vt:i4>0</vt:i4>
      </vt:variant>
      <vt:variant>
        <vt:i4>5</vt:i4>
      </vt:variant>
      <vt:variant>
        <vt:lpwstr/>
      </vt:variant>
      <vt:variant>
        <vt:lpwstr>_Toc6408563</vt:lpwstr>
      </vt:variant>
      <vt:variant>
        <vt:i4>2949123</vt:i4>
      </vt:variant>
      <vt:variant>
        <vt:i4>32</vt:i4>
      </vt:variant>
      <vt:variant>
        <vt:i4>0</vt:i4>
      </vt:variant>
      <vt:variant>
        <vt:i4>5</vt:i4>
      </vt:variant>
      <vt:variant>
        <vt:lpwstr/>
      </vt:variant>
      <vt:variant>
        <vt:lpwstr>_Toc6408562</vt:lpwstr>
      </vt:variant>
      <vt:variant>
        <vt:i4>2949123</vt:i4>
      </vt:variant>
      <vt:variant>
        <vt:i4>26</vt:i4>
      </vt:variant>
      <vt:variant>
        <vt:i4>0</vt:i4>
      </vt:variant>
      <vt:variant>
        <vt:i4>5</vt:i4>
      </vt:variant>
      <vt:variant>
        <vt:lpwstr/>
      </vt:variant>
      <vt:variant>
        <vt:lpwstr>_Toc6408561</vt:lpwstr>
      </vt:variant>
      <vt:variant>
        <vt:i4>2949123</vt:i4>
      </vt:variant>
      <vt:variant>
        <vt:i4>20</vt:i4>
      </vt:variant>
      <vt:variant>
        <vt:i4>0</vt:i4>
      </vt:variant>
      <vt:variant>
        <vt:i4>5</vt:i4>
      </vt:variant>
      <vt:variant>
        <vt:lpwstr/>
      </vt:variant>
      <vt:variant>
        <vt:lpwstr>_Toc6408560</vt:lpwstr>
      </vt:variant>
      <vt:variant>
        <vt:i4>3014659</vt:i4>
      </vt:variant>
      <vt:variant>
        <vt:i4>14</vt:i4>
      </vt:variant>
      <vt:variant>
        <vt:i4>0</vt:i4>
      </vt:variant>
      <vt:variant>
        <vt:i4>5</vt:i4>
      </vt:variant>
      <vt:variant>
        <vt:lpwstr/>
      </vt:variant>
      <vt:variant>
        <vt:lpwstr>_Toc6408559</vt:lpwstr>
      </vt:variant>
      <vt:variant>
        <vt:i4>3014659</vt:i4>
      </vt:variant>
      <vt:variant>
        <vt:i4>8</vt:i4>
      </vt:variant>
      <vt:variant>
        <vt:i4>0</vt:i4>
      </vt:variant>
      <vt:variant>
        <vt:i4>5</vt:i4>
      </vt:variant>
      <vt:variant>
        <vt:lpwstr/>
      </vt:variant>
      <vt:variant>
        <vt:lpwstr>_Toc6408558</vt:lpwstr>
      </vt:variant>
      <vt:variant>
        <vt:i4>5832801</vt:i4>
      </vt:variant>
      <vt:variant>
        <vt:i4>3</vt:i4>
      </vt:variant>
      <vt:variant>
        <vt:i4>0</vt:i4>
      </vt:variant>
      <vt:variant>
        <vt:i4>5</vt:i4>
      </vt:variant>
      <vt:variant>
        <vt:lpwstr>mailto:e.ahearn@unsw.edu.au</vt:lpwstr>
      </vt:variant>
      <vt:variant>
        <vt:lpwstr/>
      </vt:variant>
      <vt:variant>
        <vt:i4>2424833</vt:i4>
      </vt:variant>
      <vt:variant>
        <vt:i4>0</vt:i4>
      </vt:variant>
      <vt:variant>
        <vt:i4>0</vt:i4>
      </vt:variant>
      <vt:variant>
        <vt:i4>5</vt:i4>
      </vt:variant>
      <vt:variant>
        <vt:lpwstr>mailto:k.muir@unsw.edu.au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Buena</dc:creator>
  <cp:lastModifiedBy>Erin Wilson</cp:lastModifiedBy>
  <cp:revision>3</cp:revision>
  <cp:lastPrinted>2022-11-20T02:40:00Z</cp:lastPrinted>
  <dcterms:created xsi:type="dcterms:W3CDTF">2023-02-27T02:57:00Z</dcterms:created>
  <dcterms:modified xsi:type="dcterms:W3CDTF">2023-03-20T02:23:00Z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Adobe InDesign CC 14.0 (Macintosh)</vt:lpwstr>
  </property>
  <property fmtid="{D5CDD505-2E9C-101B-9397-08002B2CF9AE}" pid="4" name="LastSaved">
    <vt:filetime>2019-01-17T00:00:00Z</vt:filetime>
  </property>
  <property fmtid="{D5CDD505-2E9C-101B-9397-08002B2CF9AE}" pid="5" name="ContentTypeId">
    <vt:lpwstr>0x0101000328441457815B4784C7AF49121AF3B0</vt:lpwstr>
  </property>
  <property fmtid="{D5CDD505-2E9C-101B-9397-08002B2CF9AE}" pid="6" name="AuthorIds_UIVersion_5632">
    <vt:lpwstr>601</vt:lpwstr>
  </property>
  <property fmtid="{D5CDD505-2E9C-101B-9397-08002B2CF9AE}" pid="7" name="_dlc_DocIdItemGuid">
    <vt:lpwstr>9c5f1bb1-4ac3-4e43-9c39-5edd10f79b7e</vt:lpwstr>
  </property>
</Properties>
</file>