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CE74E5" w14:textId="77777777" w:rsidR="003A5C4A" w:rsidRPr="00FB5E9B" w:rsidRDefault="003A5C4A" w:rsidP="00FB5E9B">
      <w:pPr>
        <w:pStyle w:val="Heading1"/>
        <w:pBdr>
          <w:bottom w:val="single" w:sz="4" w:space="1" w:color="auto"/>
        </w:pBdr>
        <w:spacing w:after="60"/>
        <w:rPr>
          <w:sz w:val="40"/>
          <w:szCs w:val="40"/>
        </w:rPr>
      </w:pPr>
      <w:r w:rsidRPr="00FB5E9B">
        <w:rPr>
          <w:sz w:val="40"/>
          <w:szCs w:val="40"/>
        </w:rPr>
        <w:t>Explaining the evidence for reform series</w:t>
      </w:r>
    </w:p>
    <w:p w14:paraId="0571A9F0" w14:textId="29572C19" w:rsidR="00386FAD" w:rsidRPr="0000648A" w:rsidRDefault="00386FAD" w:rsidP="00386FAD">
      <w:pPr>
        <w:pStyle w:val="Heading1"/>
        <w:rPr>
          <w:b w:val="0"/>
          <w:bCs/>
        </w:rPr>
      </w:pPr>
      <w:r w:rsidRPr="0000648A">
        <w:rPr>
          <w:b w:val="0"/>
          <w:bCs/>
        </w:rPr>
        <w:t xml:space="preserve">The </w:t>
      </w:r>
      <w:r w:rsidR="00BB6DBF" w:rsidRPr="0000648A">
        <w:rPr>
          <w:b w:val="0"/>
          <w:bCs/>
        </w:rPr>
        <w:t>ADE snapshot</w:t>
      </w:r>
    </w:p>
    <w:p w14:paraId="1F7DBA1A" w14:textId="77777777" w:rsidR="00FB5E9B" w:rsidRPr="00FB5E9B" w:rsidRDefault="00FB5E9B" w:rsidP="00FB5E9B"/>
    <w:p w14:paraId="53F57D69" w14:textId="6D383219" w:rsidR="00FB5E9B" w:rsidRDefault="00FB5E9B" w:rsidP="00FB5E9B">
      <w:pPr>
        <w:pStyle w:val="Subtitle"/>
        <w:rPr>
          <w:rFonts w:ascii="Arial Nova Cond Light" w:hAnsi="Arial Nova Cond Light"/>
        </w:rPr>
      </w:pPr>
      <w:r w:rsidRPr="00FB5E9B">
        <w:rPr>
          <w:rFonts w:ascii="Arial Nova Cond Light" w:hAnsi="Arial Nova Cond Light"/>
        </w:rPr>
        <w:t>Wilson, E.</w:t>
      </w:r>
      <w:r w:rsidR="0000648A">
        <w:rPr>
          <w:rFonts w:ascii="Arial Nova Cond Light" w:hAnsi="Arial Nova Cond Light"/>
        </w:rPr>
        <w:t>,</w:t>
      </w:r>
      <w:r w:rsidRPr="00FB5E9B">
        <w:rPr>
          <w:rFonts w:ascii="Arial Nova Cond Light" w:hAnsi="Arial Nova Cond Light"/>
        </w:rPr>
        <w:t xml:space="preserve"> Qian-Khoo, J.</w:t>
      </w:r>
      <w:r w:rsidR="0000648A">
        <w:rPr>
          <w:rFonts w:ascii="Arial Nova Cond Light" w:hAnsi="Arial Nova Cond Light"/>
        </w:rPr>
        <w:t>,</w:t>
      </w:r>
      <w:r w:rsidRPr="00FB5E9B">
        <w:rPr>
          <w:rFonts w:ascii="Arial Nova Cond Light" w:hAnsi="Arial Nova Cond Light"/>
        </w:rPr>
        <w:t xml:space="preserve"> </w:t>
      </w:r>
      <w:r w:rsidR="00BB6DBF">
        <w:rPr>
          <w:rFonts w:ascii="Arial Nova Cond Light" w:hAnsi="Arial Nova Cond Light"/>
        </w:rPr>
        <w:t>Cutroni, L.</w:t>
      </w:r>
      <w:r w:rsidR="0000648A">
        <w:rPr>
          <w:rFonts w:ascii="Arial Nova Cond Light" w:hAnsi="Arial Nova Cond Light"/>
        </w:rPr>
        <w:t>,</w:t>
      </w:r>
      <w:r w:rsidR="00BB6DBF">
        <w:rPr>
          <w:rFonts w:ascii="Arial Nova Cond Light" w:hAnsi="Arial Nova Cond Light"/>
        </w:rPr>
        <w:t xml:space="preserve"> </w:t>
      </w:r>
      <w:r w:rsidR="00BB6DBF" w:rsidRPr="00FB5E9B">
        <w:rPr>
          <w:rFonts w:ascii="Arial Nova Cond Light" w:hAnsi="Arial Nova Cond Light"/>
        </w:rPr>
        <w:t>Campbell, P.</w:t>
      </w:r>
      <w:r w:rsidR="0000648A">
        <w:rPr>
          <w:rFonts w:ascii="Arial Nova Cond Light" w:hAnsi="Arial Nova Cond Light"/>
        </w:rPr>
        <w:t>,</w:t>
      </w:r>
      <w:r w:rsidR="00C97209">
        <w:rPr>
          <w:rFonts w:ascii="Arial Nova Cond Light" w:hAnsi="Arial Nova Cond Light"/>
        </w:rPr>
        <w:t xml:space="preserve"> </w:t>
      </w:r>
      <w:r w:rsidRPr="00FB5E9B">
        <w:rPr>
          <w:rFonts w:ascii="Arial Nova Cond Light" w:hAnsi="Arial Nova Cond Light"/>
        </w:rPr>
        <w:t>Crosbie, J.</w:t>
      </w:r>
      <w:r w:rsidR="0000648A">
        <w:rPr>
          <w:rFonts w:ascii="Arial Nova Cond Light" w:hAnsi="Arial Nova Cond Light"/>
        </w:rPr>
        <w:t>,</w:t>
      </w:r>
      <w:r w:rsidRPr="00FB5E9B">
        <w:rPr>
          <w:rFonts w:ascii="Arial Nova Cond Light" w:hAnsi="Arial Nova Cond Light"/>
        </w:rPr>
        <w:t xml:space="preserve"> </w:t>
      </w:r>
      <w:r w:rsidR="00C97209">
        <w:rPr>
          <w:rFonts w:ascii="Arial Nova Cond Light" w:hAnsi="Arial Nova Cond Light"/>
        </w:rPr>
        <w:t xml:space="preserve">&amp; Kelly, J. </w:t>
      </w:r>
      <w:r w:rsidRPr="00FB5E9B">
        <w:rPr>
          <w:rFonts w:ascii="Arial Nova Cond Light" w:hAnsi="Arial Nova Cond Light"/>
        </w:rPr>
        <w:t>(2022).</w:t>
      </w:r>
      <w:r w:rsidR="0000648A">
        <w:rPr>
          <w:rFonts w:ascii="Arial Nova Cond Light" w:hAnsi="Arial Nova Cond Light"/>
        </w:rPr>
        <w:t xml:space="preserve"> </w:t>
      </w:r>
      <w:r w:rsidR="00EA4295">
        <w:rPr>
          <w:rFonts w:ascii="Arial Nova Cond Light" w:hAnsi="Arial Nova Cond Light"/>
        </w:rPr>
        <w:t xml:space="preserve">Paper 4: </w:t>
      </w:r>
      <w:r w:rsidR="00386FAD">
        <w:rPr>
          <w:rFonts w:ascii="Arial Nova Cond Light" w:hAnsi="Arial Nova Cond Light"/>
        </w:rPr>
        <w:t xml:space="preserve">The </w:t>
      </w:r>
      <w:r w:rsidR="00BB6DBF">
        <w:rPr>
          <w:rFonts w:ascii="Arial Nova Cond Light" w:hAnsi="Arial Nova Cond Light"/>
        </w:rPr>
        <w:t>ADE Snapshot</w:t>
      </w:r>
      <w:r w:rsidRPr="00FB5E9B">
        <w:rPr>
          <w:rFonts w:ascii="Arial Nova Cond Light" w:hAnsi="Arial Nova Cond Light"/>
        </w:rPr>
        <w:t xml:space="preserve">, </w:t>
      </w:r>
      <w:r w:rsidRPr="00386FAD">
        <w:rPr>
          <w:rFonts w:ascii="Arial Nova Cond Light" w:hAnsi="Arial Nova Cond Light"/>
          <w:i/>
          <w:iCs/>
        </w:rPr>
        <w:t>Explaining the Evidence for Reform Series</w:t>
      </w:r>
      <w:r w:rsidRPr="00FB5E9B">
        <w:rPr>
          <w:rFonts w:ascii="Arial Nova Cond Light" w:hAnsi="Arial Nova Cond Light"/>
        </w:rPr>
        <w:t>. Hawthorn: Centre for Social Impact.</w:t>
      </w:r>
      <w:r w:rsidR="00EA4295">
        <w:rPr>
          <w:rFonts w:ascii="Arial Nova Cond Light" w:hAnsi="Arial Nova Cond Light"/>
        </w:rPr>
        <w:t xml:space="preserve"> </w:t>
      </w:r>
      <w:r w:rsidR="00EA4295" w:rsidRPr="00EA4295">
        <w:t>DOI: 10.25916/w8qr-eg61</w:t>
      </w:r>
    </w:p>
    <w:p w14:paraId="1A327EE1" w14:textId="77777777" w:rsidR="00BB6DBF" w:rsidRPr="00BB6DBF" w:rsidRDefault="00BB6DBF" w:rsidP="00BB6DBF"/>
    <w:p w14:paraId="6DCFCB81" w14:textId="320D185F" w:rsidR="00BB6DBF" w:rsidRDefault="00BB6DBF" w:rsidP="00BB6DBF">
      <w:pPr>
        <w:pStyle w:val="Heading2"/>
      </w:pPr>
      <w:r>
        <w:t>Headlines</w:t>
      </w:r>
    </w:p>
    <w:p w14:paraId="656C531B" w14:textId="278952D1" w:rsidR="00BB6DBF" w:rsidRDefault="00CC124B" w:rsidP="00226424">
      <w:pPr>
        <w:pStyle w:val="dotpoints"/>
      </w:pPr>
      <w:r>
        <w:t>ADEs create employment for approximately 16,000 people with disability in Australia</w:t>
      </w:r>
      <w:r w:rsidR="00E92148">
        <w:t>.</w:t>
      </w:r>
    </w:p>
    <w:p w14:paraId="27799EA3" w14:textId="5A3AF3AA" w:rsidR="00CC124B" w:rsidRDefault="00CC124B" w:rsidP="00226424">
      <w:pPr>
        <w:pStyle w:val="dotpoints"/>
      </w:pPr>
      <w:r>
        <w:t>They have been the main employment setting for people requiring significant supports and customisation in employment</w:t>
      </w:r>
      <w:r w:rsidR="00E92148">
        <w:t>.</w:t>
      </w:r>
    </w:p>
    <w:p w14:paraId="0555219A" w14:textId="698ED4DF" w:rsidR="00E92148" w:rsidRDefault="00E92148" w:rsidP="00226424">
      <w:pPr>
        <w:pStyle w:val="dotpoints"/>
      </w:pPr>
      <w:r>
        <w:t xml:space="preserve">Pro rata wages have been an area of </w:t>
      </w:r>
      <w:proofErr w:type="gramStart"/>
      <w:r>
        <w:t>long standing</w:t>
      </w:r>
      <w:proofErr w:type="gramEnd"/>
      <w:r>
        <w:t xml:space="preserve"> critique and tension as these are seen as fundamental to the business model by the sector.</w:t>
      </w:r>
    </w:p>
    <w:p w14:paraId="4B99636D" w14:textId="0D8862C1" w:rsidR="00CA7FCB" w:rsidRDefault="00CA7FCB" w:rsidP="00226424">
      <w:pPr>
        <w:pStyle w:val="dotpoints"/>
      </w:pPr>
      <w:r>
        <w:t>The cessation of the DSS funded ‘Australian Disability Enterprise Services’ in 2021, and the new funding arrangements under NDIS, ha</w:t>
      </w:r>
      <w:r w:rsidR="00E92148">
        <w:t>ve</w:t>
      </w:r>
      <w:r>
        <w:t xml:space="preserve"> potential to change the ADE model.</w:t>
      </w:r>
    </w:p>
    <w:p w14:paraId="29720DBD" w14:textId="67D63DEF" w:rsidR="00E92148" w:rsidRDefault="00E92148" w:rsidP="00226424">
      <w:pPr>
        <w:pStyle w:val="dotpoints"/>
      </w:pPr>
      <w:r>
        <w:t>Some ADEs now offer integrated work settings or workforces, and pathways to employment beyond ADEs.</w:t>
      </w:r>
    </w:p>
    <w:p w14:paraId="2112D623" w14:textId="7A8F5CCB" w:rsidR="00E92148" w:rsidRDefault="00E92148" w:rsidP="00226424">
      <w:pPr>
        <w:pStyle w:val="dotpoints"/>
      </w:pPr>
      <w:r>
        <w:t>Transition to employment out of ADEs remains extremely low.</w:t>
      </w:r>
    </w:p>
    <w:p w14:paraId="68E7DC5E" w14:textId="063ACE40" w:rsidR="00E92148" w:rsidRDefault="00E92148" w:rsidP="00226424">
      <w:pPr>
        <w:pStyle w:val="dotpoints"/>
      </w:pPr>
      <w:r>
        <w:t xml:space="preserve">The lack of available data means there is little knowledge about the barriers to desegregation, fair wages, financial </w:t>
      </w:r>
      <w:proofErr w:type="gramStart"/>
      <w:r>
        <w:t>sustainability</w:t>
      </w:r>
      <w:proofErr w:type="gramEnd"/>
      <w:r>
        <w:t xml:space="preserve"> and employment pathways for ADEs.</w:t>
      </w:r>
    </w:p>
    <w:p w14:paraId="0D9C3CAA" w14:textId="77777777" w:rsidR="0086361A" w:rsidRPr="00FB5E9B" w:rsidRDefault="0086361A" w:rsidP="0086361A"/>
    <w:p w14:paraId="00ED01FC" w14:textId="7983633C" w:rsidR="00832C11" w:rsidRDefault="00832C11" w:rsidP="00BB6DBF">
      <w:pPr>
        <w:pStyle w:val="Heading2"/>
      </w:pPr>
      <w:r>
        <w:t xml:space="preserve">Supporting those with significant disability to gain </w:t>
      </w:r>
      <w:r w:rsidR="000D6648">
        <w:t xml:space="preserve">and maintain </w:t>
      </w:r>
      <w:r>
        <w:t>employment</w:t>
      </w:r>
    </w:p>
    <w:p w14:paraId="1253738D" w14:textId="77777777" w:rsidR="00832C11" w:rsidRDefault="00832C11" w:rsidP="00333F99">
      <w:pPr>
        <w:pStyle w:val="Normal4"/>
      </w:pPr>
      <w:r>
        <w:t>In 2017, the Commonwealth of Australia reiterated its commitments, consistent with its obligations under the Convention on the Rights of Persons with Disabilities (CRPD), to address the significant employment gap for people with significant disability:</w:t>
      </w:r>
    </w:p>
    <w:p w14:paraId="11623426" w14:textId="1EC1DEDC" w:rsidR="00832C11" w:rsidRDefault="00832C11" w:rsidP="00832C11">
      <w:pPr>
        <w:pStyle w:val="Quote"/>
      </w:pPr>
      <w:r>
        <w:t xml:space="preserve">in 2015 …. only 25 per cent of people with a profound or severe core activity limitation were active participants in the labour market. This means that over a million Australians of working age with disability were outside the workforce and there is significant scope to support more people with disability into employment </w:t>
      </w:r>
      <w:r w:rsidRPr="00832C11">
        <w:t>… DSS estimates around 237,000 Disability Support Pension (DSP) recipients of working age may be eligible for employment assistance, and are not</w:t>
      </w:r>
      <w:r>
        <w:t xml:space="preserve"> </w:t>
      </w:r>
      <w:r w:rsidRPr="00832C11">
        <w:t>participating</w:t>
      </w:r>
      <w:r>
        <w:t xml:space="preserve"> </w:t>
      </w:r>
      <w:r w:rsidRPr="00832C11">
        <w:t>in</w:t>
      </w:r>
      <w:r>
        <w:t xml:space="preserve"> </w:t>
      </w:r>
      <w:r w:rsidRPr="00832C11">
        <w:t xml:space="preserve">employment, </w:t>
      </w:r>
      <w:proofErr w:type="gramStart"/>
      <w:r w:rsidRPr="00832C11">
        <w:t>education</w:t>
      </w:r>
      <w:proofErr w:type="gramEnd"/>
      <w:r w:rsidRPr="00832C11">
        <w:t xml:space="preserve"> or an employment assistance program</w:t>
      </w:r>
      <w:r>
        <w:t xml:space="preserve"> (DSS, 2017, p. 6).</w:t>
      </w:r>
    </w:p>
    <w:p w14:paraId="3DE9E61D" w14:textId="51808708" w:rsidR="00832C11" w:rsidRPr="00832C11" w:rsidRDefault="00832C11" w:rsidP="00333F99">
      <w:pPr>
        <w:pStyle w:val="Normal4"/>
      </w:pPr>
      <w:r>
        <w:t xml:space="preserve">It is in this context </w:t>
      </w:r>
      <w:r w:rsidR="00C3487F">
        <w:t xml:space="preserve">of significant employment exclusion </w:t>
      </w:r>
      <w:r>
        <w:t xml:space="preserve">that supported employment in Australia </w:t>
      </w:r>
      <w:r w:rsidR="009A4A6F">
        <w:t>is explored in this paper</w:t>
      </w:r>
      <w:r>
        <w:t>.</w:t>
      </w:r>
    </w:p>
    <w:p w14:paraId="7955BDB7" w14:textId="77777777" w:rsidR="00832C11" w:rsidRPr="00832C11" w:rsidRDefault="00832C11" w:rsidP="00832C11"/>
    <w:p w14:paraId="07BD1E2F" w14:textId="3AE1BBC3" w:rsidR="00BB6DBF" w:rsidRDefault="00555A20" w:rsidP="00BB6DBF">
      <w:pPr>
        <w:pStyle w:val="Heading2"/>
      </w:pPr>
      <w:r>
        <w:t>HIstory of supported employment in australia</w:t>
      </w:r>
    </w:p>
    <w:p w14:paraId="7D3BAFB6" w14:textId="6775C957" w:rsidR="00BB6DBF" w:rsidRPr="008B1787" w:rsidRDefault="00274E15" w:rsidP="00BB6DBF">
      <w:pPr>
        <w:pStyle w:val="Heading3"/>
      </w:pPr>
      <w:r>
        <w:t>‘</w:t>
      </w:r>
      <w:r w:rsidR="00BB6DBF" w:rsidRPr="008B1787">
        <w:t>Sheltered Workshops</w:t>
      </w:r>
      <w:r>
        <w:t>’</w:t>
      </w:r>
      <w:r w:rsidR="00BB6DBF">
        <w:t xml:space="preserve"> in the 1960</w:t>
      </w:r>
      <w:r w:rsidR="00E62863">
        <w:t>’</w:t>
      </w:r>
      <w:r w:rsidR="00BB6DBF">
        <w:t>s to 70</w:t>
      </w:r>
      <w:r w:rsidR="00E62863">
        <w:t>’</w:t>
      </w:r>
      <w:r w:rsidR="00BB6DBF">
        <w:t>s</w:t>
      </w:r>
    </w:p>
    <w:p w14:paraId="75D0D39F" w14:textId="5074A3F5" w:rsidR="00BB6DBF" w:rsidRDefault="00BB6DBF" w:rsidP="00333F99">
      <w:pPr>
        <w:pStyle w:val="Normal4"/>
      </w:pPr>
      <w:r w:rsidRPr="007B5C58">
        <w:t xml:space="preserve">According to Cheng et al. (2018), sheltered workshops were originally developed in the 1950s by families to offer employment for people with intellectual disability. In 1967, the Commonwealth government commenced funding of them, continuing in the 1970s with the funding of work preparation centres to provide vocational training for school leavers with intellectual disability. </w:t>
      </w:r>
      <w:r w:rsidRPr="007B5C58">
        <w:lastRenderedPageBreak/>
        <w:t>However, critique of sheltered workshops emerged through the 1970s and 1980s alongside a growing international inclusion movement.</w:t>
      </w:r>
    </w:p>
    <w:p w14:paraId="67537A5D" w14:textId="15830711" w:rsidR="00BB6DBF" w:rsidRPr="008B1787" w:rsidRDefault="00274E15" w:rsidP="00BB6DBF">
      <w:pPr>
        <w:pStyle w:val="Heading3"/>
      </w:pPr>
      <w:r>
        <w:t>‘</w:t>
      </w:r>
      <w:r w:rsidR="00BB6DBF" w:rsidRPr="008B1787">
        <w:t>Supported Employment Services</w:t>
      </w:r>
      <w:r>
        <w:t>’</w:t>
      </w:r>
      <w:r w:rsidR="00BB6DBF">
        <w:t xml:space="preserve"> established in 1980</w:t>
      </w:r>
      <w:r w:rsidR="0000648A">
        <w:rPr>
          <w:caps w:val="0"/>
        </w:rPr>
        <w:t>s</w:t>
      </w:r>
    </w:p>
    <w:p w14:paraId="088A2884" w14:textId="5EB2C747" w:rsidR="00BB6DBF" w:rsidRPr="00832C11" w:rsidRDefault="00BB6DBF" w:rsidP="00333F99">
      <w:pPr>
        <w:pStyle w:val="Normal4"/>
      </w:pPr>
      <w:r w:rsidRPr="007B5C58">
        <w:t xml:space="preserve">In 1986, the </w:t>
      </w:r>
      <w:r w:rsidRPr="006F1C42">
        <w:rPr>
          <w:i/>
          <w:iCs/>
        </w:rPr>
        <w:t>Disability Services Act</w:t>
      </w:r>
      <w:r w:rsidRPr="007B5C58">
        <w:t xml:space="preserve"> (Commonwealth of Australia, 1987) established two broad types of employment services, open and supported employment services, essentially enshrining a bifurcated model where only some people with disability were supported into open employment.</w:t>
      </w:r>
      <w:r>
        <w:t xml:space="preserve"> Within the Act, ‘supported employment services’ were for those people who are ‘unlikely’ to gain competitive employment at or above the award wage and ‘need substantial ongoing support to obtain or retain paid employment’ (Commonwealth of Australia, 1987, Part 11, </w:t>
      </w:r>
      <w:proofErr w:type="spellStart"/>
      <w:r>
        <w:t>Div</w:t>
      </w:r>
      <w:proofErr w:type="spellEnd"/>
      <w:r>
        <w:t xml:space="preserve"> 1, 7.) (</w:t>
      </w:r>
      <w:proofErr w:type="gramStart"/>
      <w:r>
        <w:t>see</w:t>
      </w:r>
      <w:proofErr w:type="gramEnd"/>
      <w:r>
        <w:t xml:space="preserve"> Paper 1</w:t>
      </w:r>
      <w:r w:rsidR="00832C11">
        <w:t>). As described by DSS (2017), ‘supported employment’ has referred to both ‘</w:t>
      </w:r>
      <w:r w:rsidR="00832C11" w:rsidRPr="00832C11">
        <w:t xml:space="preserve">different </w:t>
      </w:r>
      <w:r w:rsidR="00832C11" w:rsidRPr="00E460B2">
        <w:rPr>
          <w:i/>
        </w:rPr>
        <w:t xml:space="preserve">employment </w:t>
      </w:r>
      <w:r w:rsidR="00832C11" w:rsidRPr="00832C11">
        <w:rPr>
          <w:i/>
          <w:iCs/>
        </w:rPr>
        <w:t>settings</w:t>
      </w:r>
      <w:r w:rsidR="00832C11" w:rsidRPr="00832C11">
        <w:t xml:space="preserve"> and </w:t>
      </w:r>
      <w:r w:rsidR="00832C11" w:rsidRPr="00832C11">
        <w:rPr>
          <w:i/>
          <w:iCs/>
        </w:rPr>
        <w:t>employment supports</w:t>
      </w:r>
      <w:r w:rsidR="00832C11" w:rsidRPr="00832C11">
        <w:t xml:space="preserve"> available to people with disability to</w:t>
      </w:r>
      <w:r w:rsidR="00832C11">
        <w:t xml:space="preserve"> </w:t>
      </w:r>
      <w:r w:rsidR="00832C11" w:rsidRPr="00832C11">
        <w:t>enable them to participate in work, or to build capacity for</w:t>
      </w:r>
      <w:r w:rsidR="00832C11">
        <w:t xml:space="preserve"> </w:t>
      </w:r>
      <w:r w:rsidR="00832C11" w:rsidRPr="00832C11">
        <w:t>work’ (p.</w:t>
      </w:r>
      <w:r w:rsidR="0000648A">
        <w:t xml:space="preserve"> </w:t>
      </w:r>
      <w:r w:rsidR="00832C11" w:rsidRPr="00832C11">
        <w:t>6</w:t>
      </w:r>
      <w:r w:rsidR="00832C11">
        <w:t>, italics added</w:t>
      </w:r>
      <w:r w:rsidR="00832C11" w:rsidRPr="00832C11">
        <w:t>).</w:t>
      </w:r>
      <w:r w:rsidR="00B6497E">
        <w:t xml:space="preserve"> Across this period, supported employment services were</w:t>
      </w:r>
      <w:r w:rsidR="00E43EE9">
        <w:t xml:space="preserve"> known as</w:t>
      </w:r>
      <w:r w:rsidR="002B0A42">
        <w:t xml:space="preserve"> ‘disability business services’ or</w:t>
      </w:r>
      <w:r w:rsidR="00E43EE9">
        <w:t xml:space="preserve"> ‘business </w:t>
      </w:r>
      <w:proofErr w:type="gramStart"/>
      <w:r w:rsidR="00E43EE9">
        <w:t>enterprises’</w:t>
      </w:r>
      <w:proofErr w:type="gramEnd"/>
      <w:r w:rsidR="00E43EE9">
        <w:t>.</w:t>
      </w:r>
    </w:p>
    <w:p w14:paraId="117242F1" w14:textId="25388FBD" w:rsidR="00926EF7" w:rsidRDefault="00926EF7" w:rsidP="00926EF7">
      <w:pPr>
        <w:pStyle w:val="Heading3"/>
      </w:pPr>
      <w:r>
        <w:t>Supported employment in the early 2000</w:t>
      </w:r>
      <w:r w:rsidR="0000648A">
        <w:rPr>
          <w:caps w:val="0"/>
        </w:rPr>
        <w:t>s</w:t>
      </w:r>
      <w:r>
        <w:t xml:space="preserve"> </w:t>
      </w:r>
    </w:p>
    <w:p w14:paraId="738B4B34" w14:textId="77777777" w:rsidR="00926EF7" w:rsidRDefault="00926EF7" w:rsidP="00333F99">
      <w:pPr>
        <w:pStyle w:val="Normal4"/>
      </w:pPr>
      <w:r>
        <w:t xml:space="preserve">Until recently, supported employment services have been predominantly provided via ‘sheltered workshops, </w:t>
      </w:r>
      <w:proofErr w:type="gramStart"/>
      <w:r>
        <w:t>enclaves</w:t>
      </w:r>
      <w:proofErr w:type="gramEnd"/>
      <w:r>
        <w:t xml:space="preserve"> or work crews’ (Cheng et al., 2018, p. 318). </w:t>
      </w:r>
    </w:p>
    <w:p w14:paraId="77772846" w14:textId="63246BAC" w:rsidR="00926EF7" w:rsidRDefault="00926EF7" w:rsidP="00333F99">
      <w:pPr>
        <w:pStyle w:val="Normal4"/>
      </w:pPr>
      <w:r>
        <w:t xml:space="preserve">In 2005/6 there were </w:t>
      </w:r>
      <w:r w:rsidR="00BB2CBB">
        <w:t>397</w:t>
      </w:r>
      <w:r>
        <w:t xml:space="preserve"> supported employment outlets across Australia</w:t>
      </w:r>
      <w:r w:rsidR="008E43FD">
        <w:t xml:space="preserve"> (</w:t>
      </w:r>
      <w:proofErr w:type="spellStart"/>
      <w:r w:rsidR="008E43FD">
        <w:t>Fa</w:t>
      </w:r>
      <w:r w:rsidR="0020414E">
        <w:t>CSIA</w:t>
      </w:r>
      <w:proofErr w:type="spellEnd"/>
      <w:r w:rsidR="0020414E">
        <w:t>, 200</w:t>
      </w:r>
      <w:r w:rsidR="00FB5235">
        <w:t>7</w:t>
      </w:r>
      <w:r w:rsidR="0020414E">
        <w:t>)</w:t>
      </w:r>
      <w:r>
        <w:t>.</w:t>
      </w:r>
      <w:r w:rsidRPr="00926EF7">
        <w:t xml:space="preserve"> </w:t>
      </w:r>
      <w:r>
        <w:t xml:space="preserve">Roughly half of these </w:t>
      </w:r>
      <w:proofErr w:type="gramStart"/>
      <w:r>
        <w:t>were located in</w:t>
      </w:r>
      <w:proofErr w:type="gramEnd"/>
      <w:r>
        <w:t xml:space="preserve"> major cities. </w:t>
      </w:r>
    </w:p>
    <w:p w14:paraId="2D244363" w14:textId="60F26760" w:rsidR="00926EF7" w:rsidRDefault="00926EF7" w:rsidP="00333F99">
      <w:pPr>
        <w:pStyle w:val="Normal4"/>
      </w:pPr>
      <w:r>
        <w:t xml:space="preserve">Between 2005 and 2010, the number of </w:t>
      </w:r>
      <w:r w:rsidR="00E44B5C">
        <w:t>supported employment</w:t>
      </w:r>
      <w:r>
        <w:t xml:space="preserve"> service users fluctuated between 21-2</w:t>
      </w:r>
      <w:r w:rsidR="00507136">
        <w:t>3</w:t>
      </w:r>
      <w:r>
        <w:t xml:space="preserve">,000. Approximately 70% of these had an intellectual disability, 2% were Indigenous, and most service users (around 65%) were male. Around 30% worked full time hours (See Appendix 1 for details of data 2005/6 -2009/10). </w:t>
      </w:r>
    </w:p>
    <w:p w14:paraId="1B150BCC" w14:textId="011A06A8" w:rsidR="00926EF7" w:rsidRDefault="00926EF7" w:rsidP="00333F99">
      <w:pPr>
        <w:pStyle w:val="Normal4"/>
      </w:pPr>
      <w:r>
        <w:t>Data has been patchy since 2010</w:t>
      </w:r>
      <w:r w:rsidR="00162263">
        <w:t>,</w:t>
      </w:r>
      <w:r w:rsidR="00225847">
        <w:t xml:space="preserve"> with limited user data reported publicly</w:t>
      </w:r>
      <w:r w:rsidR="006B13E6" w:rsidRPr="006B13E6">
        <w:t xml:space="preserve"> </w:t>
      </w:r>
      <w:r w:rsidR="006B13E6">
        <w:t xml:space="preserve">and detailed data on the scale and characteristics of </w:t>
      </w:r>
      <w:r w:rsidR="00E44B5C">
        <w:t>supported employment service</w:t>
      </w:r>
      <w:r w:rsidR="00E52BB0">
        <w:t xml:space="preserve">s </w:t>
      </w:r>
      <w:r w:rsidR="006B13E6">
        <w:t xml:space="preserve">unavailable </w:t>
      </w:r>
      <w:r w:rsidR="00CB0310">
        <w:t>after</w:t>
      </w:r>
      <w:r w:rsidR="006B13E6">
        <w:t xml:space="preserve"> </w:t>
      </w:r>
      <w:r w:rsidR="00153210">
        <w:t xml:space="preserve">the </w:t>
      </w:r>
      <w:r w:rsidR="006D1038" w:rsidRPr="00AE6CF3">
        <w:rPr>
          <w:i/>
        </w:rPr>
        <w:t>Australian Government Disability Services Census</w:t>
      </w:r>
      <w:r w:rsidR="006D1038">
        <w:t xml:space="preserve"> ceased</w:t>
      </w:r>
      <w:r w:rsidR="006B13E6">
        <w:t xml:space="preserve">. </w:t>
      </w:r>
      <w:r w:rsidR="00EC7CC3">
        <w:t>W</w:t>
      </w:r>
      <w:r w:rsidR="00B0180D">
        <w:t xml:space="preserve">hen the </w:t>
      </w:r>
      <w:r w:rsidR="00B0180D" w:rsidRPr="00D20FA5">
        <w:t xml:space="preserve">Disability Services National Minimum Data Set </w:t>
      </w:r>
      <w:r w:rsidR="00B0180D">
        <w:t xml:space="preserve">ceased </w:t>
      </w:r>
      <w:r w:rsidR="00BB301D">
        <w:t>in</w:t>
      </w:r>
      <w:r w:rsidR="00EC7CC3">
        <w:t xml:space="preserve"> 2019 </w:t>
      </w:r>
      <w:r w:rsidR="00B0180D">
        <w:t>(Productivity Commission, 2021)</w:t>
      </w:r>
      <w:r w:rsidR="007E2432">
        <w:t xml:space="preserve">, national data collection and publication on </w:t>
      </w:r>
      <w:r w:rsidR="007832E4">
        <w:t>supported employment services</w:t>
      </w:r>
      <w:r w:rsidR="007E2432">
        <w:t xml:space="preserve"> </w:t>
      </w:r>
      <w:r w:rsidR="00AE6CF3">
        <w:t xml:space="preserve">have </w:t>
      </w:r>
      <w:r w:rsidR="007E2432">
        <w:t xml:space="preserve">become unavailable. </w:t>
      </w:r>
    </w:p>
    <w:p w14:paraId="64A86623" w14:textId="2B633DB5" w:rsidR="00A45F7C" w:rsidRDefault="00363D93" w:rsidP="00BB6DBF">
      <w:pPr>
        <w:pStyle w:val="Heading3"/>
      </w:pPr>
      <w:r>
        <w:t xml:space="preserve">Supported employment and </w:t>
      </w:r>
      <w:r w:rsidR="00A45F7C">
        <w:t>supported wage</w:t>
      </w:r>
    </w:p>
    <w:p w14:paraId="19431F4C" w14:textId="05EF1670" w:rsidR="00A45F7C" w:rsidRDefault="00A45F7C" w:rsidP="00333F99">
      <w:pPr>
        <w:pStyle w:val="Normal4"/>
      </w:pPr>
      <w:r>
        <w:t xml:space="preserve">As discussed in Paper 1, </w:t>
      </w:r>
      <w:r w:rsidR="00D15821">
        <w:t xml:space="preserve">pro rata or </w:t>
      </w:r>
      <w:proofErr w:type="gramStart"/>
      <w:r w:rsidR="00D15821">
        <w:t>productivity based</w:t>
      </w:r>
      <w:proofErr w:type="gramEnd"/>
      <w:r w:rsidR="00D15821">
        <w:t xml:space="preserve"> wages</w:t>
      </w:r>
      <w:r w:rsidR="006E2D57">
        <w:t xml:space="preserve"> have been a feature of the supported employment sector, though have been used in open employment also</w:t>
      </w:r>
      <w:r w:rsidR="00500A8A">
        <w:t xml:space="preserve"> (being initiated in the open employment sector in the 1990s [Health Outcomes International, 2001])</w:t>
      </w:r>
      <w:r w:rsidR="006E2D57">
        <w:t>.</w:t>
      </w:r>
      <w:r w:rsidR="00C51104">
        <w:t xml:space="preserve"> </w:t>
      </w:r>
      <w:r w:rsidR="009056F7">
        <w:t xml:space="preserve">To determine the </w:t>
      </w:r>
      <w:proofErr w:type="gramStart"/>
      <w:r w:rsidR="009056F7">
        <w:t>amount</w:t>
      </w:r>
      <w:proofErr w:type="gramEnd"/>
      <w:r w:rsidR="009056F7">
        <w:t xml:space="preserve"> of wages paid, assessments of competency or productivity are</w:t>
      </w:r>
      <w:r w:rsidR="009512E2">
        <w:t xml:space="preserve"> undertaken, using one of many assessment methodologies.</w:t>
      </w:r>
      <w:r w:rsidR="00500A8A">
        <w:t xml:space="preserve"> </w:t>
      </w:r>
    </w:p>
    <w:p w14:paraId="5D0863A6" w14:textId="2BEFF92B" w:rsidR="009056F7" w:rsidRDefault="00F3406A" w:rsidP="00333F99">
      <w:pPr>
        <w:pStyle w:val="Normal4"/>
      </w:pPr>
      <w:r>
        <w:t xml:space="preserve">There has been ongoing critique about the </w:t>
      </w:r>
      <w:r w:rsidR="00ED3745">
        <w:t>low hourly rates paid</w:t>
      </w:r>
      <w:r w:rsidR="000934AA">
        <w:t>, and tension between</w:t>
      </w:r>
      <w:r w:rsidR="00196785">
        <w:t xml:space="preserve"> what the supported employment services see as commercial imperatives requiring pro rata wages </w:t>
      </w:r>
      <w:r w:rsidR="000B57A7">
        <w:t>(</w:t>
      </w:r>
      <w:r w:rsidR="00196785">
        <w:t xml:space="preserve">reflecting productivity losses and </w:t>
      </w:r>
      <w:r w:rsidR="00731508">
        <w:t>higher costs</w:t>
      </w:r>
      <w:r w:rsidR="002333B9">
        <w:t xml:space="preserve"> of support</w:t>
      </w:r>
      <w:r w:rsidR="000B57A7">
        <w:t>)</w:t>
      </w:r>
      <w:r w:rsidR="002333B9">
        <w:t xml:space="preserve"> versus</w:t>
      </w:r>
      <w:r w:rsidR="00571AB7">
        <w:t xml:space="preserve"> calls for fair</w:t>
      </w:r>
      <w:r w:rsidR="002C6927">
        <w:t xml:space="preserve"> or equal wages. </w:t>
      </w:r>
      <w:r w:rsidR="00500A8A">
        <w:t xml:space="preserve">An early review of pro rata wages in the sector in 2001 noted largely arbitrary and historical processes used in supported employment settings, </w:t>
      </w:r>
      <w:r w:rsidR="00500A8A" w:rsidRPr="00500A8A">
        <w:t>identifying</w:t>
      </w:r>
      <w:r w:rsidR="00500A8A">
        <w:t xml:space="preserve"> that </w:t>
      </w:r>
      <w:r w:rsidR="00500A8A" w:rsidRPr="00500A8A">
        <w:t>‘the financial viability of Business Services is the main determinant of wage levels’ (Health Outcomes International, 2001, p. vi).</w:t>
      </w:r>
      <w:r w:rsidR="00500A8A">
        <w:t xml:space="preserve"> Even </w:t>
      </w:r>
      <w:r w:rsidR="000B57A7">
        <w:t>at this time</w:t>
      </w:r>
      <w:r w:rsidR="00500A8A">
        <w:t>, c</w:t>
      </w:r>
      <w:r w:rsidR="000B57A7">
        <w:t>ritique</w:t>
      </w:r>
      <w:r w:rsidR="00500A8A">
        <w:t xml:space="preserve"> focused on the need for fair and appropriate wages. This was echoed</w:t>
      </w:r>
      <w:r w:rsidR="00643DF7">
        <w:t xml:space="preserve">, in 2008, </w:t>
      </w:r>
      <w:r w:rsidR="00500A8A">
        <w:t xml:space="preserve">when </w:t>
      </w:r>
      <w:r w:rsidR="00643DF7">
        <w:t>the then Minister, Bill Shorten, emphasised supported</w:t>
      </w:r>
      <w:r w:rsidR="00890838">
        <w:t xml:space="preserve"> employment settings </w:t>
      </w:r>
      <w:r w:rsidR="005A6516">
        <w:t>as o</w:t>
      </w:r>
      <w:r w:rsidR="00E00856">
        <w:t>ffering ‘</w:t>
      </w:r>
      <w:r w:rsidR="00643DF7" w:rsidRPr="005A6516">
        <w:t>the same conditions as any other workplace, including the payment of fair wages</w:t>
      </w:r>
      <w:r w:rsidR="00E00856">
        <w:t>’</w:t>
      </w:r>
      <w:r w:rsidR="00643DF7" w:rsidRPr="005A6516">
        <w:t xml:space="preserve"> (Shorten, 2008).</w:t>
      </w:r>
    </w:p>
    <w:p w14:paraId="4044DA41" w14:textId="76158219" w:rsidR="00A52897" w:rsidRDefault="00A52897" w:rsidP="00333F99">
      <w:pPr>
        <w:pStyle w:val="Normal4"/>
      </w:pPr>
      <w:r>
        <w:lastRenderedPageBreak/>
        <w:t xml:space="preserve">In 2012, the Federal Court judged that one wage assessment tool - the Business Service Wages Assessment Tool (BSWAT) - was discriminatory against two workers with intellectual disability under the </w:t>
      </w:r>
      <w:r w:rsidRPr="000B57A7">
        <w:rPr>
          <w:i/>
          <w:iCs/>
        </w:rPr>
        <w:t>Disability Discrimination Act 1992</w:t>
      </w:r>
      <w:r>
        <w:t xml:space="preserve">. The BSWAT was the most used wage assessment tool by the </w:t>
      </w:r>
      <w:r w:rsidR="006D3C8A">
        <w:t>supported employment sector</w:t>
      </w:r>
      <w:r>
        <w:t xml:space="preserve"> until then and was abandoned </w:t>
      </w:r>
      <w:r w:rsidR="00173C30">
        <w:t>from</w:t>
      </w:r>
      <w:r>
        <w:t xml:space="preserve"> 2015. The decision from the Federal Court </w:t>
      </w:r>
      <w:r w:rsidR="0063531A">
        <w:t xml:space="preserve">required </w:t>
      </w:r>
      <w:r>
        <w:t xml:space="preserve">the Government and the supported employment sector to consider future wage setting arrangements and several national scale research </w:t>
      </w:r>
      <w:r w:rsidR="00016358">
        <w:t xml:space="preserve">projects </w:t>
      </w:r>
      <w:r>
        <w:t>w</w:t>
      </w:r>
      <w:r w:rsidR="00016358">
        <w:t>ere</w:t>
      </w:r>
      <w:r>
        <w:t xml:space="preserve"> commissioned by the Government and a peak body to </w:t>
      </w:r>
      <w:proofErr w:type="gramStart"/>
      <w:r>
        <w:t>look into</w:t>
      </w:r>
      <w:proofErr w:type="gramEnd"/>
      <w:r>
        <w:t xml:space="preserve"> business models and business viability of ADEs (e.g., </w:t>
      </w:r>
      <w:proofErr w:type="spellStart"/>
      <w:r>
        <w:t>ConNetica</w:t>
      </w:r>
      <w:proofErr w:type="spellEnd"/>
      <w:r>
        <w:t>, 2013; KPMG, 2015).</w:t>
      </w:r>
      <w:r w:rsidR="004D25E9">
        <w:t xml:space="preserve"> These studies have confirmed, as found in 2001, that while supported employment services desired</w:t>
      </w:r>
    </w:p>
    <w:p w14:paraId="69DE5A72" w14:textId="66DD8735" w:rsidR="004D25E9" w:rsidRDefault="004D25E9" w:rsidP="004D25E9">
      <w:pPr>
        <w:pStyle w:val="Quote"/>
        <w:rPr>
          <w:rStyle w:val="QuoteChar"/>
        </w:rPr>
      </w:pPr>
      <w:r>
        <w:rPr>
          <w:rFonts w:ascii="Arial" w:hAnsi="Arial" w:cs="Arial"/>
        </w:rPr>
        <w:t xml:space="preserve">to </w:t>
      </w:r>
      <w:r w:rsidRPr="004D25E9">
        <w:rPr>
          <w:rStyle w:val="QuoteChar"/>
        </w:rPr>
        <w:t>pay the highest wages possible to their employees, but most recognised that increasing wage costs would significantly influence financial viability of the organisation (Health Outcomes International, 2001, p.</w:t>
      </w:r>
      <w:r w:rsidR="00883A75">
        <w:rPr>
          <w:rStyle w:val="QuoteChar"/>
        </w:rPr>
        <w:t xml:space="preserve"> </w:t>
      </w:r>
      <w:r w:rsidRPr="004D25E9">
        <w:rPr>
          <w:rStyle w:val="QuoteChar"/>
        </w:rPr>
        <w:t>17).</w:t>
      </w:r>
    </w:p>
    <w:p w14:paraId="1677B0D3" w14:textId="5B98F663" w:rsidR="004D25E9" w:rsidRPr="004D25E9" w:rsidRDefault="00BA6887" w:rsidP="00333F99">
      <w:pPr>
        <w:pStyle w:val="Normal4"/>
      </w:pPr>
      <w:r>
        <w:t>Similarly, the KPMG (2015) report found a</w:t>
      </w:r>
      <w:r w:rsidR="000B57A7">
        <w:t xml:space="preserve"> </w:t>
      </w:r>
      <w:r>
        <w:t>‘direct relationship between supported employee wage costs and organisational profitability</w:t>
      </w:r>
      <w:r w:rsidR="000B57A7">
        <w:t>’</w:t>
      </w:r>
      <w:r>
        <w:t xml:space="preserve"> (p.</w:t>
      </w:r>
      <w:r w:rsidR="00883A75">
        <w:t xml:space="preserve"> </w:t>
      </w:r>
      <w:r>
        <w:t>2).</w:t>
      </w:r>
    </w:p>
    <w:p w14:paraId="3741048E" w14:textId="174246F2" w:rsidR="00BB6DBF" w:rsidRPr="008B1787" w:rsidRDefault="00BB301D" w:rsidP="00BB6DBF">
      <w:pPr>
        <w:pStyle w:val="Heading3"/>
      </w:pPr>
      <w:r>
        <w:t>‘</w:t>
      </w:r>
      <w:r w:rsidR="00BB6DBF" w:rsidRPr="008B1787">
        <w:t>Australian Disability Enterprises</w:t>
      </w:r>
      <w:r>
        <w:t>’</w:t>
      </w:r>
      <w:r w:rsidR="00BB6DBF">
        <w:t xml:space="preserve"> </w:t>
      </w:r>
      <w:r w:rsidR="001A07A4">
        <w:t xml:space="preserve">and </w:t>
      </w:r>
      <w:r w:rsidR="00EE7A63">
        <w:t xml:space="preserve">the vision for supported employment </w:t>
      </w:r>
    </w:p>
    <w:p w14:paraId="1C4BCB7C" w14:textId="5FED333F" w:rsidR="00D148F6" w:rsidRDefault="007832E4" w:rsidP="00333F99">
      <w:pPr>
        <w:pStyle w:val="Normal4"/>
      </w:pPr>
      <w:r>
        <w:t>In 200</w:t>
      </w:r>
      <w:r w:rsidR="00EE7A63">
        <w:t>8</w:t>
      </w:r>
      <w:r>
        <w:t xml:space="preserve">, supported employment services were badged Australian Disability Enterprises (ADEs) and funded by the </w:t>
      </w:r>
      <w:r w:rsidR="008B2A6C">
        <w:t>Commonwealth</w:t>
      </w:r>
      <w:r>
        <w:t xml:space="preserve"> government (</w:t>
      </w:r>
      <w:proofErr w:type="spellStart"/>
      <w:r w:rsidRPr="00163FAD">
        <w:rPr>
          <w:rStyle w:val="markedcontent"/>
          <w:rFonts w:cstheme="minorHAnsi"/>
        </w:rPr>
        <w:t>FaCSIA</w:t>
      </w:r>
      <w:proofErr w:type="spellEnd"/>
      <w:r>
        <w:rPr>
          <w:rStyle w:val="markedcontent"/>
          <w:rFonts w:cstheme="minorHAnsi"/>
        </w:rPr>
        <w:t xml:space="preserve"> then DSS)</w:t>
      </w:r>
      <w:r w:rsidR="000605DE">
        <w:rPr>
          <w:rStyle w:val="markedcontent"/>
          <w:rFonts w:cstheme="minorHAnsi"/>
        </w:rPr>
        <w:t xml:space="preserve"> (Shorten, 2008)</w:t>
      </w:r>
      <w:r>
        <w:t xml:space="preserve">. </w:t>
      </w:r>
    </w:p>
    <w:p w14:paraId="48D97104" w14:textId="163110A7" w:rsidR="00E566AE" w:rsidRDefault="00E566AE" w:rsidP="00333F99">
      <w:pPr>
        <w:pStyle w:val="Normal4"/>
      </w:pPr>
      <w:r>
        <w:t>In 2012, the Commonwealth government outlined an agenda for change of ADEs</w:t>
      </w:r>
      <w:r w:rsidR="000B57A7">
        <w:t>:</w:t>
      </w:r>
      <w:r>
        <w:t xml:space="preserve"> </w:t>
      </w:r>
      <w:r>
        <w:rPr>
          <w:i/>
          <w:iCs/>
        </w:rPr>
        <w:t>Inclusive Employment 2012-2022. A vision for supported employment</w:t>
      </w:r>
      <w:r>
        <w:t xml:space="preserve"> (Department of Families, Housing, Community </w:t>
      </w:r>
      <w:proofErr w:type="gramStart"/>
      <w:r>
        <w:t>Services</w:t>
      </w:r>
      <w:proofErr w:type="gramEnd"/>
      <w:r>
        <w:t xml:space="preserve"> and Indigenous Affairs [</w:t>
      </w:r>
      <w:proofErr w:type="spellStart"/>
      <w:r>
        <w:t>FaHCSIA</w:t>
      </w:r>
      <w:proofErr w:type="spellEnd"/>
      <w:r>
        <w:t>], n.d</w:t>
      </w:r>
      <w:r w:rsidR="00883A75">
        <w:t>.</w:t>
      </w:r>
      <w:r>
        <w:t xml:space="preserve">). In this, it was envisaged that the forthcoming decade of change, driven by the CRPD and the </w:t>
      </w:r>
      <w:r w:rsidR="00755A73">
        <w:t>National Disability Insurance Scheme (NDIS)</w:t>
      </w:r>
      <w:r>
        <w:t xml:space="preserve">, would generate an ADE sector characterised by being an employer of choice as well as offering employment supports that people with disability would choose to purchase (with NDIS funding). In 2012, the vision for the future was articulated as: </w:t>
      </w:r>
    </w:p>
    <w:p w14:paraId="58D1907A" w14:textId="7358A497" w:rsidR="00E566AE" w:rsidRPr="000331B1" w:rsidRDefault="00E566AE" w:rsidP="00E566AE">
      <w:pPr>
        <w:pStyle w:val="Quote"/>
      </w:pPr>
      <w:r>
        <w:t>In 2022, Australian Disability Enterprises will look different to what they do today. Organisations will have adapted to a new environment, where people with disability choose where they work, who provides their employment support, and how. Australian Disability Enterprises will have changed the way they operate, and the supports they offer, to attract people with disability as purchasers of employment support from their organisation (</w:t>
      </w:r>
      <w:proofErr w:type="spellStart"/>
      <w:r>
        <w:t>FaHCSIA</w:t>
      </w:r>
      <w:proofErr w:type="spellEnd"/>
      <w:r>
        <w:t>, n.d., p.</w:t>
      </w:r>
      <w:r w:rsidR="00883A75">
        <w:t xml:space="preserve"> </w:t>
      </w:r>
      <w:r>
        <w:t>4).</w:t>
      </w:r>
    </w:p>
    <w:p w14:paraId="186A1B6E" w14:textId="1E095868" w:rsidR="00C46877" w:rsidRDefault="00C46877" w:rsidP="00333F99">
      <w:pPr>
        <w:pStyle w:val="Normal4"/>
      </w:pPr>
      <w:r w:rsidRPr="00474163">
        <w:t>In 2012, the Commonwealth government envisaged a future for supported employment services as ‘specialised organisations’ where such specialised supports were able to ‘deliver mainstream inclusion wherever possible’ (</w:t>
      </w:r>
      <w:proofErr w:type="spellStart"/>
      <w:r w:rsidRPr="00474163">
        <w:t>Fa</w:t>
      </w:r>
      <w:r>
        <w:t>H</w:t>
      </w:r>
      <w:r w:rsidRPr="00474163">
        <w:t>CSIA</w:t>
      </w:r>
      <w:proofErr w:type="spellEnd"/>
      <w:r w:rsidRPr="00474163">
        <w:t>, n.d., p.</w:t>
      </w:r>
      <w:r w:rsidR="00883A75">
        <w:t xml:space="preserve"> </w:t>
      </w:r>
      <w:r w:rsidRPr="00474163">
        <w:t>4. &amp; p.</w:t>
      </w:r>
      <w:r w:rsidR="00883A75">
        <w:t xml:space="preserve"> </w:t>
      </w:r>
      <w:r w:rsidRPr="00474163">
        <w:t xml:space="preserve">6). </w:t>
      </w:r>
    </w:p>
    <w:p w14:paraId="7AA072FB" w14:textId="77777777" w:rsidR="00E566AE" w:rsidRDefault="00E566AE" w:rsidP="00333F99">
      <w:pPr>
        <w:pStyle w:val="Normal4"/>
      </w:pPr>
      <w:r>
        <w:t>There were</w:t>
      </w:r>
      <w:r w:rsidRPr="00BE18E7">
        <w:t xml:space="preserve"> 194 not for profit organisations</w:t>
      </w:r>
      <w:r>
        <w:t xml:space="preserve"> </w:t>
      </w:r>
      <w:r w:rsidRPr="00BE18E7">
        <w:t>operating ADEs</w:t>
      </w:r>
      <w:r>
        <w:t xml:space="preserve"> in 2013</w:t>
      </w:r>
      <w:r w:rsidRPr="00BE18E7">
        <w:t>, employing about 20,000 people among whom most had an intellectual disability (</w:t>
      </w:r>
      <w:proofErr w:type="spellStart"/>
      <w:r w:rsidRPr="00BE18E7">
        <w:t>FaHCSIA</w:t>
      </w:r>
      <w:proofErr w:type="spellEnd"/>
      <w:r w:rsidRPr="00BE18E7">
        <w:t xml:space="preserve">, 2013). </w:t>
      </w:r>
    </w:p>
    <w:p w14:paraId="1E573502" w14:textId="5A020E65" w:rsidR="00F41C82" w:rsidRDefault="009464F7" w:rsidP="00333F99">
      <w:pPr>
        <w:pStyle w:val="Normal4"/>
      </w:pPr>
      <w:r>
        <w:t xml:space="preserve">The ADE </w:t>
      </w:r>
      <w:r w:rsidR="007832E4">
        <w:t>model</w:t>
      </w:r>
      <w:r>
        <w:t xml:space="preserve"> was reiterated in 2017</w:t>
      </w:r>
      <w:r w:rsidR="00BC4B8A">
        <w:t>, focusing on the characteristics of work-focused social enterprise, where</w:t>
      </w:r>
      <w:r w:rsidR="00545F13">
        <w:t xml:space="preserve"> </w:t>
      </w:r>
      <w:proofErr w:type="gramStart"/>
      <w:r w:rsidR="00545F13">
        <w:t>the majority of</w:t>
      </w:r>
      <w:proofErr w:type="gramEnd"/>
      <w:r w:rsidR="00545F13">
        <w:t xml:space="preserve"> the workforce was people with disability</w:t>
      </w:r>
      <w:r w:rsidR="00F41C82">
        <w:t>:</w:t>
      </w:r>
    </w:p>
    <w:p w14:paraId="206F2B23" w14:textId="4E3B976F" w:rsidR="00F41C82" w:rsidRDefault="00F41C82" w:rsidP="00F41C82">
      <w:pPr>
        <w:pStyle w:val="Quote"/>
      </w:pPr>
      <w:r>
        <w:t xml:space="preserve">Supported employment generally refers to employment in enterprises that have as their primary purpose employment of people with disability, and where </w:t>
      </w:r>
      <w:proofErr w:type="gramStart"/>
      <w:r>
        <w:t>the majority of</w:t>
      </w:r>
      <w:proofErr w:type="gramEnd"/>
      <w:r>
        <w:t xml:space="preserve"> employees have disability. There are often mixed industries within enterprises to cater for their employees, and there are higher levels of job customisation (DSS</w:t>
      </w:r>
      <w:r w:rsidR="00883A75">
        <w:t>,</w:t>
      </w:r>
      <w:r>
        <w:t xml:space="preserve"> 2017, p.</w:t>
      </w:r>
      <w:r w:rsidR="00883A75">
        <w:t xml:space="preserve"> </w:t>
      </w:r>
      <w:r>
        <w:t>7).</w:t>
      </w:r>
    </w:p>
    <w:p w14:paraId="73435009" w14:textId="65CA85A1" w:rsidR="000708F6" w:rsidRDefault="009464F7" w:rsidP="00333F99">
      <w:pPr>
        <w:pStyle w:val="Normal4"/>
      </w:pPr>
      <w:r>
        <w:lastRenderedPageBreak/>
        <w:t xml:space="preserve"> </w:t>
      </w:r>
      <w:r w:rsidR="000708F6">
        <w:t>Supported employment in ADEs was characterised by high levels of customisation and support:</w:t>
      </w:r>
    </w:p>
    <w:p w14:paraId="78624E6B" w14:textId="5F2D63C0" w:rsidR="000708F6" w:rsidRDefault="000708F6" w:rsidP="000708F6">
      <w:pPr>
        <w:pStyle w:val="Quote"/>
      </w:pPr>
      <w:r w:rsidRPr="00501188">
        <w:t>ADEs create employment opportunities through</w:t>
      </w:r>
      <w:r>
        <w:t xml:space="preserve"> </w:t>
      </w:r>
      <w:r w:rsidRPr="00501188">
        <w:t>designing jobs around the individual abilities of</w:t>
      </w:r>
      <w:r>
        <w:t xml:space="preserve"> </w:t>
      </w:r>
      <w:r w:rsidRPr="00501188">
        <w:t>people with disability. ADEs provide significant workplace modifications to accommodate the abilities of their workforce</w:t>
      </w:r>
      <w:r>
        <w:t xml:space="preserve"> ..</w:t>
      </w:r>
      <w:r w:rsidRPr="00501188">
        <w:t>.</w:t>
      </w:r>
      <w:r>
        <w:t xml:space="preserve"> A supported employee will often receive daily access to employment and personal care supports by support staff embedded within (and employed by) the ADE. This allows for a greater intensity and frequency of support than can be provided to individuals (DSS, 2017, p.</w:t>
      </w:r>
      <w:r w:rsidR="00883A75">
        <w:t xml:space="preserve"> </w:t>
      </w:r>
      <w:r>
        <w:t>16).</w:t>
      </w:r>
    </w:p>
    <w:p w14:paraId="195E1042" w14:textId="2D701C29" w:rsidR="007832E4" w:rsidRDefault="00CE6644" w:rsidP="00333F99">
      <w:pPr>
        <w:pStyle w:val="Normal4"/>
      </w:pPr>
      <w:r>
        <w:t>This vision articulated a</w:t>
      </w:r>
      <w:r w:rsidR="007832E4">
        <w:t xml:space="preserve"> threefold</w:t>
      </w:r>
      <w:r w:rsidR="009464F7">
        <w:t xml:space="preserve"> focus</w:t>
      </w:r>
      <w:r w:rsidR="00545F13">
        <w:t xml:space="preserve"> </w:t>
      </w:r>
      <w:r>
        <w:t>for ADEs</w:t>
      </w:r>
      <w:r w:rsidR="007832E4">
        <w:t>:</w:t>
      </w:r>
    </w:p>
    <w:p w14:paraId="48A27923" w14:textId="4A0E24C9" w:rsidR="007832E4" w:rsidRPr="00101F63" w:rsidRDefault="007832E4" w:rsidP="00226424">
      <w:pPr>
        <w:pStyle w:val="numberedpoints"/>
      </w:pPr>
      <w:r w:rsidRPr="00101F63">
        <w:t xml:space="preserve">the creation of jobs via government funding and commercial </w:t>
      </w:r>
      <w:r w:rsidR="00390F2A" w:rsidRPr="00101F63">
        <w:t>activities</w:t>
      </w:r>
      <w:r w:rsidRPr="00101F63">
        <w:t xml:space="preserve"> </w:t>
      </w:r>
    </w:p>
    <w:p w14:paraId="1C0E004B" w14:textId="50FB09DF" w:rsidR="007832E4" w:rsidRPr="00101F63" w:rsidRDefault="007832E4" w:rsidP="00226424">
      <w:pPr>
        <w:pStyle w:val="numberedpoints"/>
      </w:pPr>
      <w:r w:rsidRPr="00101F63">
        <w:t>the provision of a high level of employment supports</w:t>
      </w:r>
      <w:r w:rsidR="00545F13">
        <w:t>, including job customisation,</w:t>
      </w:r>
      <w:r w:rsidRPr="00101F63">
        <w:t xml:space="preserve"> within these training-integrated workplaces</w:t>
      </w:r>
    </w:p>
    <w:p w14:paraId="5DEBD1B3" w14:textId="37D62862" w:rsidR="00B022CF" w:rsidRDefault="007832E4" w:rsidP="00226424">
      <w:pPr>
        <w:pStyle w:val="numberedpoints"/>
      </w:pPr>
      <w:r w:rsidRPr="00101F63">
        <w:t>enabling</w:t>
      </w:r>
      <w:r>
        <w:t xml:space="preserve"> either ongoing work in the ADE or transition into open employment (DSS, 2017).</w:t>
      </w:r>
    </w:p>
    <w:p w14:paraId="1A5463E4" w14:textId="6B58A233" w:rsidR="00B022CF" w:rsidRDefault="00B022CF" w:rsidP="00333F99">
      <w:pPr>
        <w:pStyle w:val="Normal4"/>
      </w:pPr>
      <w:r>
        <w:t>In this context, government funding has subsidised the additional costs of making this level of adjustments and providing significant supports to enable the employment of people with significant, or ‘moderate to severe’ disability (DSS, 2017, p.</w:t>
      </w:r>
      <w:r w:rsidR="00883A75">
        <w:t xml:space="preserve"> </w:t>
      </w:r>
      <w:r>
        <w:t>16).</w:t>
      </w:r>
    </w:p>
    <w:p w14:paraId="5EEE1881" w14:textId="15CC5BDC" w:rsidR="00301DF4" w:rsidRDefault="00301DF4" w:rsidP="00301DF4">
      <w:pPr>
        <w:pStyle w:val="Heading3"/>
      </w:pPr>
      <w:r>
        <w:t>ADE</w:t>
      </w:r>
      <w:r w:rsidR="00883A75">
        <w:rPr>
          <w:caps w:val="0"/>
        </w:rPr>
        <w:t>s</w:t>
      </w:r>
      <w:r>
        <w:t xml:space="preserve"> transition </w:t>
      </w:r>
      <w:r w:rsidR="00425B11">
        <w:t>to the ndis</w:t>
      </w:r>
    </w:p>
    <w:p w14:paraId="79B6669F" w14:textId="52420A78" w:rsidR="00301DF4" w:rsidRDefault="00301DF4" w:rsidP="00333F99">
      <w:pPr>
        <w:pStyle w:val="Normal4"/>
      </w:pPr>
      <w:r>
        <w:t>More operationally, i</w:t>
      </w:r>
      <w:r w:rsidRPr="00474163">
        <w:t>n</w:t>
      </w:r>
      <w:r>
        <w:t xml:space="preserve"> 2017, the Department of Social Services proposed a range of ‘reform’ directions for ADEs to change their operational parameters</w:t>
      </w:r>
      <w:r w:rsidR="00021C90">
        <w:t>, in the context of NDIS</w:t>
      </w:r>
      <w:r>
        <w:t>. These included:</w:t>
      </w:r>
    </w:p>
    <w:p w14:paraId="658BE58F" w14:textId="77777777" w:rsidR="00301DF4" w:rsidRDefault="00301DF4" w:rsidP="00226424">
      <w:pPr>
        <w:pStyle w:val="dotpoints"/>
      </w:pPr>
      <w:r>
        <w:t>creating labour hire arrangements where groups of supported employees are placed in open employment businesses</w:t>
      </w:r>
    </w:p>
    <w:p w14:paraId="42F28C45" w14:textId="77777777" w:rsidR="00301DF4" w:rsidRDefault="00301DF4" w:rsidP="00226424">
      <w:pPr>
        <w:pStyle w:val="dotpoints"/>
      </w:pPr>
      <w:r>
        <w:t>leveraging social procurement</w:t>
      </w:r>
    </w:p>
    <w:p w14:paraId="6DFC0D6D" w14:textId="77777777" w:rsidR="00301DF4" w:rsidRDefault="00301DF4" w:rsidP="00226424">
      <w:pPr>
        <w:pStyle w:val="dotpoints"/>
      </w:pPr>
      <w:r>
        <w:t>offering non-employment services as a NDIS provider</w:t>
      </w:r>
    </w:p>
    <w:p w14:paraId="799C110B" w14:textId="77777777" w:rsidR="00301DF4" w:rsidRDefault="00301DF4" w:rsidP="00226424">
      <w:pPr>
        <w:pStyle w:val="dotpoints"/>
      </w:pPr>
      <w:r>
        <w:t>specialising as employment support providers working to support employees in open employment</w:t>
      </w:r>
    </w:p>
    <w:p w14:paraId="7346DC56" w14:textId="77777777" w:rsidR="00301DF4" w:rsidRDefault="00301DF4" w:rsidP="00226424">
      <w:pPr>
        <w:pStyle w:val="dotpoints"/>
      </w:pPr>
      <w:r>
        <w:t>business closure (DSS, 2017).</w:t>
      </w:r>
    </w:p>
    <w:p w14:paraId="61E4D92D" w14:textId="73E761A7" w:rsidR="00D062EB" w:rsidRDefault="00084CCD" w:rsidP="00333F99">
      <w:pPr>
        <w:pStyle w:val="Normal4"/>
      </w:pPr>
      <w:r>
        <w:t>Between 2015/16 and 2019/20 the Commonwealth government provided $1.3</w:t>
      </w:r>
      <w:r w:rsidR="00B0180D">
        <w:t xml:space="preserve"> billion</w:t>
      </w:r>
      <w:r>
        <w:t xml:space="preserve"> in funding to supported employment</w:t>
      </w:r>
      <w:r w:rsidR="00510573">
        <w:t xml:space="preserve"> </w:t>
      </w:r>
      <w:r>
        <w:t>(DSS, 2017).</w:t>
      </w:r>
      <w:r w:rsidR="004E36A8">
        <w:t xml:space="preserve"> </w:t>
      </w:r>
      <w:r w:rsidR="00726387">
        <w:t xml:space="preserve">In the same period, </w:t>
      </w:r>
      <w:r w:rsidR="00605370">
        <w:t xml:space="preserve">over $180 million </w:t>
      </w:r>
      <w:r w:rsidR="00B60522">
        <w:t>was provided</w:t>
      </w:r>
      <w:r w:rsidR="00291066">
        <w:t xml:space="preserve"> through transitional funding support</w:t>
      </w:r>
      <w:r w:rsidR="00B60522">
        <w:t xml:space="preserve"> to assist the </w:t>
      </w:r>
      <w:r w:rsidR="00F363D0">
        <w:t xml:space="preserve">supported employment sector </w:t>
      </w:r>
      <w:r w:rsidR="00291066">
        <w:t>to adjust to higher wages and conduct business planning in preparation and transition to the NDIS. In 2017, t</w:t>
      </w:r>
      <w:r w:rsidR="00291066" w:rsidRPr="004E36A8">
        <w:t xml:space="preserve">he average cost of employment support from the </w:t>
      </w:r>
      <w:r w:rsidR="00291066">
        <w:t xml:space="preserve">Commonwealth </w:t>
      </w:r>
      <w:r w:rsidR="00291066" w:rsidRPr="004E36A8">
        <w:t xml:space="preserve">Government per supported employee </w:t>
      </w:r>
      <w:r w:rsidR="00291066">
        <w:t>was</w:t>
      </w:r>
      <w:r w:rsidR="00291066" w:rsidRPr="004E36A8">
        <w:t xml:space="preserve"> $11,800</w:t>
      </w:r>
      <w:r w:rsidR="00C30758">
        <w:t xml:space="preserve"> with an additional $2,500 </w:t>
      </w:r>
      <w:r w:rsidR="00531314">
        <w:t xml:space="preserve">for </w:t>
      </w:r>
      <w:r w:rsidR="00C30758">
        <w:t>transitional support</w:t>
      </w:r>
      <w:r w:rsidR="00291066">
        <w:t xml:space="preserve"> (DSS, 2017)</w:t>
      </w:r>
      <w:r w:rsidR="00291066" w:rsidRPr="004E36A8">
        <w:t>.</w:t>
      </w:r>
    </w:p>
    <w:p w14:paraId="639A63B2" w14:textId="1023EE2A" w:rsidR="00D062EB" w:rsidRPr="006D24C1" w:rsidRDefault="00D062EB" w:rsidP="00333F99">
      <w:pPr>
        <w:pStyle w:val="Normal4"/>
      </w:pPr>
      <w:r>
        <w:t>T</w:t>
      </w:r>
      <w:r w:rsidR="005437D7">
        <w:t>oday, t</w:t>
      </w:r>
      <w:r>
        <w:t xml:space="preserve">he </w:t>
      </w:r>
      <w:r w:rsidR="0002115B">
        <w:t xml:space="preserve">National Disability Insurance Agency (NDIA, </w:t>
      </w:r>
      <w:r w:rsidRPr="00D57DE8">
        <w:t>2020) defines an ADE as:</w:t>
      </w:r>
    </w:p>
    <w:p w14:paraId="34EFA00C" w14:textId="77777777" w:rsidR="00D062EB" w:rsidRPr="003659E2" w:rsidRDefault="00D062EB" w:rsidP="00D062EB">
      <w:pPr>
        <w:pStyle w:val="Quote"/>
      </w:pPr>
      <w:r w:rsidRPr="00D57DE8">
        <w:rPr>
          <w:rStyle w:val="markedcontent"/>
          <w:rFonts w:cstheme="minorHAnsi"/>
        </w:rPr>
        <w:t>generally not-for-profit</w:t>
      </w:r>
      <w:r>
        <w:t xml:space="preserve"> </w:t>
      </w:r>
      <w:r w:rsidRPr="00D57DE8">
        <w:rPr>
          <w:rStyle w:val="markedcontent"/>
          <w:rFonts w:cstheme="minorHAnsi"/>
        </w:rPr>
        <w:t>organisations that provide employment for people with moderate</w:t>
      </w:r>
      <w:r>
        <w:t xml:space="preserve"> </w:t>
      </w:r>
      <w:r w:rsidRPr="00D57DE8">
        <w:rPr>
          <w:rStyle w:val="markedcontent"/>
          <w:rFonts w:cstheme="minorHAnsi"/>
        </w:rPr>
        <w:t>to severe disability who need significant support to work. ADEs</w:t>
      </w:r>
      <w:r>
        <w:t xml:space="preserve"> </w:t>
      </w:r>
      <w:r w:rsidRPr="00D57DE8">
        <w:rPr>
          <w:rStyle w:val="markedcontent"/>
          <w:rFonts w:cstheme="minorHAnsi"/>
        </w:rPr>
        <w:t>provide a wide range of employment opportunities including</w:t>
      </w:r>
      <w:r>
        <w:t xml:space="preserve"> </w:t>
      </w:r>
      <w:r w:rsidRPr="00D57DE8">
        <w:rPr>
          <w:rStyle w:val="markedcontent"/>
          <w:rFonts w:cstheme="minorHAnsi"/>
        </w:rPr>
        <w:t>packaging, assembly, production, recycling, screen printing, plant</w:t>
      </w:r>
      <w:r>
        <w:t xml:space="preserve"> </w:t>
      </w:r>
      <w:r w:rsidRPr="00D57DE8">
        <w:rPr>
          <w:rStyle w:val="markedcontent"/>
          <w:rFonts w:cstheme="minorHAnsi"/>
        </w:rPr>
        <w:t>nursery, garden maintenance and landscaping, cleaning services,</w:t>
      </w:r>
      <w:r>
        <w:t xml:space="preserve"> </w:t>
      </w:r>
      <w:r w:rsidRPr="00D57DE8">
        <w:rPr>
          <w:rStyle w:val="markedcontent"/>
          <w:rFonts w:cstheme="minorHAnsi"/>
        </w:rPr>
        <w:t>laundry services and food services</w:t>
      </w:r>
      <w:r>
        <w:rPr>
          <w:rStyle w:val="markedcontent"/>
          <w:rFonts w:cstheme="minorHAnsi"/>
        </w:rPr>
        <w:t xml:space="preserve"> (NDIA, 2020, p. 4).</w:t>
      </w:r>
    </w:p>
    <w:p w14:paraId="155471B2" w14:textId="41220FD2" w:rsidR="00D062EB" w:rsidRPr="00084CCD" w:rsidRDefault="0087025F" w:rsidP="00333F99">
      <w:pPr>
        <w:pStyle w:val="Normal4"/>
      </w:pPr>
      <w:r>
        <w:lastRenderedPageBreak/>
        <w:t xml:space="preserve">There were over 14,000 NDIS participants working in ADEs by the end of 2020 (NDIA, 2020). </w:t>
      </w:r>
      <w:r w:rsidR="00955E39">
        <w:t xml:space="preserve">See Appendix </w:t>
      </w:r>
      <w:r w:rsidR="002162F7">
        <w:t>2</w:t>
      </w:r>
      <w:r w:rsidR="00955E39">
        <w:t xml:space="preserve"> for details </w:t>
      </w:r>
      <w:r w:rsidR="00554E74">
        <w:t xml:space="preserve">of data 2009 – 2019. </w:t>
      </w:r>
    </w:p>
    <w:p w14:paraId="79823391" w14:textId="11323F65" w:rsidR="00BB6DBF" w:rsidRPr="00AA7094" w:rsidRDefault="00BB6DBF" w:rsidP="00BB6DBF">
      <w:pPr>
        <w:pStyle w:val="Heading3"/>
      </w:pPr>
      <w:r w:rsidRPr="00AA7094">
        <w:t>New funding model introduced by NDIS expanding providers of employment</w:t>
      </w:r>
      <w:r w:rsidR="00AD673E">
        <w:t xml:space="preserve"> supports</w:t>
      </w:r>
      <w:r w:rsidRPr="00AA7094">
        <w:t xml:space="preserve"> beyond ADE</w:t>
      </w:r>
      <w:r w:rsidR="00883A75">
        <w:rPr>
          <w:caps w:val="0"/>
        </w:rPr>
        <w:t>s</w:t>
      </w:r>
    </w:p>
    <w:p w14:paraId="0AA7E747" w14:textId="77777777" w:rsidR="006A22EC" w:rsidRDefault="00BB6DBF" w:rsidP="00333F99">
      <w:pPr>
        <w:pStyle w:val="Normal4"/>
      </w:pPr>
      <w:r>
        <w:t>Funding arrangements for ADEs have been changing since the advent of the National Disability Insurance Scheme (NDIS)</w:t>
      </w:r>
      <w:r w:rsidR="00FF7482">
        <w:t>.</w:t>
      </w:r>
      <w:r>
        <w:t xml:space="preserve"> </w:t>
      </w:r>
      <w:r w:rsidR="00FF7482">
        <w:t>Funding has shifted</w:t>
      </w:r>
      <w:r>
        <w:t xml:space="preserve"> from </w:t>
      </w:r>
      <w:r w:rsidR="005D07CD">
        <w:t xml:space="preserve">‘case-based funding’ </w:t>
      </w:r>
      <w:r w:rsidR="00FF7482">
        <w:t xml:space="preserve">(for a capped number of employees) </w:t>
      </w:r>
      <w:r>
        <w:t xml:space="preserve">made to ADEs </w:t>
      </w:r>
      <w:r w:rsidR="005D07CD">
        <w:t>(DSS, 2017)</w:t>
      </w:r>
      <w:r w:rsidR="008754F0">
        <w:t>,</w:t>
      </w:r>
      <w:r w:rsidR="005D07CD">
        <w:t xml:space="preserve"> </w:t>
      </w:r>
      <w:r>
        <w:t>to individualised funding to purchase employment supports within the funding packages of NDIS participants (in this context, ADE employees).</w:t>
      </w:r>
      <w:r w:rsidR="00FF7482" w:rsidRPr="00FF7482">
        <w:t xml:space="preserve"> </w:t>
      </w:r>
    </w:p>
    <w:p w14:paraId="69A0A148" w14:textId="45EF7E02" w:rsidR="008E02E4" w:rsidRDefault="008E02E4" w:rsidP="00333F99">
      <w:pPr>
        <w:pStyle w:val="Normal4"/>
      </w:pPr>
      <w:r>
        <w:t>In 2017, the Department of Social Services anticipated that</w:t>
      </w:r>
      <w:r w:rsidR="00FF7482">
        <w:t>, by full Scheme,</w:t>
      </w:r>
      <w:r>
        <w:t xml:space="preserve"> </w:t>
      </w:r>
      <w:r w:rsidR="00FF7482">
        <w:t xml:space="preserve">the number of people receiving employment supports in their plan would </w:t>
      </w:r>
      <w:r>
        <w:t>‘</w:t>
      </w:r>
      <w:r w:rsidRPr="008E02E4">
        <w:t>grow significantly beyond the existing cohort</w:t>
      </w:r>
      <w:r>
        <w:t xml:space="preserve"> </w:t>
      </w:r>
      <w:r w:rsidRPr="008E02E4">
        <w:t>of 20,000 supported employees</w:t>
      </w:r>
      <w:r>
        <w:t>’</w:t>
      </w:r>
      <w:r w:rsidR="00FF7482">
        <w:t xml:space="preserve"> (DSS, 2017, p.</w:t>
      </w:r>
      <w:r w:rsidR="006C1A14">
        <w:t xml:space="preserve"> </w:t>
      </w:r>
      <w:r w:rsidR="00FF7482">
        <w:t>5)</w:t>
      </w:r>
      <w:r w:rsidR="00FF7482">
        <w:rPr>
          <w:rFonts w:ascii="Arial" w:hAnsi="Arial"/>
          <w:sz w:val="23"/>
          <w:szCs w:val="23"/>
        </w:rPr>
        <w:t>.</w:t>
      </w:r>
      <w:r w:rsidR="00FF7482">
        <w:t xml:space="preserve"> DSS also saw this an opportunity for ‘market expansion’ for ADEs</w:t>
      </w:r>
      <w:r w:rsidR="00FF7482" w:rsidRPr="00FF7482">
        <w:t>, who would be ‘well positioned to attract more employees’ (DSS, 2017, p.</w:t>
      </w:r>
      <w:r w:rsidR="006C1A14">
        <w:t xml:space="preserve"> </w:t>
      </w:r>
      <w:r w:rsidR="00FF7482" w:rsidRPr="00FF7482">
        <w:t>11)</w:t>
      </w:r>
      <w:r w:rsidR="00FA1E1E">
        <w:t xml:space="preserve"> though there would also be ‘stronger pathways’ between open and supported employment (DSS, 2017, p.</w:t>
      </w:r>
      <w:r w:rsidR="006C1A14">
        <w:t xml:space="preserve"> </w:t>
      </w:r>
      <w:r w:rsidR="00FA1E1E">
        <w:t>17):</w:t>
      </w:r>
    </w:p>
    <w:p w14:paraId="09C1CFA1" w14:textId="179D9BD7" w:rsidR="00D65B48" w:rsidRDefault="00FA1E1E" w:rsidP="00B96CAA">
      <w:pPr>
        <w:pStyle w:val="Quote"/>
      </w:pPr>
      <w:r>
        <w:t>Some businesses may choose to explore the provision of more seamless service transition between supported and open employment, as a person’s capacity to work improves (DSS, 2017, p. 18).</w:t>
      </w:r>
    </w:p>
    <w:p w14:paraId="5DD38777" w14:textId="61107584" w:rsidR="001F6314" w:rsidRDefault="00137A4A" w:rsidP="00333F99">
      <w:pPr>
        <w:pStyle w:val="Normal4"/>
      </w:pPr>
      <w:r>
        <w:t>The latest NDIS pricing arrangement</w:t>
      </w:r>
      <w:r w:rsidR="00AF6380">
        <w:t>s</w:t>
      </w:r>
      <w:r>
        <w:t xml:space="preserve"> ha</w:t>
      </w:r>
      <w:r w:rsidR="00AF6380">
        <w:t>ve</w:t>
      </w:r>
      <w:r>
        <w:t xml:space="preserve"> articulated th</w:t>
      </w:r>
      <w:r w:rsidR="00936EB5">
        <w:t>at</w:t>
      </w:r>
      <w:r>
        <w:t xml:space="preserve"> supports </w:t>
      </w:r>
      <w:r w:rsidR="00936EB5">
        <w:t xml:space="preserve">traditionally provided by ADEs can be purchased from a wider </w:t>
      </w:r>
      <w:r w:rsidR="004A73A2">
        <w:t xml:space="preserve">range of </w:t>
      </w:r>
      <w:r w:rsidR="00936EB5">
        <w:t xml:space="preserve">employment </w:t>
      </w:r>
      <w:r w:rsidR="00AF6380">
        <w:t xml:space="preserve">providers and for different employment </w:t>
      </w:r>
      <w:r w:rsidR="00936EB5">
        <w:t>settings</w:t>
      </w:r>
      <w:r w:rsidR="00A40091">
        <w:t xml:space="preserve">: </w:t>
      </w:r>
    </w:p>
    <w:p w14:paraId="31D8BF63" w14:textId="6335E34C" w:rsidR="001F6314" w:rsidRDefault="001F6314" w:rsidP="00B96CAA">
      <w:pPr>
        <w:pStyle w:val="Quote"/>
      </w:pPr>
      <w:r>
        <w:t>While some participants, with supports offered through DES or employer reasonable adjustment, will successfully maintain work, others will need higher intensity, often daily, support delivered in the workplace to maintain employment. These supports have typically been available in an</w:t>
      </w:r>
      <w:r w:rsidR="008C021C">
        <w:t xml:space="preserve"> Australian Disability Enterprise. They can also be used in a range of employment settings </w:t>
      </w:r>
      <w:proofErr w:type="gramStart"/>
      <w:r w:rsidR="008C021C">
        <w:t>including:</w:t>
      </w:r>
      <w:proofErr w:type="gramEnd"/>
      <w:r w:rsidR="008C021C">
        <w:t xml:space="preserve"> private, government or not for profit organisations; a social enterprise or similar environment; self-employment or a micro-business; or a family run business (NDIA, 2022, pp. 61-62). </w:t>
      </w:r>
    </w:p>
    <w:p w14:paraId="6664FFE0" w14:textId="6EDEA02B" w:rsidR="00BB6DBF" w:rsidRDefault="00FF7482" w:rsidP="00333F99">
      <w:pPr>
        <w:pStyle w:val="Normal4"/>
      </w:pPr>
      <w:r>
        <w:t xml:space="preserve">These changes to the way employment supports are funded by NDIS have enabled participants to utilise ‘supports in employment’ funding in services other than ADEs, and the NDIS has emphasised this opportunity for individuals to select supports and the type of employment outcome they seek. </w:t>
      </w:r>
      <w:r w:rsidR="00832C11">
        <w:t>Currently, f</w:t>
      </w:r>
      <w:r w:rsidR="00BB6DBF">
        <w:t xml:space="preserve">unded employment supports are available within the NDIS in both Core and Capacity Building areas of plans, but confusion remains among providers, planners and individuals about the parameters and focus of each (as identified in </w:t>
      </w:r>
      <w:r w:rsidR="00E93F00">
        <w:t>Centre for Social Impact (</w:t>
      </w:r>
      <w:r w:rsidR="00BB6DBF">
        <w:t>CSI</w:t>
      </w:r>
      <w:r w:rsidR="00E93F00">
        <w:t>)</w:t>
      </w:r>
      <w:r w:rsidR="00BB6DBF">
        <w:t xml:space="preserve"> research with stakeholders</w:t>
      </w:r>
      <w:r w:rsidR="00927A3F">
        <w:t>, see Paper 5</w:t>
      </w:r>
      <w:r w:rsidR="00BB6DBF">
        <w:t xml:space="preserve">). </w:t>
      </w:r>
      <w:proofErr w:type="gramStart"/>
      <w:r w:rsidR="00BB6DBF">
        <w:t>In particular, there</w:t>
      </w:r>
      <w:proofErr w:type="gramEnd"/>
      <w:r w:rsidR="00BB6DBF">
        <w:t xml:space="preserve"> are concerns about different pricing levels for similar employment support activities funded in Core or Capacity Building, or in Supported Employment settings (ADEs) vs Open Employment settings.</w:t>
      </w:r>
      <w:r>
        <w:t xml:space="preserve"> </w:t>
      </w:r>
      <w:r w:rsidR="000E1590">
        <w:t xml:space="preserve">There are also concerns that NDIS employment funding does not cover all the employment support necessary to </w:t>
      </w:r>
      <w:r w:rsidR="00274FB5">
        <w:t xml:space="preserve">create or </w:t>
      </w:r>
      <w:r w:rsidR="000E1590">
        <w:t xml:space="preserve">attain and retain employment, including </w:t>
      </w:r>
      <w:r w:rsidR="00927A3F">
        <w:t>capacity building and support to employers, and ongoing capacity building for employees with disability (see Paper 5).</w:t>
      </w:r>
    </w:p>
    <w:p w14:paraId="61F2D647" w14:textId="63A8E374" w:rsidR="00FF7482" w:rsidRDefault="00FF7482" w:rsidP="00333F99">
      <w:pPr>
        <w:pStyle w:val="Normal4"/>
      </w:pPr>
      <w:r>
        <w:t>In this context of change, the ‘market’ of employment support providers within the NDIS is yet to fully emerge. In 2017, the DSS anticipated that this would take 10 years to evolve</w:t>
      </w:r>
      <w:r w:rsidR="004E36A8">
        <w:t xml:space="preserve"> (DSS, 2017).</w:t>
      </w:r>
    </w:p>
    <w:p w14:paraId="41E40D88" w14:textId="10BCD2A1" w:rsidR="008B345F" w:rsidRDefault="008B345F" w:rsidP="00333F99">
      <w:pPr>
        <w:pStyle w:val="Normal4"/>
      </w:pPr>
      <w:r>
        <w:lastRenderedPageBreak/>
        <w:t>Previously under the case-base funding, ADEs operated with capped places. It was envisaged that under the NDIS funding model supported employment places will no longer be capped and there will be increased employment opportunities for both businesses and participants, with new providers to offer employment and employment supports (DSS, 2017).</w:t>
      </w:r>
    </w:p>
    <w:p w14:paraId="6A0379B5" w14:textId="31BD89B5" w:rsidR="00555A20" w:rsidRDefault="005F3DD5" w:rsidP="00555A20">
      <w:pPr>
        <w:pStyle w:val="Heading3"/>
      </w:pPr>
      <w:r>
        <w:t>The changing landscape</w:t>
      </w:r>
    </w:p>
    <w:p w14:paraId="4BB933AE" w14:textId="10A90F7B" w:rsidR="00BB6DBF" w:rsidRDefault="00BB6DBF" w:rsidP="00333F99">
      <w:pPr>
        <w:pStyle w:val="Normal4"/>
      </w:pPr>
      <w:r>
        <w:t>The Australian Disability Enterprise Services formally ceased operation as a DSS program on 31 March 2021 (Productivity Commission, 2021), which then enabled ADE organisations to identify new denominations for their organisational entities and activities. In this context, over recent years, some former ADEs have been evolving their organisational and business models, with some seeking formal certification as Social Enterprises (</w:t>
      </w:r>
      <w:proofErr w:type="gramStart"/>
      <w:r>
        <w:t>i.e.</w:t>
      </w:r>
      <w:proofErr w:type="gramEnd"/>
      <w:r>
        <w:t xml:space="preserve"> ‘Social Traders Certified Social Enterprise’), others using the term ‘social enterprise’ but without formal certification, and others using different nomenclature, such as ‘business enterprises’. Encompassed in this evolution has been an expansion of the beneficiary groups targeted (for example, some organisations have expanded to include a focus on marginalised groups without disability), and of operational activities for some, but not all, former ADEs.</w:t>
      </w:r>
    </w:p>
    <w:p w14:paraId="7E3F51C3" w14:textId="55DAB231" w:rsidR="00D8778B" w:rsidRDefault="00D8778B" w:rsidP="00333F99">
      <w:pPr>
        <w:pStyle w:val="Normal4"/>
      </w:pPr>
      <w:r>
        <w:t>In this changing landscape, it is difficult to distinguish these organisational types</w:t>
      </w:r>
      <w:r w:rsidR="001D24E2">
        <w:t xml:space="preserve"> and </w:t>
      </w:r>
      <w:r w:rsidR="00066341">
        <w:t>identify those included in what was formerly the ADE sector</w:t>
      </w:r>
      <w:r>
        <w:t>. To some extent, it is the historical funding arrangements that define the cluster of former ADE organisations.</w:t>
      </w:r>
    </w:p>
    <w:p w14:paraId="26FA91C0" w14:textId="77777777" w:rsidR="00555A20" w:rsidRDefault="00555A20" w:rsidP="00555A20">
      <w:pPr>
        <w:pStyle w:val="Heading3"/>
      </w:pPr>
      <w:r>
        <w:t>Glossary of terms</w:t>
      </w:r>
    </w:p>
    <w:p w14:paraId="18D7B15F" w14:textId="16FC5A7D" w:rsidR="00BB6DBF" w:rsidRDefault="00555A20" w:rsidP="00333F99">
      <w:pPr>
        <w:pStyle w:val="Normal4"/>
      </w:pPr>
      <w:r>
        <w:t>Given the changing landscape of ADEs/supported employment</w:t>
      </w:r>
      <w:r w:rsidR="00274FB5">
        <w:t xml:space="preserve"> organisations</w:t>
      </w:r>
      <w:r>
        <w:t>, and the lack of official data sources utilising common terminology, a</w:t>
      </w:r>
      <w:r w:rsidR="00BB6DBF">
        <w:t xml:space="preserve"> glossary of terms has been created </w:t>
      </w:r>
      <w:r>
        <w:t>below.</w:t>
      </w:r>
    </w:p>
    <w:p w14:paraId="43DB0C4B" w14:textId="394EC371" w:rsidR="00BB6DBF" w:rsidRPr="006F1C42" w:rsidRDefault="0014185D" w:rsidP="00BB6DBF">
      <w:pPr>
        <w:pStyle w:val="Table"/>
      </w:pPr>
      <w:r>
        <w:t xml:space="preserve">Table 1: </w:t>
      </w:r>
      <w:r w:rsidR="00BB6DBF" w:rsidRPr="006F1C42">
        <w:t>Glossary of terms</w:t>
      </w:r>
    </w:p>
    <w:tbl>
      <w:tblPr>
        <w:tblStyle w:val="TableGrid"/>
        <w:tblW w:w="0" w:type="auto"/>
        <w:tblLook w:val="04A0" w:firstRow="1" w:lastRow="0" w:firstColumn="1" w:lastColumn="0" w:noHBand="0" w:noVBand="1"/>
      </w:tblPr>
      <w:tblGrid>
        <w:gridCol w:w="2405"/>
        <w:gridCol w:w="6611"/>
      </w:tblGrid>
      <w:tr w:rsidR="00274FB5" w:rsidRPr="00BB6DBF" w14:paraId="707858A0" w14:textId="77777777" w:rsidTr="00A23068">
        <w:tc>
          <w:tcPr>
            <w:tcW w:w="2405" w:type="dxa"/>
          </w:tcPr>
          <w:p w14:paraId="2A5B9330" w14:textId="74C69C26" w:rsidR="00274FB5" w:rsidRPr="00BB6DBF" w:rsidRDefault="00274FB5" w:rsidP="00274FB5">
            <w:pPr>
              <w:rPr>
                <w:rFonts w:asciiTheme="minorHAnsi" w:hAnsiTheme="minorHAnsi" w:cstheme="minorHAnsi"/>
              </w:rPr>
            </w:pPr>
            <w:r>
              <w:rPr>
                <w:rFonts w:asciiTheme="minorHAnsi" w:hAnsiTheme="minorHAnsi" w:cstheme="minorHAnsi"/>
              </w:rPr>
              <w:t>ADE o</w:t>
            </w:r>
            <w:r w:rsidRPr="00BB6DBF">
              <w:rPr>
                <w:rFonts w:asciiTheme="minorHAnsi" w:hAnsiTheme="minorHAnsi" w:cstheme="minorHAnsi"/>
              </w:rPr>
              <w:t>utlet</w:t>
            </w:r>
          </w:p>
        </w:tc>
        <w:tc>
          <w:tcPr>
            <w:tcW w:w="6611" w:type="dxa"/>
          </w:tcPr>
          <w:p w14:paraId="51FFB75D" w14:textId="77777777" w:rsidR="00274FB5" w:rsidRDefault="00274FB5" w:rsidP="00274FB5">
            <w:pPr>
              <w:rPr>
                <w:rFonts w:asciiTheme="minorHAnsi" w:hAnsiTheme="minorHAnsi" w:cstheme="minorHAnsi"/>
              </w:rPr>
            </w:pPr>
            <w:r>
              <w:rPr>
                <w:rFonts w:asciiTheme="minorHAnsi" w:hAnsiTheme="minorHAnsi" w:cstheme="minorHAnsi"/>
              </w:rPr>
              <w:t xml:space="preserve">This is the enterprise level unit used for ADEs. Usually this is site specific, but some ADEs may operate across multiple sites or operate multiple, distinct commercial enterprises on a single site. </w:t>
            </w:r>
          </w:p>
          <w:p w14:paraId="162A5129" w14:textId="5A2A5448" w:rsidR="00274FB5" w:rsidRPr="00BB6DBF" w:rsidRDefault="00274FB5" w:rsidP="00274FB5">
            <w:pPr>
              <w:rPr>
                <w:rFonts w:asciiTheme="minorHAnsi" w:hAnsiTheme="minorHAnsi" w:cstheme="minorHAnsi"/>
              </w:rPr>
            </w:pPr>
            <w:r>
              <w:rPr>
                <w:rFonts w:asciiTheme="minorHAnsi" w:hAnsiTheme="minorHAnsi" w:cstheme="minorHAnsi"/>
              </w:rPr>
              <w:t xml:space="preserve">When ADE statistics are collected/reported, unless it is otherwise specified, data is at the outlet level. </w:t>
            </w:r>
          </w:p>
        </w:tc>
      </w:tr>
      <w:tr w:rsidR="00274FB5" w:rsidRPr="00BB6DBF" w14:paraId="783D671B" w14:textId="77777777" w:rsidTr="00A23068">
        <w:tc>
          <w:tcPr>
            <w:tcW w:w="2405" w:type="dxa"/>
          </w:tcPr>
          <w:p w14:paraId="45737F73" w14:textId="21BC8E3F" w:rsidR="00274FB5" w:rsidRPr="00BB6DBF" w:rsidRDefault="00274FB5" w:rsidP="00274FB5">
            <w:pPr>
              <w:rPr>
                <w:rFonts w:asciiTheme="minorHAnsi" w:hAnsiTheme="minorHAnsi" w:cstheme="minorHAnsi"/>
              </w:rPr>
            </w:pPr>
            <w:r w:rsidRPr="00BB6DBF">
              <w:rPr>
                <w:rFonts w:asciiTheme="minorHAnsi" w:hAnsiTheme="minorHAnsi" w:cstheme="minorHAnsi"/>
              </w:rPr>
              <w:t xml:space="preserve">ADE provider </w:t>
            </w:r>
          </w:p>
        </w:tc>
        <w:tc>
          <w:tcPr>
            <w:tcW w:w="6611" w:type="dxa"/>
          </w:tcPr>
          <w:p w14:paraId="7AED2F52" w14:textId="456222EA" w:rsidR="00274FB5" w:rsidRPr="00BB6DBF" w:rsidRDefault="00274FB5" w:rsidP="00274FB5">
            <w:pPr>
              <w:rPr>
                <w:rFonts w:asciiTheme="minorHAnsi" w:hAnsiTheme="minorHAnsi" w:cstheme="minorHAnsi"/>
              </w:rPr>
            </w:pPr>
            <w:r w:rsidRPr="00BB6DBF">
              <w:rPr>
                <w:rFonts w:asciiTheme="minorHAnsi" w:hAnsiTheme="minorHAnsi" w:cstheme="minorHAnsi"/>
              </w:rPr>
              <w:t>Host organisation (usually</w:t>
            </w:r>
            <w:r>
              <w:rPr>
                <w:rFonts w:asciiTheme="minorHAnsi" w:hAnsiTheme="minorHAnsi" w:cstheme="minorHAnsi"/>
              </w:rPr>
              <w:t>, but not always,</w:t>
            </w:r>
            <w:r w:rsidRPr="00BB6DBF">
              <w:rPr>
                <w:rFonts w:asciiTheme="minorHAnsi" w:hAnsiTheme="minorHAnsi" w:cstheme="minorHAnsi"/>
              </w:rPr>
              <w:t xml:space="preserve"> a disability service provider) that is the overarching organisational entity usually offering a level of core administrative functions, such as payroll, insurance etc. Frequently this organisation offers a range of disability services and is an NDIS registered provider.</w:t>
            </w:r>
            <w:r w:rsidR="0000648A">
              <w:rPr>
                <w:rFonts w:asciiTheme="minorHAnsi" w:hAnsiTheme="minorHAnsi" w:cstheme="minorHAnsi"/>
              </w:rPr>
              <w:t xml:space="preserve"> </w:t>
            </w:r>
            <w:r w:rsidRPr="00BB6DBF">
              <w:rPr>
                <w:rFonts w:asciiTheme="minorHAnsi" w:hAnsiTheme="minorHAnsi" w:cstheme="minorHAnsi"/>
              </w:rPr>
              <w:t>Multiple ADE commercial enterprise types and/or enterprise sites may operate under the ADE provider organisation umbrella.</w:t>
            </w:r>
          </w:p>
        </w:tc>
      </w:tr>
      <w:tr w:rsidR="00274FB5" w:rsidRPr="00BB6DBF" w14:paraId="16D2F6C4" w14:textId="77777777" w:rsidTr="00A23068">
        <w:tc>
          <w:tcPr>
            <w:tcW w:w="2405" w:type="dxa"/>
          </w:tcPr>
          <w:p w14:paraId="7BC076AF" w14:textId="32726B09" w:rsidR="00274FB5" w:rsidRPr="00BB6DBF" w:rsidRDefault="00274FB5" w:rsidP="00274FB5">
            <w:pPr>
              <w:rPr>
                <w:rFonts w:asciiTheme="minorHAnsi" w:hAnsiTheme="minorHAnsi" w:cstheme="minorHAnsi"/>
              </w:rPr>
            </w:pPr>
            <w:r>
              <w:rPr>
                <w:rFonts w:asciiTheme="minorHAnsi" w:hAnsiTheme="minorHAnsi" w:cstheme="minorHAnsi"/>
              </w:rPr>
              <w:t>ADE sector</w:t>
            </w:r>
          </w:p>
        </w:tc>
        <w:tc>
          <w:tcPr>
            <w:tcW w:w="6611" w:type="dxa"/>
          </w:tcPr>
          <w:p w14:paraId="21961C93" w14:textId="63C77DF6" w:rsidR="00274FB5" w:rsidRDefault="00274FB5" w:rsidP="00274FB5">
            <w:pPr>
              <w:rPr>
                <w:rFonts w:asciiTheme="minorHAnsi" w:hAnsiTheme="minorHAnsi" w:cstheme="minorHAnsi"/>
              </w:rPr>
            </w:pPr>
            <w:r>
              <w:rPr>
                <w:rFonts w:asciiTheme="minorHAnsi" w:hAnsiTheme="minorHAnsi" w:cstheme="minorHAnsi"/>
              </w:rPr>
              <w:t>The sector of provider organisations and outlets that have previously been funded under Australian Disability Enterprise Services funding, prior to its cessation. It is noted that new terminology will be needed in future to encompass the shape of a sector that includes new entrants and the exit/closure of previously included organisations.</w:t>
            </w:r>
          </w:p>
        </w:tc>
      </w:tr>
      <w:tr w:rsidR="00274FB5" w:rsidRPr="00BB6DBF" w14:paraId="7CB42F15" w14:textId="77777777" w:rsidTr="00A23068">
        <w:tc>
          <w:tcPr>
            <w:tcW w:w="2405" w:type="dxa"/>
          </w:tcPr>
          <w:p w14:paraId="5D48092D" w14:textId="77777777" w:rsidR="00274FB5" w:rsidRPr="00BB6DBF" w:rsidRDefault="00274FB5" w:rsidP="00274FB5">
            <w:pPr>
              <w:rPr>
                <w:rFonts w:asciiTheme="minorHAnsi" w:hAnsiTheme="minorHAnsi" w:cstheme="minorHAnsi"/>
              </w:rPr>
            </w:pPr>
            <w:r w:rsidRPr="00BB6DBF">
              <w:rPr>
                <w:rFonts w:asciiTheme="minorHAnsi" w:hAnsiTheme="minorHAnsi" w:cstheme="minorHAnsi"/>
              </w:rPr>
              <w:t>Certified Social Enterprise</w:t>
            </w:r>
          </w:p>
        </w:tc>
        <w:tc>
          <w:tcPr>
            <w:tcW w:w="6611" w:type="dxa"/>
          </w:tcPr>
          <w:p w14:paraId="2F94DB77" w14:textId="265B56D2" w:rsidR="00274FB5" w:rsidRPr="00BB6DBF" w:rsidRDefault="00274FB5" w:rsidP="00274FB5">
            <w:pPr>
              <w:rPr>
                <w:rFonts w:asciiTheme="minorHAnsi" w:hAnsiTheme="minorHAnsi" w:cstheme="minorHAnsi"/>
              </w:rPr>
            </w:pPr>
            <w:r>
              <w:rPr>
                <w:rFonts w:asciiTheme="minorHAnsi" w:hAnsiTheme="minorHAnsi" w:cstheme="minorHAnsi"/>
              </w:rPr>
              <w:t xml:space="preserve">Launched in 2018, Social Traders provides the only social enterprise certification in Australia. The certification criteria require that a social enterprise exists to create impact through trade by: ‘having a defined primary social, cultural or environmental purpose consistent with a public or community benefit; deriving a substantial portion of income from trade; investing efforts and resources into their purpose such that public/community benefit outweighs private benefit’ (Social Traders, n.d.). </w:t>
            </w:r>
          </w:p>
        </w:tc>
      </w:tr>
      <w:tr w:rsidR="00274FB5" w:rsidRPr="00BB6DBF" w14:paraId="53C3BA05" w14:textId="77777777" w:rsidTr="00A23068">
        <w:tc>
          <w:tcPr>
            <w:tcW w:w="2405" w:type="dxa"/>
          </w:tcPr>
          <w:p w14:paraId="71C32479" w14:textId="4D5DA25B" w:rsidR="00274FB5" w:rsidRPr="00BB6DBF" w:rsidRDefault="00274FB5" w:rsidP="00274FB5">
            <w:pPr>
              <w:rPr>
                <w:rFonts w:asciiTheme="minorHAnsi" w:hAnsiTheme="minorHAnsi" w:cstheme="minorHAnsi"/>
              </w:rPr>
            </w:pPr>
            <w:r>
              <w:rPr>
                <w:rFonts w:asciiTheme="minorHAnsi" w:hAnsiTheme="minorHAnsi" w:cstheme="minorHAnsi"/>
              </w:rPr>
              <w:lastRenderedPageBreak/>
              <w:t xml:space="preserve">Integrated workforce </w:t>
            </w:r>
          </w:p>
        </w:tc>
        <w:tc>
          <w:tcPr>
            <w:tcW w:w="6611" w:type="dxa"/>
          </w:tcPr>
          <w:p w14:paraId="665B3316" w14:textId="56781AB0" w:rsidR="00274FB5" w:rsidRDefault="00274FB5" w:rsidP="00274FB5">
            <w:pPr>
              <w:rPr>
                <w:rFonts w:asciiTheme="minorHAnsi" w:hAnsiTheme="minorHAnsi" w:cstheme="minorHAnsi"/>
              </w:rPr>
            </w:pPr>
            <w:r>
              <w:rPr>
                <w:rFonts w:asciiTheme="minorHAnsi" w:hAnsiTheme="minorHAnsi" w:cstheme="minorHAnsi"/>
              </w:rPr>
              <w:t xml:space="preserve">An integrated workforce consists of not only people with disability but also people without disability. </w:t>
            </w:r>
          </w:p>
        </w:tc>
      </w:tr>
      <w:tr w:rsidR="00274FB5" w:rsidRPr="00BB6DBF" w14:paraId="3B619A7A" w14:textId="77777777" w:rsidTr="00A23068">
        <w:tc>
          <w:tcPr>
            <w:tcW w:w="2405" w:type="dxa"/>
          </w:tcPr>
          <w:p w14:paraId="49680921" w14:textId="14FFECDF" w:rsidR="00274FB5" w:rsidRDefault="00274FB5" w:rsidP="00274FB5">
            <w:pPr>
              <w:rPr>
                <w:rFonts w:asciiTheme="minorHAnsi" w:hAnsiTheme="minorHAnsi" w:cstheme="minorHAnsi"/>
              </w:rPr>
            </w:pPr>
            <w:r>
              <w:rPr>
                <w:rFonts w:asciiTheme="minorHAnsi" w:hAnsiTheme="minorHAnsi" w:cstheme="minorHAnsi"/>
              </w:rPr>
              <w:t xml:space="preserve">Open employment </w:t>
            </w:r>
          </w:p>
        </w:tc>
        <w:tc>
          <w:tcPr>
            <w:tcW w:w="6611" w:type="dxa"/>
          </w:tcPr>
          <w:p w14:paraId="3733055D" w14:textId="3F3C21D8" w:rsidR="00274FB5" w:rsidRDefault="00274FB5" w:rsidP="00274FB5">
            <w:pPr>
              <w:rPr>
                <w:rFonts w:asciiTheme="minorHAnsi" w:hAnsiTheme="minorHAnsi" w:cstheme="minorHAnsi"/>
              </w:rPr>
            </w:pPr>
            <w:r>
              <w:rPr>
                <w:rFonts w:asciiTheme="minorHAnsi" w:hAnsiTheme="minorHAnsi" w:cstheme="minorHAnsi"/>
              </w:rPr>
              <w:t xml:space="preserve">(For the purpose of DSP) Open employment is employment in the open labour market, and at relevant minimum wages or above. </w:t>
            </w:r>
          </w:p>
        </w:tc>
      </w:tr>
      <w:tr w:rsidR="00274FB5" w:rsidRPr="00BB6DBF" w14:paraId="14A44CBC" w14:textId="77777777" w:rsidTr="00A23068">
        <w:tc>
          <w:tcPr>
            <w:tcW w:w="2405" w:type="dxa"/>
          </w:tcPr>
          <w:p w14:paraId="101372A6" w14:textId="7AE325C1" w:rsidR="00274FB5" w:rsidRPr="00BB6DBF" w:rsidRDefault="00274FB5" w:rsidP="00274FB5">
            <w:pPr>
              <w:rPr>
                <w:rFonts w:asciiTheme="minorHAnsi" w:hAnsiTheme="minorHAnsi" w:cstheme="minorHAnsi"/>
              </w:rPr>
            </w:pPr>
            <w:r>
              <w:rPr>
                <w:rFonts w:asciiTheme="minorHAnsi" w:hAnsiTheme="minorHAnsi" w:cstheme="minorHAnsi"/>
              </w:rPr>
              <w:t>Pro rata</w:t>
            </w:r>
            <w:r w:rsidRPr="00BB6DBF">
              <w:rPr>
                <w:rFonts w:asciiTheme="minorHAnsi" w:hAnsiTheme="minorHAnsi" w:cstheme="minorHAnsi"/>
              </w:rPr>
              <w:t xml:space="preserve"> wage</w:t>
            </w:r>
          </w:p>
        </w:tc>
        <w:tc>
          <w:tcPr>
            <w:tcW w:w="6611" w:type="dxa"/>
          </w:tcPr>
          <w:p w14:paraId="5522019A" w14:textId="1DAC9660" w:rsidR="00274FB5" w:rsidRDefault="00274FB5" w:rsidP="00274FB5">
            <w:pPr>
              <w:rPr>
                <w:rFonts w:asciiTheme="minorHAnsi" w:hAnsiTheme="minorHAnsi" w:cstheme="minorHAnsi"/>
              </w:rPr>
            </w:pPr>
            <w:r w:rsidRPr="00BB6DBF">
              <w:rPr>
                <w:rFonts w:asciiTheme="minorHAnsi" w:hAnsiTheme="minorHAnsi" w:cstheme="minorHAnsi"/>
              </w:rPr>
              <w:t>A form of productivity-based wage where the level of assessed productivity and/or competence is correlated with payment of a pro rat</w:t>
            </w:r>
            <w:r>
              <w:rPr>
                <w:rFonts w:asciiTheme="minorHAnsi" w:hAnsiTheme="minorHAnsi" w:cstheme="minorHAnsi"/>
              </w:rPr>
              <w:t>a</w:t>
            </w:r>
            <w:r w:rsidRPr="00BB6DBF">
              <w:rPr>
                <w:rFonts w:asciiTheme="minorHAnsi" w:hAnsiTheme="minorHAnsi" w:cstheme="minorHAnsi"/>
              </w:rPr>
              <w:t xml:space="preserve"> proportion of a full wage.</w:t>
            </w:r>
            <w:r>
              <w:rPr>
                <w:rFonts w:asciiTheme="minorHAnsi" w:hAnsiTheme="minorHAnsi" w:cstheme="minorHAnsi"/>
              </w:rPr>
              <w:t xml:space="preserve"> There are 22 wage assessment tools approved under the Supported Employment Services Award 2020.</w:t>
            </w:r>
            <w:r w:rsidRPr="00BB6DBF">
              <w:rPr>
                <w:rFonts w:asciiTheme="minorHAnsi" w:hAnsiTheme="minorHAnsi" w:cstheme="minorHAnsi"/>
              </w:rPr>
              <w:t xml:space="preserve"> (Not all supported employees within ADEs will receive a </w:t>
            </w:r>
            <w:r>
              <w:rPr>
                <w:rFonts w:asciiTheme="minorHAnsi" w:hAnsiTheme="minorHAnsi" w:cstheme="minorHAnsi"/>
              </w:rPr>
              <w:t>pro rata</w:t>
            </w:r>
            <w:r w:rsidRPr="00BB6DBF">
              <w:rPr>
                <w:rFonts w:asciiTheme="minorHAnsi" w:hAnsiTheme="minorHAnsi" w:cstheme="minorHAnsi"/>
              </w:rPr>
              <w:t xml:space="preserve"> wage, some will receive full Award wages</w:t>
            </w:r>
            <w:r>
              <w:rPr>
                <w:rFonts w:asciiTheme="minorHAnsi" w:hAnsiTheme="minorHAnsi" w:cstheme="minorHAnsi"/>
              </w:rPr>
              <w:t>.</w:t>
            </w:r>
            <w:r w:rsidRPr="00BB6DBF">
              <w:rPr>
                <w:rFonts w:asciiTheme="minorHAnsi" w:hAnsiTheme="minorHAnsi" w:cstheme="minorHAnsi"/>
              </w:rPr>
              <w:t>)</w:t>
            </w:r>
            <w:r w:rsidR="00E3512E">
              <w:rPr>
                <w:rFonts w:asciiTheme="minorHAnsi" w:hAnsiTheme="minorHAnsi" w:cstheme="minorHAnsi"/>
              </w:rPr>
              <w:t>.</w:t>
            </w:r>
          </w:p>
        </w:tc>
      </w:tr>
      <w:tr w:rsidR="00274FB5" w:rsidRPr="00BB6DBF" w14:paraId="484147DA" w14:textId="77777777" w:rsidTr="00A23068">
        <w:tc>
          <w:tcPr>
            <w:tcW w:w="2405" w:type="dxa"/>
          </w:tcPr>
          <w:p w14:paraId="1E98CB61" w14:textId="77777777" w:rsidR="00274FB5" w:rsidRPr="00BB6DBF" w:rsidRDefault="00274FB5" w:rsidP="00274FB5">
            <w:pPr>
              <w:rPr>
                <w:rFonts w:asciiTheme="minorHAnsi" w:hAnsiTheme="minorHAnsi" w:cstheme="minorHAnsi"/>
              </w:rPr>
            </w:pPr>
            <w:r w:rsidRPr="00BB6DBF">
              <w:rPr>
                <w:rFonts w:asciiTheme="minorHAnsi" w:hAnsiTheme="minorHAnsi" w:cstheme="minorHAnsi"/>
              </w:rPr>
              <w:t>Supported employee workforce</w:t>
            </w:r>
          </w:p>
        </w:tc>
        <w:tc>
          <w:tcPr>
            <w:tcW w:w="6611" w:type="dxa"/>
          </w:tcPr>
          <w:p w14:paraId="66BEFEC9" w14:textId="0111AFEE" w:rsidR="00274FB5" w:rsidRPr="00BB6DBF" w:rsidRDefault="00274FB5" w:rsidP="00274FB5">
            <w:pPr>
              <w:rPr>
                <w:rFonts w:asciiTheme="minorHAnsi" w:hAnsiTheme="minorHAnsi" w:cstheme="minorHAnsi"/>
              </w:rPr>
            </w:pPr>
            <w:r w:rsidRPr="00BB6DBF">
              <w:rPr>
                <w:rFonts w:asciiTheme="minorHAnsi" w:hAnsiTheme="minorHAnsi" w:cstheme="minorHAnsi"/>
              </w:rPr>
              <w:t xml:space="preserve">All employees with disability who receive employment supports (of any funding type) from an ADE to support their employment within the ADE. (Some/most may also be receiving some form of </w:t>
            </w:r>
            <w:r>
              <w:rPr>
                <w:rFonts w:asciiTheme="minorHAnsi" w:hAnsiTheme="minorHAnsi" w:cstheme="minorHAnsi"/>
              </w:rPr>
              <w:t>pro rata</w:t>
            </w:r>
            <w:r w:rsidRPr="00BB6DBF">
              <w:rPr>
                <w:rFonts w:asciiTheme="minorHAnsi" w:hAnsiTheme="minorHAnsi" w:cstheme="minorHAnsi"/>
              </w:rPr>
              <w:t xml:space="preserve"> wage</w:t>
            </w:r>
            <w:r>
              <w:rPr>
                <w:rFonts w:asciiTheme="minorHAnsi" w:hAnsiTheme="minorHAnsi" w:cstheme="minorHAnsi"/>
              </w:rPr>
              <w:t>.</w:t>
            </w:r>
            <w:r w:rsidRPr="00BB6DBF">
              <w:rPr>
                <w:rFonts w:asciiTheme="minorHAnsi" w:hAnsiTheme="minorHAnsi" w:cstheme="minorHAnsi"/>
              </w:rPr>
              <w:t>)</w:t>
            </w:r>
            <w:r w:rsidR="00E3512E">
              <w:rPr>
                <w:rFonts w:asciiTheme="minorHAnsi" w:hAnsiTheme="minorHAnsi" w:cstheme="minorHAnsi"/>
              </w:rPr>
              <w:t>.</w:t>
            </w:r>
          </w:p>
        </w:tc>
      </w:tr>
    </w:tbl>
    <w:p w14:paraId="602031E9" w14:textId="7BD1001E" w:rsidR="00BA580F" w:rsidRDefault="00BA580F" w:rsidP="00BA580F"/>
    <w:p w14:paraId="1BFE8699" w14:textId="77777777" w:rsidR="00BA580F" w:rsidRPr="00FB5E9B" w:rsidRDefault="00BA580F" w:rsidP="00BA580F"/>
    <w:p w14:paraId="4CE97C70" w14:textId="77777777" w:rsidR="00BB6DBF" w:rsidRPr="00AD0378" w:rsidRDefault="00BB6DBF" w:rsidP="00BB6DBF">
      <w:pPr>
        <w:pStyle w:val="Heading2"/>
      </w:pPr>
      <w:r>
        <w:t>What does the ADE sector look like now?</w:t>
      </w:r>
    </w:p>
    <w:p w14:paraId="316A8EC9" w14:textId="3A8D40CC" w:rsidR="00D3259B" w:rsidRDefault="003D08DC" w:rsidP="00D3259B">
      <w:pPr>
        <w:pStyle w:val="Heading3"/>
      </w:pPr>
      <w:r>
        <w:t xml:space="preserve">data for a </w:t>
      </w:r>
      <w:r w:rsidR="00D3259B">
        <w:t xml:space="preserve">National scan of the sector </w:t>
      </w:r>
    </w:p>
    <w:p w14:paraId="0A5BEB3D" w14:textId="4267898A" w:rsidR="00483ED0" w:rsidRPr="00E05D07" w:rsidRDefault="001A5814" w:rsidP="00333F99">
      <w:pPr>
        <w:pStyle w:val="Normal4"/>
      </w:pPr>
      <w:r w:rsidRPr="00086A5C">
        <w:rPr>
          <w:rStyle w:val="Normal4Char"/>
        </w:rPr>
        <w:t xml:space="preserve">Limited data is available to piece together a current picture of the supported employment/ADE sector. </w:t>
      </w:r>
      <w:r w:rsidR="00483ED0" w:rsidRPr="00086A5C">
        <w:rPr>
          <w:rStyle w:val="Normal4Char"/>
        </w:rPr>
        <w:t>There</w:t>
      </w:r>
      <w:r w:rsidR="00483ED0" w:rsidRPr="00E05D07">
        <w:t xml:space="preserve"> is </w:t>
      </w:r>
      <w:r w:rsidR="00137A7B">
        <w:t xml:space="preserve">currently </w:t>
      </w:r>
      <w:r w:rsidR="00483ED0" w:rsidRPr="00E05D07">
        <w:t xml:space="preserve">no national data </w:t>
      </w:r>
      <w:r w:rsidR="00137A7B">
        <w:t>provided by the Government</w:t>
      </w:r>
      <w:r w:rsidR="00483ED0" w:rsidRPr="00E05D07">
        <w:t xml:space="preserve"> on supported employment outlets/ADEs</w:t>
      </w:r>
      <w:r w:rsidR="00137A7B">
        <w:t>.</w:t>
      </w:r>
      <w:r w:rsidR="00483ED0" w:rsidRPr="00E05D07">
        <w:t xml:space="preserve"> </w:t>
      </w:r>
      <w:r w:rsidR="00483ED0">
        <w:t xml:space="preserve">Limited data on service users working in ADEs were published in </w:t>
      </w:r>
      <w:r w:rsidR="00137A7B">
        <w:t xml:space="preserve">the annual </w:t>
      </w:r>
      <w:r w:rsidR="00483ED0">
        <w:t>Report on Government Services (</w:t>
      </w:r>
      <w:proofErr w:type="spellStart"/>
      <w:r w:rsidR="00483ED0">
        <w:t>RoGs</w:t>
      </w:r>
      <w:proofErr w:type="spellEnd"/>
      <w:r w:rsidR="00483ED0">
        <w:t xml:space="preserve">) by </w:t>
      </w:r>
      <w:r w:rsidR="00137A7B">
        <w:t xml:space="preserve">the </w:t>
      </w:r>
      <w:r w:rsidR="00483ED0">
        <w:t>Productivity Commission</w:t>
      </w:r>
      <w:r w:rsidR="00137A7B">
        <w:t>, but recent data has been incomplete due to NDIS transition arrangements</w:t>
      </w:r>
      <w:r w:rsidR="00137A7B">
        <w:rPr>
          <w:rStyle w:val="FootnoteReference"/>
        </w:rPr>
        <w:footnoteReference w:id="2"/>
      </w:r>
      <w:r w:rsidR="00137A7B">
        <w:t>.</w:t>
      </w:r>
      <w:r w:rsidR="0000648A">
        <w:t xml:space="preserve"> </w:t>
      </w:r>
    </w:p>
    <w:p w14:paraId="3457B678" w14:textId="52BC53E6" w:rsidR="00BB6DBF" w:rsidRDefault="00BB6DBF" w:rsidP="00333F99">
      <w:pPr>
        <w:pStyle w:val="Normal4"/>
      </w:pPr>
      <w:r>
        <w:t xml:space="preserve">To </w:t>
      </w:r>
      <w:r w:rsidR="00137A7B">
        <w:t xml:space="preserve">develop a current snapshot of the ADE sector </w:t>
      </w:r>
      <w:r>
        <w:t>we have drawn on:</w:t>
      </w:r>
    </w:p>
    <w:p w14:paraId="23FFF502" w14:textId="642B30FE" w:rsidR="00BB6DBF" w:rsidRDefault="00BB6DBF" w:rsidP="00226424">
      <w:pPr>
        <w:pStyle w:val="dotpoints"/>
      </w:pPr>
      <w:proofErr w:type="spellStart"/>
      <w:r>
        <w:t>Buyability</w:t>
      </w:r>
      <w:proofErr w:type="spellEnd"/>
      <w:r>
        <w:t xml:space="preserve"> </w:t>
      </w:r>
      <w:r w:rsidR="00247262">
        <w:t xml:space="preserve">ADE Directory </w:t>
      </w:r>
      <w:r>
        <w:t xml:space="preserve">data (October 2022), collected by National Disability Services and made available on a national website and analysed by </w:t>
      </w:r>
      <w:r w:rsidR="00E93F00">
        <w:t>CSI</w:t>
      </w:r>
      <w:r>
        <w:t xml:space="preserve"> as part of this report.</w:t>
      </w:r>
      <w:r w:rsidR="001F64C1">
        <w:t xml:space="preserve"> </w:t>
      </w:r>
      <w:r w:rsidR="006150E5">
        <w:t xml:space="preserve">This dataset provides information </w:t>
      </w:r>
      <w:r w:rsidR="00226995">
        <w:t>at both organisational (</w:t>
      </w:r>
      <w:r w:rsidR="00C1196B">
        <w:t>ADE provider</w:t>
      </w:r>
      <w:r w:rsidR="00ED04A7">
        <w:t xml:space="preserve">) and outlet (enterprise) level, and the enterprises </w:t>
      </w:r>
      <w:r w:rsidR="00062ED0">
        <w:t>listed used to be in</w:t>
      </w:r>
      <w:r w:rsidR="00F71359">
        <w:t xml:space="preserve"> the Australian Disability Enterprise Service program under DSS</w:t>
      </w:r>
      <w:r w:rsidR="008508F5">
        <w:t>.</w:t>
      </w:r>
      <w:r w:rsidR="0000648A">
        <w:t xml:space="preserve"> </w:t>
      </w:r>
    </w:p>
    <w:p w14:paraId="2D671848" w14:textId="77777777" w:rsidR="00BB6DBF" w:rsidRDefault="00BB6DBF" w:rsidP="00226424">
      <w:pPr>
        <w:pStyle w:val="dotpoints"/>
      </w:pPr>
      <w:r>
        <w:t xml:space="preserve">Data from a national survey of ADEs distributed by </w:t>
      </w:r>
      <w:proofErr w:type="spellStart"/>
      <w:r>
        <w:t>FaHCSIA</w:t>
      </w:r>
      <w:proofErr w:type="spellEnd"/>
      <w:r>
        <w:t xml:space="preserve"> (</w:t>
      </w:r>
      <w:proofErr w:type="spellStart"/>
      <w:r>
        <w:t>ConNectica</w:t>
      </w:r>
      <w:proofErr w:type="spellEnd"/>
      <w:r>
        <w:t>, 2013). This</w:t>
      </w:r>
      <w:r w:rsidRPr="00935468">
        <w:t xml:space="preserve"> </w:t>
      </w:r>
      <w:r>
        <w:t xml:space="preserve">survey </w:t>
      </w:r>
      <w:r w:rsidRPr="00A53D15">
        <w:t>collected responses from 139 organisations out of 194 organisations running ADEs</w:t>
      </w:r>
      <w:r>
        <w:t xml:space="preserve"> (often with multiple outlets)</w:t>
      </w:r>
      <w:r w:rsidRPr="00A53D15">
        <w:t>, representing 71% of the ADE sector at that time.</w:t>
      </w:r>
    </w:p>
    <w:p w14:paraId="453AD1B7" w14:textId="125DA72C" w:rsidR="00715168" w:rsidRDefault="00394793" w:rsidP="00226424">
      <w:pPr>
        <w:pStyle w:val="dotpoints"/>
      </w:pPr>
      <w:r>
        <w:t>Data from a national survey of ADE providers distributed by National Disability Services (KPMG, 2015)</w:t>
      </w:r>
      <w:r w:rsidR="00E34530">
        <w:t>.</w:t>
      </w:r>
      <w:r w:rsidR="0000648A">
        <w:t xml:space="preserve"> </w:t>
      </w:r>
      <w:r w:rsidR="009B3B73">
        <w:t xml:space="preserve">The survey collected responses from 85 organisations </w:t>
      </w:r>
      <w:r w:rsidR="0027534E">
        <w:t>operating ADE</w:t>
      </w:r>
      <w:r w:rsidR="00E041BB">
        <w:t>s</w:t>
      </w:r>
      <w:r w:rsidR="0027534E">
        <w:t xml:space="preserve"> and </w:t>
      </w:r>
      <w:r w:rsidR="00254589">
        <w:t>employing over 11,000 supported employees.</w:t>
      </w:r>
      <w:r w:rsidR="0000648A">
        <w:t xml:space="preserve"> </w:t>
      </w:r>
    </w:p>
    <w:p w14:paraId="671B51BA" w14:textId="2D304078" w:rsidR="00BB6DBF" w:rsidRDefault="00BB6DBF" w:rsidP="00226424">
      <w:pPr>
        <w:pStyle w:val="dotpoints"/>
      </w:pPr>
      <w:r>
        <w:t>Data from a national survey of ADEs distributed by National Disability Services, called the Vision Survey 2020-21. This data captures only 71 organisations.</w:t>
      </w:r>
    </w:p>
    <w:p w14:paraId="1E1B4907" w14:textId="59B61042" w:rsidR="00BB6DBF" w:rsidRDefault="00BB6DBF" w:rsidP="00226424">
      <w:pPr>
        <w:pStyle w:val="dotpoints"/>
      </w:pPr>
      <w:r>
        <w:t xml:space="preserve">Data from the NDIA in relation to scheme participants using ADEs (NDIA, </w:t>
      </w:r>
      <w:r w:rsidR="00137A7B">
        <w:t xml:space="preserve">2019a, 2019b, </w:t>
      </w:r>
      <w:r>
        <w:t>2020).</w:t>
      </w:r>
      <w:r w:rsidR="00137A7B">
        <w:t xml:space="preserve"> </w:t>
      </w:r>
    </w:p>
    <w:p w14:paraId="16F976B1" w14:textId="3ED27B1C" w:rsidR="00BB6DBF" w:rsidRDefault="00BB6DBF" w:rsidP="00333F99">
      <w:pPr>
        <w:pStyle w:val="Normal4"/>
      </w:pPr>
      <w:r>
        <w:lastRenderedPageBreak/>
        <w:t xml:space="preserve">In addition, CSI has conducted a desktop study of ADE organisations and outlets </w:t>
      </w:r>
      <w:r w:rsidR="004F3F3F">
        <w:t xml:space="preserve">identified </w:t>
      </w:r>
      <w:r w:rsidR="00A23068">
        <w:t xml:space="preserve">by the </w:t>
      </w:r>
      <w:proofErr w:type="spellStart"/>
      <w:r w:rsidR="00A23068">
        <w:t>Buyability</w:t>
      </w:r>
      <w:proofErr w:type="spellEnd"/>
      <w:r w:rsidR="00FE1B34">
        <w:t xml:space="preserve"> </w:t>
      </w:r>
      <w:r w:rsidR="00247262">
        <w:t>D</w:t>
      </w:r>
      <w:r w:rsidR="00FE1B34">
        <w:t xml:space="preserve">irectory </w:t>
      </w:r>
      <w:r>
        <w:t>(November 2022) to update and expand this information</w:t>
      </w:r>
      <w:r w:rsidR="00157D2D">
        <w:t xml:space="preserve"> (see Appendix </w:t>
      </w:r>
      <w:r w:rsidR="00554E74">
        <w:t>3</w:t>
      </w:r>
      <w:r w:rsidR="00157D2D">
        <w:t xml:space="preserve"> for detailed methodology</w:t>
      </w:r>
      <w:r w:rsidR="00FC1546">
        <w:t xml:space="preserve">). </w:t>
      </w:r>
    </w:p>
    <w:p w14:paraId="1110A9CC" w14:textId="1DEB7CF7" w:rsidR="005B581E" w:rsidRDefault="00BB6DBF" w:rsidP="00333F99">
      <w:pPr>
        <w:pStyle w:val="Normal4"/>
      </w:pPr>
      <w:r>
        <w:t>No single data source provides an adequate capture of the characteristics of ADEs currently and, even collectively, many gaps in data remain.</w:t>
      </w:r>
    </w:p>
    <w:p w14:paraId="0FC86244" w14:textId="156E8D8B" w:rsidR="0066119E" w:rsidRPr="0066119E" w:rsidRDefault="003D08DC" w:rsidP="0066119E">
      <w:pPr>
        <w:pStyle w:val="Heading3"/>
      </w:pPr>
      <w:r>
        <w:t>summary of the sector in 2022</w:t>
      </w:r>
    </w:p>
    <w:p w14:paraId="5B36883D" w14:textId="12F7A3B2" w:rsidR="0066119E" w:rsidRPr="0066119E" w:rsidRDefault="0066119E" w:rsidP="0066119E">
      <w:pPr>
        <w:pStyle w:val="Heading4"/>
      </w:pPr>
      <w:r>
        <w:t>ADE organisations and outlets</w:t>
      </w:r>
    </w:p>
    <w:p w14:paraId="6533D1E9" w14:textId="6056775B" w:rsidR="00BA7709" w:rsidRDefault="00627420" w:rsidP="00333F99">
      <w:pPr>
        <w:pStyle w:val="Normal4"/>
      </w:pPr>
      <w:r>
        <w:t>Overall,</w:t>
      </w:r>
      <w:r w:rsidR="0068575D">
        <w:t xml:space="preserve"> there are currently 477 </w:t>
      </w:r>
      <w:r w:rsidR="00134011">
        <w:t>ADE</w:t>
      </w:r>
      <w:r w:rsidR="006D7317">
        <w:t xml:space="preserve">s </w:t>
      </w:r>
      <w:r w:rsidR="0068575D">
        <w:t>in operation</w:t>
      </w:r>
      <w:r w:rsidR="00622C64">
        <w:t xml:space="preserve"> (at outlet level)</w:t>
      </w:r>
      <w:r w:rsidR="0068575D">
        <w:t xml:space="preserve">, among which 110 </w:t>
      </w:r>
      <w:r w:rsidR="00131AFB">
        <w:t>are Certified Social Enterprises by Social Traders.</w:t>
      </w:r>
      <w:r w:rsidR="0066119E">
        <w:t xml:space="preserve"> These ADEs are run by 147 ADE providers.</w:t>
      </w:r>
      <w:r w:rsidR="00131AFB">
        <w:t xml:space="preserve"> </w:t>
      </w:r>
      <w:r w:rsidR="00B53724">
        <w:t xml:space="preserve">Data shows that while the number of ADEs and ADE providers have declined </w:t>
      </w:r>
      <w:r w:rsidR="00383AE8">
        <w:t xml:space="preserve">in comparison to ten </w:t>
      </w:r>
      <w:r w:rsidR="000E5CF4">
        <w:t>years</w:t>
      </w:r>
      <w:r w:rsidR="00383AE8">
        <w:t xml:space="preserve"> ago, the scale of </w:t>
      </w:r>
      <w:r w:rsidR="0007057F">
        <w:t xml:space="preserve">the ADE providers might have </w:t>
      </w:r>
      <w:r w:rsidR="00A65793">
        <w:t>increased when measured by the number of ADE</w:t>
      </w:r>
      <w:r w:rsidR="00A253CA">
        <w:t xml:space="preserve"> outlet</w:t>
      </w:r>
      <w:r w:rsidR="00A65793">
        <w:t xml:space="preserve">s operated per </w:t>
      </w:r>
      <w:r w:rsidR="00A253CA">
        <w:t>ADE provider</w:t>
      </w:r>
      <w:r w:rsidR="00A65793">
        <w:t xml:space="preserve"> and the average number of supported employees </w:t>
      </w:r>
      <w:r w:rsidR="00F12F6B">
        <w:t>in each organisation</w:t>
      </w:r>
      <w:r w:rsidR="00DE3127">
        <w:t xml:space="preserve"> (Table 2)</w:t>
      </w:r>
      <w:r w:rsidR="00F12F6B">
        <w:t xml:space="preserve">. </w:t>
      </w:r>
    </w:p>
    <w:p w14:paraId="2A6060AC" w14:textId="4205E8DC" w:rsidR="000D7FE5" w:rsidRDefault="00C0008B" w:rsidP="00C0008B">
      <w:pPr>
        <w:pStyle w:val="Table"/>
      </w:pPr>
      <w:r w:rsidRPr="00C0008B">
        <w:t>Figure</w:t>
      </w:r>
      <w:r>
        <w:t xml:space="preserve"> 1</w:t>
      </w:r>
      <w:r w:rsidRPr="00C0008B">
        <w:t>: ADEs and ADE Providers, 2013 vs 2022</w:t>
      </w:r>
    </w:p>
    <w:p w14:paraId="3F08D6F3" w14:textId="73094E16" w:rsidR="00F12F6B" w:rsidRDefault="00C0008B" w:rsidP="00333F99">
      <w:pPr>
        <w:pStyle w:val="Normal4"/>
      </w:pPr>
      <w:r>
        <w:rPr>
          <w:noProof/>
        </w:rPr>
        <w:drawing>
          <wp:inline distT="0" distB="0" distL="0" distR="0" wp14:anchorId="7213AADA" wp14:editId="7DE74883">
            <wp:extent cx="3295650" cy="2676525"/>
            <wp:effectExtent l="0" t="0" r="0" b="0"/>
            <wp:docPr id="3" name="Chart 3" descr="Figure 1 is a bar graph comparing the number of ADEs in 2013 and in 2022, and the number of ADE providers in 2013 and 2022. The results show that in 2013 there were 600 ADEs provided by 194 ADE providers, whereas in 2022 there are 477 ADEs provided by 147 ADE providers.  ">
              <a:extLst xmlns:a="http://schemas.openxmlformats.org/drawingml/2006/main">
                <a:ext uri="{FF2B5EF4-FFF2-40B4-BE49-F238E27FC236}">
                  <a16:creationId xmlns:a16="http://schemas.microsoft.com/office/drawing/2014/main" id="{E2647D1A-409D-4466-B20D-29F76C6C6D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2442D87" w14:textId="1BDED61C" w:rsidR="00B5233E" w:rsidRDefault="00462A27" w:rsidP="00333F99">
      <w:pPr>
        <w:pStyle w:val="Normal4"/>
      </w:pPr>
      <w:r>
        <w:t>Table 2</w:t>
      </w:r>
      <w:r w:rsidR="00BE7D46">
        <w:t xml:space="preserve"> highlights that</w:t>
      </w:r>
      <w:r w:rsidR="0066119E">
        <w:t>, currently,</w:t>
      </w:r>
      <w:r w:rsidR="00BE7D46">
        <w:t xml:space="preserve"> </w:t>
      </w:r>
      <w:r w:rsidR="00A42995">
        <w:t xml:space="preserve">somewhat more than half (60%) of organisations run more than 1 ADE outlet. </w:t>
      </w:r>
      <w:r w:rsidR="00EC429A">
        <w:t xml:space="preserve">Around half have less than 50 </w:t>
      </w:r>
      <w:r w:rsidR="00570AC6">
        <w:t xml:space="preserve">supported employees </w:t>
      </w:r>
      <w:r w:rsidR="0066119E">
        <w:t>across</w:t>
      </w:r>
      <w:r w:rsidR="00570AC6">
        <w:t xml:space="preserve"> the ADE </w:t>
      </w:r>
      <w:r w:rsidR="00A253CA">
        <w:t>provider</w:t>
      </w:r>
      <w:r w:rsidR="00570AC6">
        <w:t xml:space="preserve"> (across outlets)</w:t>
      </w:r>
      <w:r w:rsidR="0066119E">
        <w:t xml:space="preserve"> and almost two thirds of ADE </w:t>
      </w:r>
      <w:r w:rsidR="00A253CA">
        <w:t>providers</w:t>
      </w:r>
      <w:r w:rsidR="0066119E">
        <w:t xml:space="preserve"> have less than 100</w:t>
      </w:r>
      <w:r w:rsidR="00EC429A">
        <w:t>.</w:t>
      </w:r>
      <w:r w:rsidR="0066119E">
        <w:t xml:space="preserve"> The vast majority of ADEs </w:t>
      </w:r>
      <w:proofErr w:type="gramStart"/>
      <w:r w:rsidR="0066119E">
        <w:t>are located in</w:t>
      </w:r>
      <w:proofErr w:type="gramEnd"/>
      <w:r w:rsidR="0066119E">
        <w:t xml:space="preserve"> NSW and Victoria.</w:t>
      </w:r>
      <w:r w:rsidR="00EC429A">
        <w:t xml:space="preserve"> </w:t>
      </w:r>
      <w:r w:rsidR="0066119E">
        <w:t>In 2013</w:t>
      </w:r>
      <w:r w:rsidR="0004533C">
        <w:t xml:space="preserve"> and 2015</w:t>
      </w:r>
      <w:r w:rsidR="0066119E">
        <w:t>, a bit less than half of ADEs were considered profit making (</w:t>
      </w:r>
      <w:proofErr w:type="spellStart"/>
      <w:r w:rsidR="0004533C">
        <w:t>ConNetica</w:t>
      </w:r>
      <w:proofErr w:type="spellEnd"/>
      <w:r w:rsidR="0004533C">
        <w:t xml:space="preserve">, 2013; KPMG, 2015). </w:t>
      </w:r>
    </w:p>
    <w:p w14:paraId="0F27B72C" w14:textId="77777777" w:rsidR="00DE3127" w:rsidRDefault="00DE3127" w:rsidP="00333F99">
      <w:pPr>
        <w:pStyle w:val="Normal4"/>
      </w:pPr>
    </w:p>
    <w:p w14:paraId="696078B4" w14:textId="77777777" w:rsidR="00A253CA" w:rsidRDefault="00A253CA" w:rsidP="00712343">
      <w:pPr>
        <w:pStyle w:val="Table"/>
        <w:sectPr w:rsidR="00A253CA" w:rsidSect="003A5C4A">
          <w:footerReference w:type="default" r:id="rId12"/>
          <w:type w:val="continuous"/>
          <w:pgSz w:w="11906" w:h="16838"/>
          <w:pgMar w:top="826" w:right="1418" w:bottom="1295" w:left="1418" w:header="850" w:footer="850" w:gutter="0"/>
          <w:cols w:space="1134"/>
          <w:docGrid w:linePitch="360"/>
        </w:sectPr>
      </w:pPr>
    </w:p>
    <w:p w14:paraId="33675B32" w14:textId="20077D0C" w:rsidR="00AA0000" w:rsidRDefault="00BB6DBF" w:rsidP="00712343">
      <w:pPr>
        <w:pStyle w:val="Table"/>
      </w:pPr>
      <w:r w:rsidRPr="00712343">
        <w:lastRenderedPageBreak/>
        <w:t xml:space="preserve">Table </w:t>
      </w:r>
      <w:r w:rsidR="0066119E">
        <w:t>2</w:t>
      </w:r>
      <w:r w:rsidRPr="00712343">
        <w:t xml:space="preserve">: </w:t>
      </w:r>
      <w:r w:rsidR="00AA0000">
        <w:t>ADE organisation and outlet characteristics</w:t>
      </w:r>
    </w:p>
    <w:tbl>
      <w:tblPr>
        <w:tblStyle w:val="ListTable3-Accent4"/>
        <w:tblW w:w="1006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3685"/>
        <w:gridCol w:w="3685"/>
      </w:tblGrid>
      <w:tr w:rsidR="00131822" w:rsidRPr="00131822" w14:paraId="39859FED" w14:textId="77777777" w:rsidTr="00B55194">
        <w:trPr>
          <w:cnfStyle w:val="100000000000" w:firstRow="1" w:lastRow="0" w:firstColumn="0" w:lastColumn="0" w:oddVBand="0" w:evenVBand="0" w:oddHBand="0" w:evenHBand="0" w:firstRowFirstColumn="0" w:firstRowLastColumn="0" w:lastRowFirstColumn="0" w:lastRowLastColumn="0"/>
          <w:trHeight w:val="409"/>
        </w:trPr>
        <w:tc>
          <w:tcPr>
            <w:cnfStyle w:val="001000000100" w:firstRow="0" w:lastRow="0" w:firstColumn="1" w:lastColumn="0" w:oddVBand="0" w:evenVBand="0" w:oddHBand="0" w:evenHBand="0" w:firstRowFirstColumn="1" w:firstRowLastColumn="0" w:lastRowFirstColumn="0" w:lastRowLastColumn="0"/>
            <w:tcW w:w="2694" w:type="dxa"/>
            <w:shd w:val="clear" w:color="auto" w:fill="F2F2F2" w:themeFill="background1" w:themeFillShade="F2"/>
          </w:tcPr>
          <w:p w14:paraId="71853C56" w14:textId="77777777" w:rsidR="00AA0000" w:rsidRPr="00131822" w:rsidRDefault="00AA0000" w:rsidP="00F258BA">
            <w:pPr>
              <w:pStyle w:val="Tabletext"/>
              <w:rPr>
                <w:color w:val="auto"/>
              </w:rPr>
            </w:pPr>
          </w:p>
        </w:tc>
        <w:tc>
          <w:tcPr>
            <w:tcW w:w="3685" w:type="dxa"/>
            <w:shd w:val="clear" w:color="auto" w:fill="F2F2F2" w:themeFill="background1" w:themeFillShade="F2"/>
          </w:tcPr>
          <w:p w14:paraId="1F689526" w14:textId="77777777" w:rsidR="00AA0000" w:rsidRPr="00131822" w:rsidRDefault="00AA0000" w:rsidP="00F258BA">
            <w:pPr>
              <w:pStyle w:val="Tabletext"/>
              <w:cnfStyle w:val="100000000000" w:firstRow="1" w:lastRow="0" w:firstColumn="0" w:lastColumn="0" w:oddVBand="0" w:evenVBand="0" w:oddHBand="0" w:evenHBand="0" w:firstRowFirstColumn="0" w:firstRowLastColumn="0" w:lastRowFirstColumn="0" w:lastRowLastColumn="0"/>
              <w:rPr>
                <w:color w:val="auto"/>
              </w:rPr>
            </w:pPr>
            <w:r w:rsidRPr="00131822">
              <w:rPr>
                <w:color w:val="auto"/>
              </w:rPr>
              <w:t>2013 (and other before 2020)</w:t>
            </w:r>
          </w:p>
        </w:tc>
        <w:tc>
          <w:tcPr>
            <w:tcW w:w="3685" w:type="dxa"/>
            <w:shd w:val="clear" w:color="auto" w:fill="F2F2F2" w:themeFill="background1" w:themeFillShade="F2"/>
          </w:tcPr>
          <w:p w14:paraId="0A2E9E90" w14:textId="77777777" w:rsidR="00AA0000" w:rsidRPr="00131822" w:rsidRDefault="00AA0000" w:rsidP="00F258BA">
            <w:pPr>
              <w:pStyle w:val="Tabletext"/>
              <w:cnfStyle w:val="100000000000" w:firstRow="1" w:lastRow="0" w:firstColumn="0" w:lastColumn="0" w:oddVBand="0" w:evenVBand="0" w:oddHBand="0" w:evenHBand="0" w:firstRowFirstColumn="0" w:firstRowLastColumn="0" w:lastRowFirstColumn="0" w:lastRowLastColumn="0"/>
              <w:rPr>
                <w:color w:val="auto"/>
              </w:rPr>
            </w:pPr>
            <w:r w:rsidRPr="00131822">
              <w:rPr>
                <w:color w:val="auto"/>
              </w:rPr>
              <w:t>2022</w:t>
            </w:r>
          </w:p>
        </w:tc>
      </w:tr>
      <w:tr w:rsidR="00131822" w:rsidRPr="00131822" w14:paraId="172C4BDB" w14:textId="77777777" w:rsidTr="00B55194">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565527FB" w14:textId="77777777" w:rsidR="00AA0000" w:rsidRPr="00131822" w:rsidRDefault="00AA0000" w:rsidP="00F258BA">
            <w:pPr>
              <w:pStyle w:val="Tabletext"/>
              <w:rPr>
                <w:color w:val="auto"/>
              </w:rPr>
            </w:pPr>
            <w:r w:rsidRPr="00131822">
              <w:rPr>
                <w:color w:val="auto"/>
              </w:rPr>
              <w:t xml:space="preserve"># ADEs </w:t>
            </w:r>
          </w:p>
        </w:tc>
        <w:tc>
          <w:tcPr>
            <w:tcW w:w="3685" w:type="dxa"/>
            <w:shd w:val="clear" w:color="auto" w:fill="auto"/>
          </w:tcPr>
          <w:p w14:paraId="1BEB9CB5"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600</w:t>
            </w:r>
          </w:p>
          <w:p w14:paraId="38E77B09"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Source: 2</w:t>
            </w:r>
          </w:p>
          <w:p w14:paraId="2367D35A"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6123D752" w14:textId="0BEFD11F"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54% indicated they formed part of a larger organisation</w:t>
            </w:r>
            <w:r w:rsidR="006C63B6">
              <w:t>,</w:t>
            </w:r>
          </w:p>
          <w:p w14:paraId="37084466" w14:textId="77777777"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41% not linked to larger organisations</w:t>
            </w:r>
          </w:p>
          <w:p w14:paraId="5334CE34"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2BD76FDE"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Source: 7</w:t>
            </w:r>
          </w:p>
        </w:tc>
        <w:tc>
          <w:tcPr>
            <w:tcW w:w="3685" w:type="dxa"/>
            <w:shd w:val="clear" w:color="auto" w:fill="auto"/>
          </w:tcPr>
          <w:p w14:paraId="02EB5C5D"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477</w:t>
            </w:r>
          </w:p>
          <w:p w14:paraId="1A42FE8E"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vertAlign w:val="superscript"/>
              </w:rPr>
            </w:pPr>
            <w:r w:rsidRPr="00131822">
              <w:rPr>
                <w:color w:val="auto"/>
              </w:rPr>
              <w:t>Source: 1</w:t>
            </w:r>
          </w:p>
        </w:tc>
      </w:tr>
      <w:tr w:rsidR="00131822" w:rsidRPr="00131822" w14:paraId="7FA0B553" w14:textId="77777777" w:rsidTr="00B55194">
        <w:trPr>
          <w:trHeight w:val="69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966D8DE" w14:textId="236DB301" w:rsidR="00AA0000" w:rsidRPr="00131822" w:rsidRDefault="00AA0000" w:rsidP="00F258BA">
            <w:pPr>
              <w:pStyle w:val="Tabletext"/>
              <w:rPr>
                <w:color w:val="auto"/>
              </w:rPr>
            </w:pPr>
            <w:r w:rsidRPr="00131822">
              <w:rPr>
                <w:color w:val="auto"/>
              </w:rPr>
              <w:t xml:space="preserve"># </w:t>
            </w:r>
            <w:r w:rsidR="0066119E" w:rsidRPr="00131822">
              <w:rPr>
                <w:color w:val="auto"/>
              </w:rPr>
              <w:t xml:space="preserve">ADE providers, </w:t>
            </w:r>
            <w:proofErr w:type="gramStart"/>
            <w:r w:rsidR="0066119E" w:rsidRPr="00131822">
              <w:rPr>
                <w:color w:val="auto"/>
              </w:rPr>
              <w:t>i.e.</w:t>
            </w:r>
            <w:proofErr w:type="gramEnd"/>
            <w:r w:rsidR="0066119E" w:rsidRPr="00131822">
              <w:rPr>
                <w:color w:val="auto"/>
              </w:rPr>
              <w:t xml:space="preserve"> </w:t>
            </w:r>
            <w:r w:rsidRPr="00131822">
              <w:rPr>
                <w:color w:val="auto"/>
              </w:rPr>
              <w:t>Organisations Running ADEs</w:t>
            </w:r>
          </w:p>
        </w:tc>
        <w:tc>
          <w:tcPr>
            <w:tcW w:w="3685" w:type="dxa"/>
            <w:shd w:val="clear" w:color="auto" w:fill="auto"/>
          </w:tcPr>
          <w:p w14:paraId="199A7AFE"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194 </w:t>
            </w:r>
          </w:p>
          <w:p w14:paraId="566D1A8B"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Source: 2</w:t>
            </w:r>
          </w:p>
        </w:tc>
        <w:tc>
          <w:tcPr>
            <w:tcW w:w="3685" w:type="dxa"/>
            <w:shd w:val="clear" w:color="auto" w:fill="auto"/>
          </w:tcPr>
          <w:p w14:paraId="32A03025"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147</w:t>
            </w:r>
          </w:p>
          <w:p w14:paraId="4663D9A0"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Source: 1</w:t>
            </w:r>
          </w:p>
        </w:tc>
      </w:tr>
      <w:tr w:rsidR="00131822" w:rsidRPr="00131822" w14:paraId="3D453570" w14:textId="77777777" w:rsidTr="00B5519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53592810" w14:textId="77777777" w:rsidR="00AA0000" w:rsidRPr="00131822" w:rsidRDefault="00AA0000" w:rsidP="00F258BA">
            <w:pPr>
              <w:pStyle w:val="Tabletext"/>
              <w:rPr>
                <w:color w:val="auto"/>
              </w:rPr>
            </w:pPr>
            <w:r w:rsidRPr="00131822">
              <w:rPr>
                <w:color w:val="auto"/>
              </w:rPr>
              <w:t># ADEs as certified social enterprise by Social Traders</w:t>
            </w:r>
          </w:p>
        </w:tc>
        <w:tc>
          <w:tcPr>
            <w:tcW w:w="3685" w:type="dxa"/>
            <w:shd w:val="clear" w:color="auto" w:fill="auto"/>
          </w:tcPr>
          <w:p w14:paraId="1E62D1D8"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3685" w:type="dxa"/>
            <w:shd w:val="clear" w:color="auto" w:fill="auto"/>
          </w:tcPr>
          <w:p w14:paraId="501911C0"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110</w:t>
            </w:r>
          </w:p>
          <w:p w14:paraId="6CCADB1F"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Source 1, 3</w:t>
            </w:r>
          </w:p>
        </w:tc>
      </w:tr>
      <w:tr w:rsidR="00131822" w:rsidRPr="00131822" w14:paraId="24E5B596" w14:textId="77777777" w:rsidTr="00B55194">
        <w:trPr>
          <w:trHeight w:val="1841"/>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231FE939" w14:textId="77777777" w:rsidR="00AA0000" w:rsidRPr="00131822" w:rsidRDefault="00AA0000" w:rsidP="00F258BA">
            <w:pPr>
              <w:pStyle w:val="Tabletext"/>
              <w:rPr>
                <w:color w:val="auto"/>
              </w:rPr>
            </w:pPr>
            <w:r w:rsidRPr="00131822">
              <w:rPr>
                <w:color w:val="auto"/>
              </w:rPr>
              <w:t xml:space="preserve">ADE scale </w:t>
            </w:r>
          </w:p>
        </w:tc>
        <w:tc>
          <w:tcPr>
            <w:tcW w:w="3685" w:type="dxa"/>
            <w:shd w:val="clear" w:color="auto" w:fill="auto"/>
          </w:tcPr>
          <w:p w14:paraId="1A42F9E3" w14:textId="12A09484"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Each </w:t>
            </w:r>
            <w:r w:rsidR="0066119E" w:rsidRPr="00131822">
              <w:rPr>
                <w:color w:val="auto"/>
              </w:rPr>
              <w:t>ADE provider</w:t>
            </w:r>
            <w:r w:rsidRPr="00131822">
              <w:rPr>
                <w:color w:val="auto"/>
              </w:rPr>
              <w:t xml:space="preserve"> ran 2.7 ADEs on average</w:t>
            </w:r>
          </w:p>
          <w:p w14:paraId="16794C90" w14:textId="44739A52"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 xml:space="preserve">46% </w:t>
            </w:r>
            <w:r w:rsidR="00A253CA" w:rsidRPr="00131822">
              <w:t>operate</w:t>
            </w:r>
            <w:r w:rsidRPr="00131822">
              <w:t xml:space="preserve"> only one ADE</w:t>
            </w:r>
            <w:r w:rsidR="00B03A8C">
              <w:t>,</w:t>
            </w:r>
          </w:p>
          <w:p w14:paraId="467AF4A6" w14:textId="47D7BD60"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 xml:space="preserve">12% </w:t>
            </w:r>
            <w:r w:rsidR="00A253CA" w:rsidRPr="00131822">
              <w:t>operate</w:t>
            </w:r>
            <w:r w:rsidRPr="00131822">
              <w:t xml:space="preserve"> more than 5 ADEs </w:t>
            </w:r>
          </w:p>
          <w:p w14:paraId="760850F4" w14:textId="12508522"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361036C1" w14:textId="77777777" w:rsidR="0039631F" w:rsidRPr="00131822" w:rsidRDefault="0039631F"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381699E0"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Source: 2</w:t>
            </w:r>
          </w:p>
        </w:tc>
        <w:tc>
          <w:tcPr>
            <w:tcW w:w="3685" w:type="dxa"/>
            <w:shd w:val="clear" w:color="auto" w:fill="auto"/>
          </w:tcPr>
          <w:p w14:paraId="5619FC51" w14:textId="5155800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Each </w:t>
            </w:r>
            <w:r w:rsidR="0066119E" w:rsidRPr="00131822">
              <w:rPr>
                <w:color w:val="auto"/>
              </w:rPr>
              <w:t>ADE provider</w:t>
            </w:r>
            <w:r w:rsidRPr="00131822">
              <w:rPr>
                <w:color w:val="auto"/>
              </w:rPr>
              <w:t xml:space="preserve"> runs 3.2 ADEs on average </w:t>
            </w:r>
          </w:p>
          <w:p w14:paraId="3DF19661" w14:textId="21F41362"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40% operate only one ADE</w:t>
            </w:r>
            <w:r w:rsidR="00B03A8C">
              <w:t>,</w:t>
            </w:r>
          </w:p>
          <w:p w14:paraId="7822D0BD" w14:textId="2B98570B"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24% operate 5 ADEs or more</w:t>
            </w:r>
            <w:r w:rsidR="00B03A8C">
              <w:t>,</w:t>
            </w:r>
          </w:p>
          <w:p w14:paraId="5358DD69" w14:textId="69AAF6E3"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16% operate more than 5 ADEs</w:t>
            </w:r>
          </w:p>
          <w:p w14:paraId="5ECE4418"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1332F4CA"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Source: 1 </w:t>
            </w:r>
          </w:p>
        </w:tc>
      </w:tr>
      <w:tr w:rsidR="00131822" w:rsidRPr="00131822" w14:paraId="38017EF6" w14:textId="77777777" w:rsidTr="00B55194">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78A1E4C3" w14:textId="080D7FFE" w:rsidR="00AA0000" w:rsidRPr="00131822" w:rsidRDefault="00AA0000" w:rsidP="00F258BA">
            <w:pPr>
              <w:pStyle w:val="Tabletext"/>
              <w:rPr>
                <w:color w:val="auto"/>
              </w:rPr>
            </w:pPr>
            <w:r w:rsidRPr="00131822">
              <w:rPr>
                <w:color w:val="auto"/>
              </w:rPr>
              <w:t xml:space="preserve">Workforce Composition </w:t>
            </w:r>
          </w:p>
        </w:tc>
        <w:tc>
          <w:tcPr>
            <w:tcW w:w="3685" w:type="dxa"/>
            <w:shd w:val="clear" w:color="auto" w:fill="auto"/>
          </w:tcPr>
          <w:p w14:paraId="7B2CB296" w14:textId="11ADFDB9" w:rsidR="00A253CA" w:rsidRPr="00131822" w:rsidRDefault="00A253CA"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On average:</w:t>
            </w:r>
          </w:p>
          <w:p w14:paraId="08F3DA04" w14:textId="2D9909AA" w:rsidR="00AA0000" w:rsidRPr="00131822" w:rsidRDefault="00AA0000" w:rsidP="00F258BA">
            <w:pPr>
              <w:pStyle w:val="Tabletext"/>
              <w:numPr>
                <w:ilvl w:val="0"/>
                <w:numId w:val="16"/>
              </w:numPr>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77%</w:t>
            </w:r>
            <w:r w:rsidR="0000648A" w:rsidRPr="00131822">
              <w:rPr>
                <w:color w:val="auto"/>
              </w:rPr>
              <w:t xml:space="preserve"> </w:t>
            </w:r>
            <w:r w:rsidRPr="00131822">
              <w:rPr>
                <w:color w:val="auto"/>
              </w:rPr>
              <w:t>supported employees</w:t>
            </w:r>
            <w:r w:rsidR="00B03A8C">
              <w:rPr>
                <w:color w:val="auto"/>
              </w:rPr>
              <w:t>,</w:t>
            </w:r>
          </w:p>
          <w:p w14:paraId="0DFF7B69" w14:textId="0A12C1C6" w:rsidR="00AA0000" w:rsidRPr="00131822" w:rsidRDefault="00AA0000" w:rsidP="00F258BA">
            <w:pPr>
              <w:pStyle w:val="Tabletext"/>
              <w:numPr>
                <w:ilvl w:val="0"/>
                <w:numId w:val="16"/>
              </w:numPr>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23%</w:t>
            </w:r>
            <w:r w:rsidR="0000648A" w:rsidRPr="00131822">
              <w:rPr>
                <w:color w:val="auto"/>
              </w:rPr>
              <w:t xml:space="preserve"> </w:t>
            </w:r>
            <w:r w:rsidRPr="00131822">
              <w:rPr>
                <w:color w:val="auto"/>
              </w:rPr>
              <w:t>other employees</w:t>
            </w:r>
          </w:p>
          <w:p w14:paraId="56E54B03"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p w14:paraId="75D2143B" w14:textId="1D2E283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Source 2</w:t>
            </w:r>
          </w:p>
        </w:tc>
        <w:tc>
          <w:tcPr>
            <w:tcW w:w="3685" w:type="dxa"/>
            <w:shd w:val="clear" w:color="auto" w:fill="auto"/>
          </w:tcPr>
          <w:p w14:paraId="175F2455"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131822" w:rsidRPr="00131822" w14:paraId="045BB27F" w14:textId="77777777" w:rsidTr="00B55194">
        <w:trPr>
          <w:trHeight w:val="2522"/>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1B740AEB" w14:textId="77777777" w:rsidR="00AA0000" w:rsidRPr="00131822" w:rsidRDefault="00AA0000" w:rsidP="00F258BA">
            <w:pPr>
              <w:pStyle w:val="Tabletext"/>
              <w:rPr>
                <w:color w:val="auto"/>
              </w:rPr>
            </w:pPr>
            <w:r w:rsidRPr="00131822">
              <w:rPr>
                <w:color w:val="auto"/>
              </w:rPr>
              <w:t xml:space="preserve">Size of Supported employee workforce </w:t>
            </w:r>
          </w:p>
        </w:tc>
        <w:tc>
          <w:tcPr>
            <w:tcW w:w="3685" w:type="dxa"/>
            <w:shd w:val="clear" w:color="auto" w:fill="auto"/>
          </w:tcPr>
          <w:p w14:paraId="4AE88ECF" w14:textId="4A75A78E"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An average 100 supported employees in each </w:t>
            </w:r>
            <w:r w:rsidR="0066119E" w:rsidRPr="00131822">
              <w:rPr>
                <w:color w:val="auto"/>
              </w:rPr>
              <w:t>ADE provider</w:t>
            </w:r>
          </w:p>
          <w:p w14:paraId="60CFC982"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7279FBCD" w14:textId="569EE666"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 (number) supported employees across ADEs in the </w:t>
            </w:r>
            <w:r w:rsidR="0066119E" w:rsidRPr="00131822">
              <w:rPr>
                <w:color w:val="auto"/>
              </w:rPr>
              <w:t>ADE provider</w:t>
            </w:r>
            <w:r w:rsidRPr="00131822">
              <w:rPr>
                <w:color w:val="auto"/>
              </w:rPr>
              <w:t xml:space="preserve"> </w:t>
            </w:r>
          </w:p>
          <w:p w14:paraId="4CBDCCB3" w14:textId="4A549367"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58% have less than 20</w:t>
            </w:r>
            <w:r w:rsidR="00676718">
              <w:t>,</w:t>
            </w:r>
          </w:p>
          <w:p w14:paraId="2862D827" w14:textId="3A11D052"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44% had less than 50</w:t>
            </w:r>
            <w:r w:rsidR="00676718">
              <w:t>,</w:t>
            </w:r>
          </w:p>
          <w:p w14:paraId="730B23EF" w14:textId="0FE2BFFF"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75% had less than 100</w:t>
            </w:r>
            <w:r w:rsidR="00676718">
              <w:t>,</w:t>
            </w:r>
          </w:p>
          <w:p w14:paraId="64D28160" w14:textId="0D253589"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 xml:space="preserve">2% had 200 or more </w:t>
            </w:r>
          </w:p>
          <w:p w14:paraId="67837C05"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7ABA1D15" w14:textId="0B1B3C8E"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1 in two had less than 50 supported employees across the </w:t>
            </w:r>
            <w:r w:rsidR="0066119E" w:rsidRPr="00131822">
              <w:rPr>
                <w:color w:val="auto"/>
              </w:rPr>
              <w:t>ADE provider</w:t>
            </w:r>
          </w:p>
          <w:p w14:paraId="18370892" w14:textId="77777777" w:rsidR="0039631F" w:rsidRPr="00131822" w:rsidRDefault="0039631F"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50FAAD55"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Source: 2</w:t>
            </w:r>
          </w:p>
        </w:tc>
        <w:tc>
          <w:tcPr>
            <w:tcW w:w="3685" w:type="dxa"/>
            <w:shd w:val="clear" w:color="auto" w:fill="auto"/>
          </w:tcPr>
          <w:p w14:paraId="7A28AD2B" w14:textId="12A67BCE"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An average 111 supported employees in each </w:t>
            </w:r>
            <w:r w:rsidR="0066119E" w:rsidRPr="00131822">
              <w:rPr>
                <w:color w:val="auto"/>
              </w:rPr>
              <w:t>ADE provider</w:t>
            </w:r>
          </w:p>
          <w:p w14:paraId="57CC8731"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55303A7D" w14:textId="0F2665CE"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 (number) supported employees across ADEs in the </w:t>
            </w:r>
            <w:r w:rsidR="0066119E" w:rsidRPr="00131822">
              <w:rPr>
                <w:color w:val="auto"/>
              </w:rPr>
              <w:t>ADE provider</w:t>
            </w:r>
            <w:r w:rsidRPr="00131822">
              <w:rPr>
                <w:color w:val="auto"/>
              </w:rPr>
              <w:t xml:space="preserve"> </w:t>
            </w:r>
          </w:p>
          <w:p w14:paraId="3640B94F" w14:textId="08EC5535"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24% have less than 20</w:t>
            </w:r>
            <w:r w:rsidR="00676718">
              <w:t>,</w:t>
            </w:r>
          </w:p>
          <w:p w14:paraId="6C11D4C0" w14:textId="3243AA2C"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49% have less than 50</w:t>
            </w:r>
            <w:r w:rsidR="00676718">
              <w:t>,</w:t>
            </w:r>
          </w:p>
          <w:p w14:paraId="031BCDC7" w14:textId="13F5CABA"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68% have less than 100</w:t>
            </w:r>
            <w:r w:rsidR="00676718">
              <w:t>,</w:t>
            </w:r>
          </w:p>
          <w:p w14:paraId="5CB200DE" w14:textId="77777777"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14% have 200 or more</w:t>
            </w:r>
          </w:p>
          <w:p w14:paraId="05279107" w14:textId="271155F1"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5F1AD17F" w14:textId="22E3D1E6" w:rsidR="0039631F" w:rsidRPr="00131822" w:rsidRDefault="0039631F"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4F01CE64" w14:textId="1357AE31" w:rsidR="0039631F" w:rsidRPr="00131822" w:rsidRDefault="0039631F"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25C25BCE" w14:textId="77777777" w:rsidR="0039631F" w:rsidRPr="00131822" w:rsidRDefault="0039631F"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33D8199F" w14:textId="66D7F038"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Source: 1</w:t>
            </w:r>
          </w:p>
        </w:tc>
      </w:tr>
      <w:tr w:rsidR="00131822" w:rsidRPr="00131822" w14:paraId="31927303" w14:textId="77777777" w:rsidTr="00B55194">
        <w:trPr>
          <w:cnfStyle w:val="000000100000" w:firstRow="0" w:lastRow="0" w:firstColumn="0" w:lastColumn="0" w:oddVBand="0" w:evenVBand="0" w:oddHBand="1" w:evenHBand="0" w:firstRowFirstColumn="0" w:firstRowLastColumn="0" w:lastRowFirstColumn="0" w:lastRowLastColumn="0"/>
          <w:trHeight w:val="2522"/>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6F7718BD" w14:textId="77777777" w:rsidR="00AA0000" w:rsidRPr="00131822" w:rsidRDefault="00AA0000" w:rsidP="00F258BA">
            <w:pPr>
              <w:pStyle w:val="Tabletext"/>
              <w:rPr>
                <w:color w:val="auto"/>
              </w:rPr>
            </w:pPr>
            <w:r w:rsidRPr="00131822">
              <w:rPr>
                <w:color w:val="auto"/>
              </w:rPr>
              <w:t># ADEs by State</w:t>
            </w:r>
          </w:p>
        </w:tc>
        <w:tc>
          <w:tcPr>
            <w:tcW w:w="3685" w:type="dxa"/>
            <w:shd w:val="clear" w:color="auto" w:fill="auto"/>
          </w:tcPr>
          <w:p w14:paraId="46FD0FA8"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3685" w:type="dxa"/>
            <w:shd w:val="clear" w:color="auto" w:fill="auto"/>
          </w:tcPr>
          <w:p w14:paraId="754E89C1"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NSW: 189</w:t>
            </w:r>
          </w:p>
          <w:p w14:paraId="61079644"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VIC: 136</w:t>
            </w:r>
          </w:p>
          <w:p w14:paraId="7B1C90EE"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QLD: 42</w:t>
            </w:r>
          </w:p>
          <w:p w14:paraId="11F0FFB0"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WA: 29</w:t>
            </w:r>
          </w:p>
          <w:p w14:paraId="658DB4EA"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SA: 59</w:t>
            </w:r>
          </w:p>
          <w:p w14:paraId="086254C5"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TAS: 13</w:t>
            </w:r>
          </w:p>
          <w:p w14:paraId="3F5AC24A"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ACT: 4</w:t>
            </w:r>
          </w:p>
          <w:p w14:paraId="17DC579E"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NT: 4</w:t>
            </w:r>
          </w:p>
          <w:p w14:paraId="7B1A0DDB"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Source: 1</w:t>
            </w:r>
          </w:p>
        </w:tc>
      </w:tr>
      <w:tr w:rsidR="00131822" w:rsidRPr="00131822" w14:paraId="062A5D00" w14:textId="77777777" w:rsidTr="00B55194">
        <w:trPr>
          <w:trHeight w:val="1428"/>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5A52F5A8" w14:textId="77777777" w:rsidR="00AA0000" w:rsidRPr="00131822" w:rsidRDefault="00AA0000" w:rsidP="00F258BA">
            <w:pPr>
              <w:pStyle w:val="Tabletext"/>
              <w:rPr>
                <w:color w:val="auto"/>
              </w:rPr>
            </w:pPr>
            <w:r w:rsidRPr="00131822">
              <w:rPr>
                <w:color w:val="auto"/>
              </w:rPr>
              <w:lastRenderedPageBreak/>
              <w:t>Remoteness Area of Supported Employment Services (ADEs)</w:t>
            </w:r>
          </w:p>
        </w:tc>
        <w:tc>
          <w:tcPr>
            <w:tcW w:w="3685" w:type="dxa"/>
            <w:shd w:val="clear" w:color="auto" w:fill="auto"/>
          </w:tcPr>
          <w:p w14:paraId="3BA71762" w14:textId="576EF8F1"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46% in major cities</w:t>
            </w:r>
            <w:r w:rsidR="00676718">
              <w:t>,</w:t>
            </w:r>
          </w:p>
          <w:p w14:paraId="1438CCEB" w14:textId="5751184E"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51% in regional areas</w:t>
            </w:r>
            <w:r w:rsidR="00676718">
              <w:t>,</w:t>
            </w:r>
          </w:p>
          <w:p w14:paraId="1A1874EE" w14:textId="6F2DAF60"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2%</w:t>
            </w:r>
            <w:r w:rsidR="0039631F" w:rsidRPr="00131822">
              <w:t xml:space="preserve"> </w:t>
            </w:r>
            <w:r w:rsidR="00676718">
              <w:t>i</w:t>
            </w:r>
            <w:r w:rsidRPr="00131822">
              <w:t>n remote areas</w:t>
            </w:r>
          </w:p>
          <w:p w14:paraId="6F27A9CF" w14:textId="77777777" w:rsidR="0039631F" w:rsidRPr="00131822" w:rsidRDefault="0039631F"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374A9A24"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Source: 4</w:t>
            </w:r>
          </w:p>
        </w:tc>
        <w:tc>
          <w:tcPr>
            <w:tcW w:w="3685" w:type="dxa"/>
            <w:shd w:val="clear" w:color="auto" w:fill="auto"/>
          </w:tcPr>
          <w:p w14:paraId="44081C16"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tc>
      </w:tr>
      <w:tr w:rsidR="00131822" w:rsidRPr="00131822" w14:paraId="6FD872FF" w14:textId="77777777" w:rsidTr="00B55194">
        <w:trPr>
          <w:cnfStyle w:val="000000100000" w:firstRow="0" w:lastRow="0" w:firstColumn="0" w:lastColumn="0" w:oddVBand="0" w:evenVBand="0" w:oddHBand="1" w:evenHBand="0" w:firstRowFirstColumn="0" w:firstRowLastColumn="0" w:lastRowFirstColumn="0" w:lastRowLastColumn="0"/>
          <w:trHeight w:val="1974"/>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223E76C9" w14:textId="77777777" w:rsidR="00AA0000" w:rsidRPr="00131822" w:rsidRDefault="00AA0000" w:rsidP="00F258BA">
            <w:pPr>
              <w:pStyle w:val="Tabletext"/>
              <w:rPr>
                <w:color w:val="auto"/>
              </w:rPr>
            </w:pPr>
            <w:r w:rsidRPr="00131822">
              <w:rPr>
                <w:color w:val="auto"/>
              </w:rPr>
              <w:t xml:space="preserve">Age of Organisations </w:t>
            </w:r>
          </w:p>
        </w:tc>
        <w:tc>
          <w:tcPr>
            <w:tcW w:w="3685" w:type="dxa"/>
            <w:shd w:val="clear" w:color="auto" w:fill="auto"/>
          </w:tcPr>
          <w:p w14:paraId="515FAFD2" w14:textId="4807685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 xml:space="preserve">Most </w:t>
            </w:r>
            <w:r w:rsidR="0066119E" w:rsidRPr="00131822">
              <w:rPr>
                <w:color w:val="auto"/>
              </w:rPr>
              <w:t>ADE providers</w:t>
            </w:r>
            <w:r w:rsidRPr="00131822">
              <w:rPr>
                <w:color w:val="auto"/>
              </w:rPr>
              <w:t xml:space="preserve"> had been in operation for at least 20 years</w:t>
            </w:r>
            <w:r w:rsidR="0003562F">
              <w:rPr>
                <w:color w:val="auto"/>
              </w:rPr>
              <w:t>,</w:t>
            </w:r>
          </w:p>
          <w:p w14:paraId="5EE8EAF9"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p w14:paraId="288B2A93" w14:textId="3797E61A"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 xml:space="preserve">1 in two </w:t>
            </w:r>
            <w:r w:rsidR="0066119E" w:rsidRPr="00131822">
              <w:rPr>
                <w:color w:val="auto"/>
              </w:rPr>
              <w:t>ADE provider</w:t>
            </w:r>
            <w:r w:rsidRPr="00131822">
              <w:rPr>
                <w:color w:val="auto"/>
              </w:rPr>
              <w:t xml:space="preserve"> had operated for over 40 years </w:t>
            </w:r>
          </w:p>
          <w:p w14:paraId="7DED1441"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0B2EED10"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Source: 2</w:t>
            </w:r>
          </w:p>
        </w:tc>
        <w:tc>
          <w:tcPr>
            <w:tcW w:w="3685" w:type="dxa"/>
            <w:shd w:val="clear" w:color="auto" w:fill="auto"/>
          </w:tcPr>
          <w:p w14:paraId="22494493"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tc>
      </w:tr>
      <w:tr w:rsidR="00131822" w:rsidRPr="00131822" w14:paraId="6D36FD4B" w14:textId="77777777" w:rsidTr="00B55194">
        <w:trPr>
          <w:trHeight w:val="2522"/>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5DC0984C" w14:textId="77777777" w:rsidR="00AA0000" w:rsidRPr="00131822" w:rsidRDefault="00AA0000" w:rsidP="00F258BA">
            <w:pPr>
              <w:pStyle w:val="Tabletext"/>
              <w:rPr>
                <w:color w:val="auto"/>
              </w:rPr>
            </w:pPr>
            <w:r w:rsidRPr="00131822">
              <w:rPr>
                <w:color w:val="auto"/>
              </w:rPr>
              <w:t>Types of Goods and Services Offered by ADEs</w:t>
            </w:r>
          </w:p>
        </w:tc>
        <w:tc>
          <w:tcPr>
            <w:tcW w:w="3685" w:type="dxa"/>
            <w:shd w:val="clear" w:color="auto" w:fill="auto"/>
          </w:tcPr>
          <w:p w14:paraId="409F7898" w14:textId="6315B834"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Landscaping, Gardening &amp; Horticulture (18%</w:t>
            </w:r>
            <w:r w:rsidR="00BA4595">
              <w:rPr>
                <w:color w:val="auto"/>
              </w:rPr>
              <w:t>)</w:t>
            </w:r>
          </w:p>
          <w:p w14:paraId="40E24905"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Packaging &amp; Repackaging (16%) </w:t>
            </w:r>
          </w:p>
          <w:p w14:paraId="44180A93"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Light Manufacturing (14%)</w:t>
            </w:r>
          </w:p>
          <w:p w14:paraId="695A875C"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Cleaning &amp; Recycling (11%)</w:t>
            </w:r>
          </w:p>
          <w:p w14:paraId="5107CC15"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Food &amp; Hospitality (8%) </w:t>
            </w:r>
          </w:p>
          <w:p w14:paraId="332D1E8B"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Mail &amp; Document Management (5%) </w:t>
            </w:r>
          </w:p>
          <w:p w14:paraId="64F976F6"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Laundry (5%) </w:t>
            </w:r>
          </w:p>
          <w:p w14:paraId="5155AB9C"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 xml:space="preserve">Other (9%) </w:t>
            </w:r>
          </w:p>
          <w:p w14:paraId="5EA55D41"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p w14:paraId="08F781CD"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Source: 2</w:t>
            </w:r>
          </w:p>
        </w:tc>
        <w:tc>
          <w:tcPr>
            <w:tcW w:w="3685" w:type="dxa"/>
            <w:shd w:val="clear" w:color="auto" w:fill="auto"/>
          </w:tcPr>
          <w:p w14:paraId="1A3B3A44"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tc>
      </w:tr>
      <w:tr w:rsidR="00131822" w:rsidRPr="00131822" w14:paraId="52D3EE7D" w14:textId="77777777" w:rsidTr="00B55194">
        <w:trPr>
          <w:cnfStyle w:val="000000100000" w:firstRow="0" w:lastRow="0" w:firstColumn="0" w:lastColumn="0" w:oddVBand="0" w:evenVBand="0" w:oddHBand="1" w:evenHBand="0" w:firstRowFirstColumn="0" w:firstRowLastColumn="0" w:lastRowFirstColumn="0" w:lastRowLastColumn="0"/>
          <w:trHeight w:val="2522"/>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71A02818" w14:textId="77777777" w:rsidR="00AA0000" w:rsidRPr="00131822" w:rsidRDefault="00AA0000" w:rsidP="00F258BA">
            <w:pPr>
              <w:pStyle w:val="Tabletext"/>
              <w:rPr>
                <w:color w:val="auto"/>
              </w:rPr>
            </w:pPr>
            <w:r w:rsidRPr="00131822">
              <w:rPr>
                <w:color w:val="auto"/>
              </w:rPr>
              <w:t>Enterprise Profitability</w:t>
            </w:r>
          </w:p>
        </w:tc>
        <w:tc>
          <w:tcPr>
            <w:tcW w:w="3685" w:type="dxa"/>
            <w:shd w:val="clear" w:color="auto" w:fill="auto"/>
          </w:tcPr>
          <w:p w14:paraId="282F18AE" w14:textId="7C38C0E9"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44% considered profitable</w:t>
            </w:r>
            <w:r w:rsidR="0003562F">
              <w:t>,</w:t>
            </w:r>
          </w:p>
          <w:p w14:paraId="31D29DB5" w14:textId="284DB437"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32% unprofitable</w:t>
            </w:r>
            <w:r w:rsidR="0003562F">
              <w:t>,</w:t>
            </w:r>
          </w:p>
          <w:p w14:paraId="77F90211" w14:textId="77777777"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 xml:space="preserve">24% ‘too close to call’ </w:t>
            </w:r>
          </w:p>
          <w:p w14:paraId="26D133CC"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42BCE90F"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131822">
              <w:rPr>
                <w:rFonts w:cstheme="minorHAnsi"/>
                <w:color w:val="auto"/>
              </w:rPr>
              <w:t>Source: 2</w:t>
            </w:r>
          </w:p>
          <w:p w14:paraId="6445B705"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618B1B19" w14:textId="1F3CD80A"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42% profit making, which hired 56% of</w:t>
            </w:r>
            <w:r w:rsidR="0000648A" w:rsidRPr="00131822">
              <w:t xml:space="preserve"> </w:t>
            </w:r>
            <w:r w:rsidRPr="00131822">
              <w:t>supported employees</w:t>
            </w:r>
            <w:r w:rsidR="0003562F">
              <w:t>,</w:t>
            </w:r>
          </w:p>
          <w:p w14:paraId="309B7795" w14:textId="49D016C5"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56% loss making, which hired 41% of supported employees</w:t>
            </w:r>
          </w:p>
          <w:p w14:paraId="57475F60"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6822D451"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131822">
              <w:rPr>
                <w:color w:val="auto"/>
              </w:rPr>
              <w:t>Source: 7</w:t>
            </w:r>
          </w:p>
        </w:tc>
        <w:tc>
          <w:tcPr>
            <w:tcW w:w="3685" w:type="dxa"/>
            <w:shd w:val="clear" w:color="auto" w:fill="auto"/>
          </w:tcPr>
          <w:p w14:paraId="1B381D97"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tc>
      </w:tr>
      <w:tr w:rsidR="00131822" w:rsidRPr="00131822" w14:paraId="6E00C80C" w14:textId="77777777" w:rsidTr="00B55194">
        <w:trPr>
          <w:trHeight w:val="2522"/>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277119F0" w14:textId="77777777" w:rsidR="00AA0000" w:rsidRPr="00131822" w:rsidRDefault="00AA0000" w:rsidP="00F258BA">
            <w:pPr>
              <w:pStyle w:val="Tabletext"/>
              <w:rPr>
                <w:color w:val="auto"/>
              </w:rPr>
            </w:pPr>
            <w:r w:rsidRPr="00131822">
              <w:rPr>
                <w:color w:val="auto"/>
              </w:rPr>
              <w:t xml:space="preserve">% Income from Commercial Activities </w:t>
            </w:r>
          </w:p>
        </w:tc>
        <w:tc>
          <w:tcPr>
            <w:tcW w:w="3685" w:type="dxa"/>
            <w:shd w:val="clear" w:color="auto" w:fill="auto"/>
          </w:tcPr>
          <w:p w14:paraId="38FCCE93" w14:textId="44CFC75A"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16</w:t>
            </w:r>
            <w:r w:rsidR="0039631F" w:rsidRPr="00131822">
              <w:t>% earned</w:t>
            </w:r>
            <w:r w:rsidRPr="00131822">
              <w:t xml:space="preserve"> 30% or less of total income from commercial activities,</w:t>
            </w:r>
          </w:p>
          <w:p w14:paraId="558DB4B1" w14:textId="43EDDA80"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28</w:t>
            </w:r>
            <w:r w:rsidR="0039631F" w:rsidRPr="00131822">
              <w:t>% had</w:t>
            </w:r>
            <w:r w:rsidRPr="00131822">
              <w:t xml:space="preserve"> commercial income between 31-50% of total income,</w:t>
            </w:r>
          </w:p>
          <w:p w14:paraId="3859DB98" w14:textId="426C36EE"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43</w:t>
            </w:r>
            <w:r w:rsidR="0039631F" w:rsidRPr="00131822">
              <w:t>% earned</w:t>
            </w:r>
            <w:r w:rsidRPr="00131822">
              <w:t xml:space="preserve"> between 51-80% of total income from commercial activities, </w:t>
            </w:r>
          </w:p>
          <w:p w14:paraId="6A4A2245" w14:textId="4FADC571"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13</w:t>
            </w:r>
            <w:r w:rsidR="0039631F" w:rsidRPr="00131822">
              <w:t>% earned</w:t>
            </w:r>
            <w:r w:rsidRPr="00131822">
              <w:t xml:space="preserve"> more than 81% from commercial activities</w:t>
            </w:r>
            <w:r w:rsidR="0000648A" w:rsidRPr="00131822">
              <w:t xml:space="preserve"> </w:t>
            </w:r>
          </w:p>
          <w:p w14:paraId="391198EB"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p w14:paraId="73243FC4"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131822">
              <w:rPr>
                <w:color w:val="auto"/>
              </w:rPr>
              <w:t>Source: 2</w:t>
            </w:r>
          </w:p>
        </w:tc>
        <w:tc>
          <w:tcPr>
            <w:tcW w:w="3685" w:type="dxa"/>
            <w:shd w:val="clear" w:color="auto" w:fill="auto"/>
          </w:tcPr>
          <w:p w14:paraId="50AF3E95"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tc>
      </w:tr>
      <w:tr w:rsidR="00131822" w:rsidRPr="00131822" w14:paraId="5F046FD8" w14:textId="77777777" w:rsidTr="00B55194">
        <w:trPr>
          <w:cnfStyle w:val="000000100000" w:firstRow="0" w:lastRow="0" w:firstColumn="0" w:lastColumn="0" w:oddVBand="0" w:evenVBand="0" w:oddHBand="1" w:evenHBand="0" w:firstRowFirstColumn="0" w:firstRowLastColumn="0" w:lastRowFirstColumn="0" w:lastRowLastColumn="0"/>
          <w:trHeight w:val="1173"/>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2F07601C" w14:textId="77777777" w:rsidR="00AA0000" w:rsidRPr="00131822" w:rsidRDefault="00AA0000" w:rsidP="00F258BA">
            <w:pPr>
              <w:pStyle w:val="Tabletext"/>
              <w:rPr>
                <w:color w:val="auto"/>
              </w:rPr>
            </w:pPr>
            <w:r w:rsidRPr="00131822">
              <w:rPr>
                <w:color w:val="auto"/>
              </w:rPr>
              <w:t xml:space="preserve">Income Scale </w:t>
            </w:r>
          </w:p>
        </w:tc>
        <w:tc>
          <w:tcPr>
            <w:tcW w:w="3685" w:type="dxa"/>
            <w:shd w:val="clear" w:color="auto" w:fill="auto"/>
          </w:tcPr>
          <w:p w14:paraId="48FECD71" w14:textId="77777777"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62% earned less than $10 million,</w:t>
            </w:r>
          </w:p>
          <w:p w14:paraId="721C3586" w14:textId="77777777" w:rsidR="00AA0000" w:rsidRPr="00131822" w:rsidRDefault="00AA0000" w:rsidP="00333F99">
            <w:pPr>
              <w:pStyle w:val="Tabledotpoint"/>
              <w:cnfStyle w:val="000000100000" w:firstRow="0" w:lastRow="0" w:firstColumn="0" w:lastColumn="0" w:oddVBand="0" w:evenVBand="0" w:oddHBand="1" w:evenHBand="0" w:firstRowFirstColumn="0" w:firstRowLastColumn="0" w:lastRowFirstColumn="0" w:lastRowLastColumn="0"/>
            </w:pPr>
            <w:r w:rsidRPr="00131822">
              <w:t>1 in three earned less than $2 million</w:t>
            </w:r>
          </w:p>
          <w:p w14:paraId="3F3E4ED7"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54635D01" w14:textId="373ABE5C"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131822">
              <w:rPr>
                <w:rFonts w:cstheme="minorHAnsi"/>
                <w:color w:val="auto"/>
              </w:rPr>
              <w:t>Source: 2</w:t>
            </w:r>
            <w:r w:rsidR="0000648A" w:rsidRPr="00131822">
              <w:rPr>
                <w:rFonts w:cstheme="minorHAnsi"/>
                <w:color w:val="auto"/>
              </w:rPr>
              <w:t xml:space="preserve"> </w:t>
            </w:r>
          </w:p>
        </w:tc>
        <w:tc>
          <w:tcPr>
            <w:tcW w:w="3685" w:type="dxa"/>
            <w:shd w:val="clear" w:color="auto" w:fill="auto"/>
          </w:tcPr>
          <w:p w14:paraId="02F3D379" w14:textId="77777777" w:rsidR="00AA0000" w:rsidRPr="00131822" w:rsidRDefault="00AA0000"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tc>
      </w:tr>
      <w:tr w:rsidR="00131822" w:rsidRPr="00131822" w14:paraId="1BC42E67" w14:textId="77777777" w:rsidTr="00B55194">
        <w:trPr>
          <w:trHeight w:val="1550"/>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484395BA" w14:textId="77777777" w:rsidR="00AA0000" w:rsidRPr="00131822" w:rsidRDefault="00AA0000" w:rsidP="00F258BA">
            <w:pPr>
              <w:pStyle w:val="Tabletext"/>
              <w:rPr>
                <w:color w:val="auto"/>
              </w:rPr>
            </w:pPr>
            <w:r w:rsidRPr="00131822">
              <w:rPr>
                <w:color w:val="auto"/>
              </w:rPr>
              <w:lastRenderedPageBreak/>
              <w:t>Expenditure Scale</w:t>
            </w:r>
          </w:p>
        </w:tc>
        <w:tc>
          <w:tcPr>
            <w:tcW w:w="3685" w:type="dxa"/>
            <w:shd w:val="clear" w:color="auto" w:fill="auto"/>
          </w:tcPr>
          <w:p w14:paraId="63D3CC65" w14:textId="77777777"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Level of expenditure:</w:t>
            </w:r>
          </w:p>
          <w:p w14:paraId="4F553800" w14:textId="4168FEBB"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12% spent over $10M</w:t>
            </w:r>
          </w:p>
          <w:p w14:paraId="135234C4" w14:textId="01D9E542"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28% spent between $1-$2M</w:t>
            </w:r>
          </w:p>
          <w:p w14:paraId="53BEF1BC" w14:textId="6A6C361A" w:rsidR="00AA0000" w:rsidRPr="00131822" w:rsidRDefault="00AA0000" w:rsidP="00333F99">
            <w:pPr>
              <w:pStyle w:val="Tabledotpoint"/>
              <w:cnfStyle w:val="000000000000" w:firstRow="0" w:lastRow="0" w:firstColumn="0" w:lastColumn="0" w:oddVBand="0" w:evenVBand="0" w:oddHBand="0" w:evenHBand="0" w:firstRowFirstColumn="0" w:firstRowLastColumn="0" w:lastRowFirstColumn="0" w:lastRowLastColumn="0"/>
            </w:pPr>
            <w:r w:rsidRPr="00131822">
              <w:t>12% spent between $0 and $0.5</w:t>
            </w:r>
            <w:r w:rsidR="00151BC6">
              <w:t>M</w:t>
            </w:r>
          </w:p>
          <w:p w14:paraId="5F4C8B6B"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p w14:paraId="168D64B6"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131822">
              <w:rPr>
                <w:rFonts w:cstheme="minorHAnsi"/>
                <w:color w:val="auto"/>
              </w:rPr>
              <w:t>Source: 7</w:t>
            </w:r>
          </w:p>
        </w:tc>
        <w:tc>
          <w:tcPr>
            <w:tcW w:w="3685" w:type="dxa"/>
            <w:shd w:val="clear" w:color="auto" w:fill="auto"/>
          </w:tcPr>
          <w:p w14:paraId="495D4F9E" w14:textId="77777777" w:rsidR="00AA0000" w:rsidRPr="00131822" w:rsidRDefault="00AA0000"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tc>
      </w:tr>
    </w:tbl>
    <w:p w14:paraId="2014AA03" w14:textId="77777777" w:rsidR="00D60496" w:rsidRPr="003D0B83" w:rsidRDefault="00D60496" w:rsidP="0039631F">
      <w:pPr>
        <w:pStyle w:val="Tabletext"/>
        <w:rPr>
          <w:color w:val="auto"/>
          <w:sz w:val="16"/>
          <w:szCs w:val="16"/>
        </w:rPr>
      </w:pPr>
    </w:p>
    <w:p w14:paraId="386A2E9E" w14:textId="6A38CCC6" w:rsidR="00A253CA" w:rsidRPr="00D60496" w:rsidRDefault="00A253CA" w:rsidP="0039631F">
      <w:pPr>
        <w:pStyle w:val="Tabletext"/>
        <w:rPr>
          <w:color w:val="auto"/>
        </w:rPr>
      </w:pPr>
      <w:r w:rsidRPr="00D60496">
        <w:rPr>
          <w:color w:val="auto"/>
        </w:rPr>
        <w:t>Sources:</w:t>
      </w:r>
    </w:p>
    <w:p w14:paraId="186AB7A2" w14:textId="0F637F91" w:rsidR="00AA0000" w:rsidRPr="00D60496" w:rsidRDefault="00AA0000" w:rsidP="0039631F">
      <w:pPr>
        <w:pStyle w:val="Tabletext"/>
        <w:rPr>
          <w:color w:val="auto"/>
        </w:rPr>
      </w:pPr>
      <w:r w:rsidRPr="00D60496">
        <w:rPr>
          <w:color w:val="auto"/>
        </w:rPr>
        <w:t xml:space="preserve">1. </w:t>
      </w:r>
      <w:proofErr w:type="spellStart"/>
      <w:r w:rsidRPr="00D60496">
        <w:rPr>
          <w:color w:val="auto"/>
        </w:rPr>
        <w:t>BuyAbility</w:t>
      </w:r>
      <w:proofErr w:type="spellEnd"/>
      <w:r w:rsidRPr="00D60496">
        <w:rPr>
          <w:color w:val="auto"/>
        </w:rPr>
        <w:t xml:space="preserve"> and desktop review</w:t>
      </w:r>
      <w:r w:rsidR="008D1129">
        <w:rPr>
          <w:color w:val="auto"/>
        </w:rPr>
        <w:t>.</w:t>
      </w:r>
      <w:r w:rsidRPr="00D60496">
        <w:rPr>
          <w:color w:val="auto"/>
        </w:rPr>
        <w:t xml:space="preserve"> Dated as: Nov 2022</w:t>
      </w:r>
    </w:p>
    <w:p w14:paraId="51138FB4" w14:textId="772186F5" w:rsidR="00AA0000" w:rsidRPr="00D60496" w:rsidRDefault="00AA0000" w:rsidP="0039631F">
      <w:pPr>
        <w:pStyle w:val="Tabletext"/>
        <w:rPr>
          <w:color w:val="auto"/>
        </w:rPr>
      </w:pPr>
      <w:r w:rsidRPr="00D60496">
        <w:rPr>
          <w:color w:val="auto"/>
        </w:rPr>
        <w:t xml:space="preserve">2. </w:t>
      </w:r>
      <w:proofErr w:type="spellStart"/>
      <w:r w:rsidRPr="00D60496">
        <w:rPr>
          <w:color w:val="auto"/>
        </w:rPr>
        <w:t>ConNetica</w:t>
      </w:r>
      <w:proofErr w:type="spellEnd"/>
      <w:r w:rsidRPr="00D60496">
        <w:rPr>
          <w:color w:val="auto"/>
        </w:rPr>
        <w:t xml:space="preserve"> (2013)</w:t>
      </w:r>
      <w:r w:rsidR="008D1129">
        <w:rPr>
          <w:color w:val="auto"/>
        </w:rPr>
        <w:t>.</w:t>
      </w:r>
      <w:r w:rsidRPr="00D60496">
        <w:rPr>
          <w:color w:val="auto"/>
        </w:rPr>
        <w:t xml:space="preserve"> Dated as: 2013</w:t>
      </w:r>
    </w:p>
    <w:p w14:paraId="767CBBA9" w14:textId="5C43686D" w:rsidR="00AA0000" w:rsidRPr="00D60496" w:rsidRDefault="00AA0000" w:rsidP="0039631F">
      <w:pPr>
        <w:pStyle w:val="Tabletext"/>
        <w:rPr>
          <w:color w:val="auto"/>
        </w:rPr>
      </w:pPr>
      <w:r w:rsidRPr="00D60496">
        <w:rPr>
          <w:color w:val="auto"/>
        </w:rPr>
        <w:t>3. Social Enterprise Finder (national directory of Certified Social Enterprises, by Social Traders)</w:t>
      </w:r>
      <w:r w:rsidR="008D1129">
        <w:rPr>
          <w:color w:val="auto"/>
        </w:rPr>
        <w:t>.</w:t>
      </w:r>
      <w:r w:rsidR="0000648A" w:rsidRPr="00D60496">
        <w:rPr>
          <w:color w:val="auto"/>
        </w:rPr>
        <w:t xml:space="preserve"> </w:t>
      </w:r>
      <w:r w:rsidRPr="00D60496">
        <w:rPr>
          <w:color w:val="auto"/>
        </w:rPr>
        <w:t>Dated as: Nov 2022</w:t>
      </w:r>
    </w:p>
    <w:p w14:paraId="2A384958" w14:textId="68035D8F" w:rsidR="00AA0000" w:rsidRPr="00D60496" w:rsidRDefault="00AA0000" w:rsidP="0039631F">
      <w:pPr>
        <w:pStyle w:val="Tabletext"/>
        <w:rPr>
          <w:color w:val="auto"/>
        </w:rPr>
      </w:pPr>
      <w:r w:rsidRPr="00D60496">
        <w:rPr>
          <w:color w:val="auto"/>
        </w:rPr>
        <w:t xml:space="preserve">4. Australian Disability Services, 2009-10 (DSS, </w:t>
      </w:r>
      <w:r w:rsidR="005A0B55" w:rsidRPr="00D60496">
        <w:rPr>
          <w:color w:val="auto"/>
        </w:rPr>
        <w:t>20</w:t>
      </w:r>
      <w:r w:rsidR="005A0B55">
        <w:rPr>
          <w:color w:val="auto"/>
        </w:rPr>
        <w:t>14b</w:t>
      </w:r>
      <w:r w:rsidRPr="00D60496">
        <w:rPr>
          <w:color w:val="auto"/>
        </w:rPr>
        <w:t>)</w:t>
      </w:r>
      <w:r w:rsidR="008D1129">
        <w:rPr>
          <w:color w:val="auto"/>
        </w:rPr>
        <w:t>.</w:t>
      </w:r>
      <w:r w:rsidRPr="00D60496">
        <w:rPr>
          <w:color w:val="auto"/>
        </w:rPr>
        <w:t xml:space="preserve"> Dated as: 2010</w:t>
      </w:r>
    </w:p>
    <w:p w14:paraId="4C626DB0" w14:textId="77777777" w:rsidR="00AA0000" w:rsidRPr="00D60496" w:rsidRDefault="00AA0000" w:rsidP="0039631F">
      <w:pPr>
        <w:pStyle w:val="Tabletext"/>
        <w:rPr>
          <w:color w:val="auto"/>
        </w:rPr>
      </w:pPr>
      <w:r w:rsidRPr="00D60496">
        <w:rPr>
          <w:color w:val="auto"/>
        </w:rPr>
        <w:t>5. NDIA (2020)</w:t>
      </w:r>
    </w:p>
    <w:p w14:paraId="7716E608" w14:textId="77777777" w:rsidR="00AA0000" w:rsidRPr="00D60496" w:rsidRDefault="00AA0000" w:rsidP="0039631F">
      <w:pPr>
        <w:pStyle w:val="Tabletext"/>
        <w:rPr>
          <w:color w:val="auto"/>
        </w:rPr>
      </w:pPr>
      <w:r w:rsidRPr="00D60496">
        <w:rPr>
          <w:color w:val="auto"/>
        </w:rPr>
        <w:t>6. DSS (2017)</w:t>
      </w:r>
    </w:p>
    <w:p w14:paraId="03190298" w14:textId="54FE0FD2" w:rsidR="00AA0000" w:rsidRDefault="00AA0000" w:rsidP="00D15899">
      <w:pPr>
        <w:pStyle w:val="Tabletext"/>
        <w:rPr>
          <w:color w:val="auto"/>
        </w:rPr>
      </w:pPr>
      <w:r w:rsidRPr="00D60496">
        <w:rPr>
          <w:color w:val="auto"/>
        </w:rPr>
        <w:t>7. KPMG (2015) Date</w:t>
      </w:r>
      <w:r w:rsidR="00F258BA">
        <w:rPr>
          <w:color w:val="auto"/>
        </w:rPr>
        <w:t xml:space="preserve">s </w:t>
      </w:r>
      <w:r w:rsidRPr="00D60496">
        <w:rPr>
          <w:color w:val="auto"/>
        </w:rPr>
        <w:t>as: 2014/15</w:t>
      </w:r>
      <w:r w:rsidR="008B7A46">
        <w:rPr>
          <w:color w:val="auto"/>
        </w:rPr>
        <w:t>.</w:t>
      </w:r>
    </w:p>
    <w:p w14:paraId="31B1CB46" w14:textId="77777777" w:rsidR="00D15899" w:rsidRPr="00D15899" w:rsidRDefault="00D15899" w:rsidP="00D15899">
      <w:pPr>
        <w:pStyle w:val="Tabletext"/>
        <w:rPr>
          <w:color w:val="auto"/>
        </w:rPr>
      </w:pPr>
    </w:p>
    <w:p w14:paraId="61C4CC40" w14:textId="27C67EB5" w:rsidR="0066119E" w:rsidRPr="004C2BA3" w:rsidRDefault="0066119E" w:rsidP="004C2BA3">
      <w:pPr>
        <w:pStyle w:val="Heading4"/>
      </w:pPr>
      <w:r>
        <w:t>Supported employee characteristics in ADEs</w:t>
      </w:r>
    </w:p>
    <w:p w14:paraId="205B24A3" w14:textId="36420F7F" w:rsidR="00610D95" w:rsidRDefault="0066119E" w:rsidP="00333F99">
      <w:pPr>
        <w:pStyle w:val="Normal4"/>
      </w:pPr>
      <w:r>
        <w:t>There remain approximately 16,000 supported employees in the ADE sector in 2022.</w:t>
      </w:r>
      <w:r w:rsidR="00610D95">
        <w:t xml:space="preserve"> Most (a bit less than half) work 15-30 hours, with a small percentage </w:t>
      </w:r>
      <w:r w:rsidR="000931BB">
        <w:t>(</w:t>
      </w:r>
      <w:r w:rsidR="00610D95">
        <w:t>3-5%</w:t>
      </w:r>
      <w:r w:rsidR="000931BB">
        <w:t>)</w:t>
      </w:r>
      <w:r w:rsidR="00610D95">
        <w:t xml:space="preserve"> working less than 8 hours (NDIA, 2020). This low proportion of very few hours per week, and the high proportion of those working over 30 hours per week (23-31%) speaks to the higher levels of work hours that supported employees work within ADE settings, possibly aided by different DSP conditions when working in </w:t>
      </w:r>
      <w:r w:rsidR="00A253CA">
        <w:t>an ADE</w:t>
      </w:r>
      <w:r w:rsidR="00610D95">
        <w:t>. The NDIA reports that around 34% of Scheme participants with a paid job (on entry) are working in ADEs, and slightly more participants move into ADEs each year than move out of them into open employment (NDIA, 2020).</w:t>
      </w:r>
      <w:r w:rsidR="004C2BA3">
        <w:t xml:space="preserve"> NDIA data suggests that of participants working in ADEs, around 70% of </w:t>
      </w:r>
      <w:r w:rsidR="001B4F5B">
        <w:t xml:space="preserve">those aged </w:t>
      </w:r>
      <w:r w:rsidR="004C2BA3">
        <w:t xml:space="preserve">25 </w:t>
      </w:r>
      <w:r w:rsidR="001B4F5B">
        <w:t>and over</w:t>
      </w:r>
      <w:r w:rsidR="004C2BA3">
        <w:t xml:space="preserve"> have an intellectual disability </w:t>
      </w:r>
      <w:r w:rsidR="00E90AD7">
        <w:t xml:space="preserve">as well as </w:t>
      </w:r>
      <w:r w:rsidR="004C2BA3">
        <w:t xml:space="preserve">45% of </w:t>
      </w:r>
      <w:proofErr w:type="gramStart"/>
      <w:r w:rsidR="004C2BA3">
        <w:t>15-24 year</w:t>
      </w:r>
      <w:r w:rsidR="007B69AE">
        <w:t>-</w:t>
      </w:r>
      <w:r w:rsidR="004C2BA3">
        <w:t>olds</w:t>
      </w:r>
      <w:proofErr w:type="gramEnd"/>
      <w:r w:rsidR="004C2BA3">
        <w:t xml:space="preserve"> (NDIA, 2020). ADEs are also targeting beneficiary groups without disabilities including a range of disadvantaged groups such as m</w:t>
      </w:r>
      <w:r w:rsidR="004C2BA3" w:rsidRPr="00717972">
        <w:t>igrants, refugees, or asylum seekers</w:t>
      </w:r>
      <w:r w:rsidR="004C2BA3">
        <w:t>.</w:t>
      </w:r>
    </w:p>
    <w:p w14:paraId="00149D6D" w14:textId="5AEB5B14" w:rsidR="0004533C" w:rsidRDefault="0004533C" w:rsidP="0004533C">
      <w:pPr>
        <w:pStyle w:val="Table"/>
      </w:pPr>
      <w:r>
        <w:t>Table 3: Supported employee characteristics</w:t>
      </w:r>
    </w:p>
    <w:tbl>
      <w:tblPr>
        <w:tblStyle w:val="ListTable3-Accent4"/>
        <w:tblW w:w="10207" w:type="dxa"/>
        <w:tblInd w:w="-431" w:type="dxa"/>
        <w:tblBorders>
          <w:top w:val="single" w:sz="4" w:space="0" w:color="414042" w:themeColor="text1"/>
          <w:left w:val="single" w:sz="4" w:space="0" w:color="414042" w:themeColor="text1"/>
          <w:bottom w:val="single" w:sz="4" w:space="0" w:color="414042" w:themeColor="text1"/>
          <w:right w:val="single" w:sz="4" w:space="0" w:color="414042" w:themeColor="text1"/>
          <w:insideH w:val="single" w:sz="4" w:space="0" w:color="414042" w:themeColor="text1"/>
          <w:insideV w:val="single" w:sz="4" w:space="0" w:color="414042" w:themeColor="text1"/>
        </w:tblBorders>
        <w:tblLook w:val="04A0" w:firstRow="1" w:lastRow="0" w:firstColumn="1" w:lastColumn="0" w:noHBand="0" w:noVBand="1"/>
      </w:tblPr>
      <w:tblGrid>
        <w:gridCol w:w="2214"/>
        <w:gridCol w:w="3435"/>
        <w:gridCol w:w="4558"/>
      </w:tblGrid>
      <w:tr w:rsidR="0004533C" w14:paraId="17E68D5C" w14:textId="77777777" w:rsidTr="00835D7F">
        <w:trPr>
          <w:cnfStyle w:val="100000000000" w:firstRow="1" w:lastRow="0" w:firstColumn="0" w:lastColumn="0" w:oddVBand="0" w:evenVBand="0" w:oddHBand="0" w:evenHBand="0" w:firstRowFirstColumn="0" w:firstRowLastColumn="0" w:lastRowFirstColumn="0" w:lastRowLastColumn="0"/>
          <w:trHeight w:val="234"/>
        </w:trPr>
        <w:tc>
          <w:tcPr>
            <w:cnfStyle w:val="001000000100" w:firstRow="0" w:lastRow="0" w:firstColumn="1" w:lastColumn="0" w:oddVBand="0" w:evenVBand="0" w:oddHBand="0" w:evenHBand="0" w:firstRowFirstColumn="1" w:firstRowLastColumn="0" w:lastRowFirstColumn="0" w:lastRowLastColumn="0"/>
            <w:tcW w:w="2214" w:type="dxa"/>
            <w:tcBorders>
              <w:bottom w:val="none" w:sz="0" w:space="0" w:color="auto"/>
              <w:right w:val="none" w:sz="0" w:space="0" w:color="auto"/>
            </w:tcBorders>
            <w:shd w:val="clear" w:color="auto" w:fill="auto"/>
          </w:tcPr>
          <w:p w14:paraId="7A097A0B" w14:textId="77777777" w:rsidR="0004533C" w:rsidRPr="00E75F3F" w:rsidRDefault="0004533C" w:rsidP="00F258BA">
            <w:pPr>
              <w:pStyle w:val="Tabletext"/>
            </w:pPr>
          </w:p>
        </w:tc>
        <w:tc>
          <w:tcPr>
            <w:tcW w:w="3435" w:type="dxa"/>
            <w:shd w:val="clear" w:color="auto" w:fill="auto"/>
          </w:tcPr>
          <w:p w14:paraId="589C0216" w14:textId="77777777" w:rsidR="0004533C" w:rsidRPr="00276197" w:rsidRDefault="0004533C" w:rsidP="00F258BA">
            <w:pPr>
              <w:pStyle w:val="Tabletext"/>
              <w:cnfStyle w:val="100000000000" w:firstRow="1" w:lastRow="0" w:firstColumn="0" w:lastColumn="0" w:oddVBand="0" w:evenVBand="0" w:oddHBand="0" w:evenHBand="0" w:firstRowFirstColumn="0" w:firstRowLastColumn="0" w:lastRowFirstColumn="0" w:lastRowLastColumn="0"/>
              <w:rPr>
                <w:color w:val="auto"/>
              </w:rPr>
            </w:pPr>
            <w:r w:rsidRPr="00276197">
              <w:rPr>
                <w:color w:val="auto"/>
              </w:rPr>
              <w:t>2013 (and other before 2020)</w:t>
            </w:r>
          </w:p>
        </w:tc>
        <w:tc>
          <w:tcPr>
            <w:tcW w:w="4558" w:type="dxa"/>
            <w:shd w:val="clear" w:color="auto" w:fill="auto"/>
          </w:tcPr>
          <w:p w14:paraId="7408FD33" w14:textId="77777777" w:rsidR="0004533C" w:rsidRPr="00276197" w:rsidRDefault="0004533C" w:rsidP="00F258BA">
            <w:pPr>
              <w:pStyle w:val="Tabletext"/>
              <w:cnfStyle w:val="100000000000" w:firstRow="1" w:lastRow="0" w:firstColumn="0" w:lastColumn="0" w:oddVBand="0" w:evenVBand="0" w:oddHBand="0" w:evenHBand="0" w:firstRowFirstColumn="0" w:firstRowLastColumn="0" w:lastRowFirstColumn="0" w:lastRowLastColumn="0"/>
              <w:rPr>
                <w:color w:val="auto"/>
              </w:rPr>
            </w:pPr>
            <w:r w:rsidRPr="00276197">
              <w:rPr>
                <w:color w:val="auto"/>
              </w:rPr>
              <w:t>2022</w:t>
            </w:r>
          </w:p>
        </w:tc>
      </w:tr>
      <w:tr w:rsidR="0004533C" w14:paraId="627B90FB" w14:textId="77777777" w:rsidTr="00610D95">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214" w:type="dxa"/>
            <w:shd w:val="clear" w:color="auto" w:fill="auto"/>
          </w:tcPr>
          <w:p w14:paraId="02C9B168" w14:textId="77777777" w:rsidR="0004533C" w:rsidRDefault="0004533C" w:rsidP="00F258BA">
            <w:pPr>
              <w:pStyle w:val="Tabletext"/>
            </w:pPr>
            <w:r>
              <w:t xml:space="preserve">Total number of supported employees </w:t>
            </w:r>
          </w:p>
        </w:tc>
        <w:tc>
          <w:tcPr>
            <w:tcW w:w="3435" w:type="dxa"/>
            <w:shd w:val="clear" w:color="auto" w:fill="auto"/>
          </w:tcPr>
          <w:p w14:paraId="0C28CA8C"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color w:val="auto"/>
              </w:rPr>
              <w:t>Approximately 19,000</w:t>
            </w:r>
          </w:p>
          <w:p w14:paraId="584F2283" w14:textId="77777777" w:rsidR="00610D95" w:rsidRPr="00276197" w:rsidRDefault="00610D95"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p w14:paraId="0EA791FD" w14:textId="0B31E223" w:rsidR="00610D95" w:rsidRPr="00276197" w:rsidRDefault="00610D95"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color w:val="auto"/>
              </w:rPr>
              <w:t>Source: 2</w:t>
            </w:r>
          </w:p>
        </w:tc>
        <w:tc>
          <w:tcPr>
            <w:tcW w:w="4558" w:type="dxa"/>
            <w:shd w:val="clear" w:color="auto" w:fill="auto"/>
          </w:tcPr>
          <w:p w14:paraId="4D985B06"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color w:val="auto"/>
              </w:rPr>
              <w:t xml:space="preserve">Approximately 16,000 </w:t>
            </w:r>
          </w:p>
          <w:p w14:paraId="68E8C3ED"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color w:val="auto"/>
              </w:rPr>
              <w:t>16,256</w:t>
            </w:r>
          </w:p>
          <w:p w14:paraId="44B157A1"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color w:val="auto"/>
              </w:rPr>
              <w:t>Source: 1</w:t>
            </w:r>
          </w:p>
        </w:tc>
      </w:tr>
      <w:tr w:rsidR="0004533C" w14:paraId="3A54F156" w14:textId="77777777" w:rsidTr="008F7860">
        <w:trPr>
          <w:trHeight w:val="731"/>
        </w:trPr>
        <w:tc>
          <w:tcPr>
            <w:cnfStyle w:val="001000000000" w:firstRow="0" w:lastRow="0" w:firstColumn="1" w:lastColumn="0" w:oddVBand="0" w:evenVBand="0" w:oddHBand="0" w:evenHBand="0" w:firstRowFirstColumn="0" w:firstRowLastColumn="0" w:lastRowFirstColumn="0" w:lastRowLastColumn="0"/>
            <w:tcW w:w="2214" w:type="dxa"/>
            <w:tcBorders>
              <w:right w:val="none" w:sz="0" w:space="0" w:color="auto"/>
            </w:tcBorders>
            <w:shd w:val="clear" w:color="auto" w:fill="auto"/>
          </w:tcPr>
          <w:p w14:paraId="3975D0B0" w14:textId="77777777" w:rsidR="0004533C" w:rsidRPr="00BB6DBF" w:rsidRDefault="0004533C" w:rsidP="00F258BA">
            <w:pPr>
              <w:pStyle w:val="Tabletext"/>
            </w:pPr>
            <w:r w:rsidRPr="00BB6DBF">
              <w:t>Total</w:t>
            </w:r>
            <w:r>
              <w:t xml:space="preserve"> # NDIS participants in ADEs</w:t>
            </w:r>
          </w:p>
        </w:tc>
        <w:tc>
          <w:tcPr>
            <w:tcW w:w="3435" w:type="dxa"/>
            <w:shd w:val="clear" w:color="auto" w:fill="auto"/>
          </w:tcPr>
          <w:p w14:paraId="77D3D22A"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tc>
        <w:tc>
          <w:tcPr>
            <w:tcW w:w="4558" w:type="dxa"/>
            <w:shd w:val="clear" w:color="auto" w:fill="auto"/>
          </w:tcPr>
          <w:p w14:paraId="745D3905" w14:textId="563EC8D6"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276197">
              <w:rPr>
                <w:rFonts w:cstheme="minorHAnsi"/>
                <w:color w:val="auto"/>
              </w:rPr>
              <w:t xml:space="preserve">14,247 </w:t>
            </w:r>
          </w:p>
          <w:p w14:paraId="37617AF0" w14:textId="0EA8844D" w:rsidR="0004533C"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276197">
              <w:rPr>
                <w:rFonts w:cstheme="minorHAnsi"/>
                <w:color w:val="auto"/>
              </w:rPr>
              <w:t>as at 31 Dec 2020</w:t>
            </w:r>
          </w:p>
          <w:p w14:paraId="71E830B2" w14:textId="77777777" w:rsidR="00A25F2D" w:rsidRPr="00276197" w:rsidRDefault="00A25F2D"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p w14:paraId="1EB90080" w14:textId="4DF76A8C"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276197">
              <w:rPr>
                <w:rFonts w:cstheme="minorHAnsi"/>
                <w:color w:val="auto"/>
              </w:rPr>
              <w:t>Source</w:t>
            </w:r>
            <w:r w:rsidR="00610D95" w:rsidRPr="00276197">
              <w:rPr>
                <w:rFonts w:cstheme="minorHAnsi"/>
                <w:color w:val="auto"/>
              </w:rPr>
              <w:t>:</w:t>
            </w:r>
            <w:r w:rsidRPr="00276197">
              <w:rPr>
                <w:rFonts w:cstheme="minorHAnsi"/>
                <w:color w:val="auto"/>
              </w:rPr>
              <w:t xml:space="preserve"> 5</w:t>
            </w:r>
          </w:p>
        </w:tc>
      </w:tr>
      <w:tr w:rsidR="0004533C" w14:paraId="04381954" w14:textId="77777777" w:rsidTr="00610D95">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2214" w:type="dxa"/>
            <w:tcBorders>
              <w:top w:val="none" w:sz="0" w:space="0" w:color="auto"/>
              <w:bottom w:val="none" w:sz="0" w:space="0" w:color="auto"/>
              <w:right w:val="none" w:sz="0" w:space="0" w:color="auto"/>
            </w:tcBorders>
            <w:shd w:val="clear" w:color="auto" w:fill="auto"/>
          </w:tcPr>
          <w:p w14:paraId="67BB4AFA" w14:textId="77777777" w:rsidR="0004533C" w:rsidRPr="00BB6DBF" w:rsidRDefault="0004533C" w:rsidP="00F258BA">
            <w:pPr>
              <w:pStyle w:val="Tabletext"/>
            </w:pPr>
            <w:r>
              <w:t>Total % NDIS participants (with paid job) in ADE</w:t>
            </w:r>
          </w:p>
        </w:tc>
        <w:tc>
          <w:tcPr>
            <w:tcW w:w="3435" w:type="dxa"/>
            <w:tcBorders>
              <w:top w:val="none" w:sz="0" w:space="0" w:color="auto"/>
              <w:bottom w:val="none" w:sz="0" w:space="0" w:color="auto"/>
            </w:tcBorders>
            <w:shd w:val="clear" w:color="auto" w:fill="auto"/>
          </w:tcPr>
          <w:p w14:paraId="173857C0"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4558" w:type="dxa"/>
            <w:tcBorders>
              <w:top w:val="none" w:sz="0" w:space="0" w:color="auto"/>
              <w:bottom w:val="none" w:sz="0" w:space="0" w:color="auto"/>
            </w:tcBorders>
            <w:shd w:val="clear" w:color="auto" w:fill="auto"/>
          </w:tcPr>
          <w:p w14:paraId="678B2F0C" w14:textId="73A11BBD" w:rsidR="0004533C"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aps/>
                <w:color w:val="auto"/>
              </w:rPr>
              <w:t xml:space="preserve">34% </w:t>
            </w:r>
            <w:r w:rsidRPr="00276197">
              <w:rPr>
                <w:rFonts w:cstheme="minorHAnsi"/>
                <w:color w:val="auto"/>
              </w:rPr>
              <w:t>of NDIS participants with a paid job (on entry) are in ADEs</w:t>
            </w:r>
          </w:p>
          <w:p w14:paraId="06B22444" w14:textId="77777777" w:rsidR="00A25F2D" w:rsidRPr="00276197" w:rsidRDefault="00A25F2D"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3FB45545"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color w:val="auto"/>
              </w:rPr>
              <w:t>Source: 5</w:t>
            </w:r>
          </w:p>
        </w:tc>
      </w:tr>
      <w:tr w:rsidR="0004533C" w14:paraId="628F4C19" w14:textId="77777777" w:rsidTr="00610D95">
        <w:trPr>
          <w:trHeight w:val="708"/>
        </w:trPr>
        <w:tc>
          <w:tcPr>
            <w:cnfStyle w:val="001000000000" w:firstRow="0" w:lastRow="0" w:firstColumn="1" w:lastColumn="0" w:oddVBand="0" w:evenVBand="0" w:oddHBand="0" w:evenHBand="0" w:firstRowFirstColumn="0" w:firstRowLastColumn="0" w:lastRowFirstColumn="0" w:lastRowLastColumn="0"/>
            <w:tcW w:w="2214" w:type="dxa"/>
            <w:tcBorders>
              <w:right w:val="none" w:sz="0" w:space="0" w:color="auto"/>
            </w:tcBorders>
            <w:shd w:val="clear" w:color="auto" w:fill="auto"/>
          </w:tcPr>
          <w:p w14:paraId="77305626" w14:textId="77777777" w:rsidR="0004533C" w:rsidRPr="00BB6DBF" w:rsidRDefault="0004533C" w:rsidP="00F258BA">
            <w:pPr>
              <w:pStyle w:val="Tabletext"/>
            </w:pPr>
            <w:r>
              <w:t>NDIS participants in ADEs by age and cohort</w:t>
            </w:r>
          </w:p>
        </w:tc>
        <w:tc>
          <w:tcPr>
            <w:tcW w:w="3435" w:type="dxa"/>
            <w:shd w:val="clear" w:color="auto" w:fill="auto"/>
          </w:tcPr>
          <w:p w14:paraId="1465D735"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tc>
        <w:tc>
          <w:tcPr>
            <w:tcW w:w="4558" w:type="dxa"/>
            <w:shd w:val="clear" w:color="auto" w:fill="auto"/>
          </w:tcPr>
          <w:p w14:paraId="21FDD935" w14:textId="5F127E8B"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roofErr w:type="gramStart"/>
            <w:r w:rsidRPr="00276197">
              <w:rPr>
                <w:rFonts w:cstheme="minorHAnsi"/>
                <w:color w:val="auto"/>
              </w:rPr>
              <w:t>15-24 year</w:t>
            </w:r>
            <w:r w:rsidR="00276197" w:rsidRPr="00276197">
              <w:rPr>
                <w:rFonts w:cstheme="minorHAnsi"/>
                <w:color w:val="auto"/>
              </w:rPr>
              <w:t>-</w:t>
            </w:r>
            <w:r w:rsidRPr="00276197">
              <w:rPr>
                <w:rFonts w:cstheme="minorHAnsi"/>
                <w:color w:val="auto"/>
              </w:rPr>
              <w:t>olds</w:t>
            </w:r>
            <w:proofErr w:type="gramEnd"/>
            <w:r w:rsidRPr="00276197">
              <w:rPr>
                <w:rFonts w:cstheme="minorHAnsi"/>
                <w:color w:val="auto"/>
              </w:rPr>
              <w:t xml:space="preserve"> (who are NDIS participants in ADE) as at 31 Dec 2020</w:t>
            </w:r>
          </w:p>
          <w:p w14:paraId="22828EA3" w14:textId="77777777" w:rsidR="0004533C" w:rsidRPr="00276197" w:rsidRDefault="0004533C" w:rsidP="00333F99">
            <w:pPr>
              <w:pStyle w:val="Tabledotpoint"/>
              <w:cnfStyle w:val="000000000000" w:firstRow="0" w:lastRow="0" w:firstColumn="0" w:lastColumn="0" w:oddVBand="0" w:evenVBand="0" w:oddHBand="0" w:evenHBand="0" w:firstRowFirstColumn="0" w:firstRowLastColumn="0" w:lastRowFirstColumn="0" w:lastRowLastColumn="0"/>
            </w:pPr>
            <w:r w:rsidRPr="00276197">
              <w:t>45% have Intellectual disability</w:t>
            </w:r>
          </w:p>
          <w:p w14:paraId="05A6C887" w14:textId="77777777" w:rsidR="0004533C" w:rsidRPr="00276197" w:rsidRDefault="0004533C" w:rsidP="00333F99">
            <w:pPr>
              <w:pStyle w:val="Tabledotpoint"/>
              <w:cnfStyle w:val="000000000000" w:firstRow="0" w:lastRow="0" w:firstColumn="0" w:lastColumn="0" w:oddVBand="0" w:evenVBand="0" w:oddHBand="0" w:evenHBand="0" w:firstRowFirstColumn="0" w:firstRowLastColumn="0" w:lastRowFirstColumn="0" w:lastRowLastColumn="0"/>
            </w:pPr>
            <w:r w:rsidRPr="00276197">
              <w:t>53% have Down syndrome*</w:t>
            </w:r>
          </w:p>
          <w:p w14:paraId="6A679731"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p w14:paraId="21FEA551" w14:textId="43C5E865"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276197">
              <w:rPr>
                <w:rFonts w:cstheme="minorHAnsi"/>
                <w:color w:val="auto"/>
              </w:rPr>
              <w:t>25+ year olds (who are NDIS participants in ADE) as at 31 Dec 2020</w:t>
            </w:r>
          </w:p>
          <w:p w14:paraId="4118E606" w14:textId="77777777" w:rsidR="0004533C" w:rsidRPr="00276197" w:rsidRDefault="0004533C" w:rsidP="00333F99">
            <w:pPr>
              <w:pStyle w:val="Tabledotpoint"/>
              <w:cnfStyle w:val="000000000000" w:firstRow="0" w:lastRow="0" w:firstColumn="0" w:lastColumn="0" w:oddVBand="0" w:evenVBand="0" w:oddHBand="0" w:evenHBand="0" w:firstRowFirstColumn="0" w:firstRowLastColumn="0" w:lastRowFirstColumn="0" w:lastRowLastColumn="0"/>
              <w:rPr>
                <w:rFonts w:cstheme="minorHAnsi"/>
                <w:lang w:val="en-US"/>
              </w:rPr>
            </w:pPr>
            <w:r w:rsidRPr="00276197">
              <w:rPr>
                <w:rStyle w:val="TabledotpointChar"/>
              </w:rPr>
              <w:lastRenderedPageBreak/>
              <w:t>36% of those with work on entry to NDIS are in</w:t>
            </w:r>
            <w:r w:rsidRPr="00276197">
              <w:rPr>
                <w:rFonts w:cstheme="minorHAnsi"/>
                <w:lang w:val="en-US"/>
              </w:rPr>
              <w:t xml:space="preserve"> ADE. Of these:</w:t>
            </w:r>
          </w:p>
          <w:p w14:paraId="733D4699" w14:textId="77777777" w:rsidR="0004533C" w:rsidRPr="00276197" w:rsidRDefault="0004533C" w:rsidP="00333F99">
            <w:pPr>
              <w:pStyle w:val="Tabledotpoint"/>
              <w:cnfStyle w:val="000000000000" w:firstRow="0" w:lastRow="0" w:firstColumn="0" w:lastColumn="0" w:oddVBand="0" w:evenVBand="0" w:oddHBand="0" w:evenHBand="0" w:firstRowFirstColumn="0" w:firstRowLastColumn="0" w:lastRowFirstColumn="0" w:lastRowLastColumn="0"/>
            </w:pPr>
            <w:r w:rsidRPr="00276197">
              <w:t>71% have Intellectual disability</w:t>
            </w:r>
          </w:p>
          <w:p w14:paraId="10CA544B" w14:textId="77777777" w:rsidR="0004533C" w:rsidRPr="00276197" w:rsidRDefault="0004533C" w:rsidP="00333F99">
            <w:pPr>
              <w:pStyle w:val="Tabledotpoint"/>
              <w:cnfStyle w:val="000000000000" w:firstRow="0" w:lastRow="0" w:firstColumn="0" w:lastColumn="0" w:oddVBand="0" w:evenVBand="0" w:oddHBand="0" w:evenHBand="0" w:firstRowFirstColumn="0" w:firstRowLastColumn="0" w:lastRowFirstColumn="0" w:lastRowLastColumn="0"/>
            </w:pPr>
            <w:r w:rsidRPr="00276197">
              <w:t>72% have Down syndrome*</w:t>
            </w:r>
          </w:p>
          <w:p w14:paraId="3D108CB3"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p w14:paraId="3EF2857F" w14:textId="51C5C9CA"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276197">
              <w:rPr>
                <w:rFonts w:cstheme="minorHAnsi"/>
                <w:color w:val="auto"/>
              </w:rPr>
              <w:t>*</w:t>
            </w:r>
            <w:r w:rsidR="000143D3">
              <w:rPr>
                <w:rFonts w:cstheme="minorHAnsi"/>
                <w:color w:val="auto"/>
              </w:rPr>
              <w:t>I</w:t>
            </w:r>
            <w:r w:rsidRPr="00276197">
              <w:rPr>
                <w:rFonts w:cstheme="minorHAnsi"/>
                <w:color w:val="auto"/>
              </w:rPr>
              <w:t>ncludes double counting where individuals report both</w:t>
            </w:r>
          </w:p>
          <w:p w14:paraId="78F82423"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276197">
              <w:rPr>
                <w:color w:val="auto"/>
              </w:rPr>
              <w:t>Source: 5</w:t>
            </w:r>
          </w:p>
        </w:tc>
      </w:tr>
      <w:tr w:rsidR="0004533C" w14:paraId="56E7C323" w14:textId="77777777" w:rsidTr="00610D95">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2214" w:type="dxa"/>
            <w:tcBorders>
              <w:top w:val="none" w:sz="0" w:space="0" w:color="auto"/>
              <w:bottom w:val="none" w:sz="0" w:space="0" w:color="auto"/>
              <w:right w:val="none" w:sz="0" w:space="0" w:color="auto"/>
            </w:tcBorders>
            <w:shd w:val="clear" w:color="auto" w:fill="auto"/>
          </w:tcPr>
          <w:p w14:paraId="2E673ED0" w14:textId="77777777" w:rsidR="0004533C" w:rsidRDefault="0004533C" w:rsidP="00F258BA">
            <w:pPr>
              <w:pStyle w:val="Tabletext"/>
            </w:pPr>
            <w:r w:rsidRPr="00BB6DBF">
              <w:rPr>
                <w:rFonts w:cstheme="minorHAnsi"/>
              </w:rPr>
              <w:lastRenderedPageBreak/>
              <w:t>% NDIS Participants Working in ADEs Receiving the DSP</w:t>
            </w:r>
          </w:p>
        </w:tc>
        <w:tc>
          <w:tcPr>
            <w:tcW w:w="3435" w:type="dxa"/>
            <w:tcBorders>
              <w:top w:val="none" w:sz="0" w:space="0" w:color="auto"/>
              <w:bottom w:val="none" w:sz="0" w:space="0" w:color="auto"/>
            </w:tcBorders>
            <w:shd w:val="clear" w:color="auto" w:fill="auto"/>
          </w:tcPr>
          <w:p w14:paraId="49E18256"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4558" w:type="dxa"/>
            <w:tcBorders>
              <w:top w:val="none" w:sz="0" w:space="0" w:color="auto"/>
              <w:bottom w:val="none" w:sz="0" w:space="0" w:color="auto"/>
            </w:tcBorders>
            <w:shd w:val="clear" w:color="auto" w:fill="auto"/>
          </w:tcPr>
          <w:p w14:paraId="6B51EFBC" w14:textId="72954B3C"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olor w:val="auto"/>
              </w:rPr>
              <w:t>96%</w:t>
            </w:r>
            <w:r w:rsidR="0000648A" w:rsidRPr="00276197">
              <w:rPr>
                <w:rFonts w:cstheme="minorHAnsi"/>
                <w:color w:val="auto"/>
              </w:rPr>
              <w:t xml:space="preserve"> </w:t>
            </w:r>
          </w:p>
          <w:p w14:paraId="4166FEFA"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27508414"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rFonts w:cstheme="minorHAnsi"/>
                <w:color w:val="auto"/>
              </w:rPr>
              <w:t>Source: 5</w:t>
            </w:r>
          </w:p>
        </w:tc>
      </w:tr>
      <w:tr w:rsidR="0004533C" w14:paraId="0EA1953C" w14:textId="77777777" w:rsidTr="00610D95">
        <w:trPr>
          <w:trHeight w:val="708"/>
        </w:trPr>
        <w:tc>
          <w:tcPr>
            <w:cnfStyle w:val="001000000000" w:firstRow="0" w:lastRow="0" w:firstColumn="1" w:lastColumn="0" w:oddVBand="0" w:evenVBand="0" w:oddHBand="0" w:evenHBand="0" w:firstRowFirstColumn="0" w:firstRowLastColumn="0" w:lastRowFirstColumn="0" w:lastRowLastColumn="0"/>
            <w:tcW w:w="2214" w:type="dxa"/>
            <w:tcBorders>
              <w:right w:val="none" w:sz="0" w:space="0" w:color="auto"/>
            </w:tcBorders>
            <w:shd w:val="clear" w:color="auto" w:fill="auto"/>
          </w:tcPr>
          <w:p w14:paraId="143607AF" w14:textId="77777777" w:rsidR="0004533C" w:rsidRDefault="0004533C" w:rsidP="00F258BA">
            <w:pPr>
              <w:pStyle w:val="Tabletext"/>
            </w:pPr>
            <w:r>
              <w:t>Average Age of Supported Employees</w:t>
            </w:r>
          </w:p>
        </w:tc>
        <w:tc>
          <w:tcPr>
            <w:tcW w:w="3435" w:type="dxa"/>
            <w:shd w:val="clear" w:color="auto" w:fill="auto"/>
          </w:tcPr>
          <w:p w14:paraId="77D1829D"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276197">
              <w:rPr>
                <w:color w:val="auto"/>
              </w:rPr>
              <w:t>41</w:t>
            </w:r>
          </w:p>
          <w:p w14:paraId="1E68BABE"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276197">
              <w:rPr>
                <w:color w:val="auto"/>
              </w:rPr>
              <w:t>Source: 6</w:t>
            </w:r>
          </w:p>
        </w:tc>
        <w:tc>
          <w:tcPr>
            <w:tcW w:w="4558" w:type="dxa"/>
            <w:shd w:val="clear" w:color="auto" w:fill="auto"/>
          </w:tcPr>
          <w:p w14:paraId="32D0C851"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tc>
      </w:tr>
      <w:tr w:rsidR="0004533C" w14:paraId="5820FB74" w14:textId="77777777" w:rsidTr="00610D95">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2214" w:type="dxa"/>
            <w:tcBorders>
              <w:top w:val="none" w:sz="0" w:space="0" w:color="auto"/>
              <w:bottom w:val="none" w:sz="0" w:space="0" w:color="auto"/>
              <w:right w:val="none" w:sz="0" w:space="0" w:color="auto"/>
            </w:tcBorders>
            <w:shd w:val="clear" w:color="auto" w:fill="auto"/>
          </w:tcPr>
          <w:p w14:paraId="67E6CF0C" w14:textId="77777777" w:rsidR="0004533C" w:rsidRDefault="0004533C" w:rsidP="00F258BA">
            <w:pPr>
              <w:pStyle w:val="Tabletext"/>
            </w:pPr>
            <w:r>
              <w:t>Beneficiary groups (employees)</w:t>
            </w:r>
          </w:p>
        </w:tc>
        <w:tc>
          <w:tcPr>
            <w:tcW w:w="3435" w:type="dxa"/>
            <w:tcBorders>
              <w:top w:val="none" w:sz="0" w:space="0" w:color="auto"/>
              <w:bottom w:val="none" w:sz="0" w:space="0" w:color="auto"/>
            </w:tcBorders>
            <w:shd w:val="clear" w:color="auto" w:fill="auto"/>
          </w:tcPr>
          <w:p w14:paraId="1CA1FEAA"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4558" w:type="dxa"/>
            <w:tcBorders>
              <w:top w:val="none" w:sz="0" w:space="0" w:color="auto"/>
              <w:bottom w:val="none" w:sz="0" w:space="0" w:color="auto"/>
            </w:tcBorders>
            <w:shd w:val="clear" w:color="auto" w:fill="auto"/>
          </w:tcPr>
          <w:p w14:paraId="0DB38A8A"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People with disability</w:t>
            </w:r>
          </w:p>
          <w:p w14:paraId="3BD68E40"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Disadvantaged men and women</w:t>
            </w:r>
          </w:p>
          <w:p w14:paraId="311BF6FB" w14:textId="1A71388B"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People with mental illness</w:t>
            </w:r>
          </w:p>
          <w:p w14:paraId="0492FBC6" w14:textId="713EC4E8" w:rsidR="00A253CA" w:rsidRPr="00276197" w:rsidRDefault="00A253CA" w:rsidP="00333F99">
            <w:pPr>
              <w:pStyle w:val="Tabledotpoint"/>
              <w:cnfStyle w:val="000000100000" w:firstRow="0" w:lastRow="0" w:firstColumn="0" w:lastColumn="0" w:oddVBand="0" w:evenVBand="0" w:oddHBand="1" w:evenHBand="0" w:firstRowFirstColumn="0" w:firstRowLastColumn="0" w:lastRowFirstColumn="0" w:lastRowLastColumn="0"/>
            </w:pPr>
            <w:r w:rsidRPr="00276197">
              <w:t>Young people</w:t>
            </w:r>
          </w:p>
          <w:p w14:paraId="0B0DC0F7" w14:textId="6EBAEE52" w:rsidR="00A253CA" w:rsidRPr="00276197" w:rsidRDefault="00A253CA" w:rsidP="00333F99">
            <w:pPr>
              <w:pStyle w:val="Tabledotpoint"/>
              <w:cnfStyle w:val="000000100000" w:firstRow="0" w:lastRow="0" w:firstColumn="0" w:lastColumn="0" w:oddVBand="0" w:evenVBand="0" w:oddHBand="1" w:evenHBand="0" w:firstRowFirstColumn="0" w:firstRowLastColumn="0" w:lastRowFirstColumn="0" w:lastRowLastColumn="0"/>
            </w:pPr>
            <w:r w:rsidRPr="00276197">
              <w:t>People experiencing family violence</w:t>
            </w:r>
          </w:p>
          <w:p w14:paraId="1455A53F" w14:textId="00353209" w:rsidR="00A253CA" w:rsidRPr="00276197" w:rsidRDefault="00A253CA" w:rsidP="00333F99">
            <w:pPr>
              <w:pStyle w:val="Tabledotpoint"/>
              <w:cnfStyle w:val="000000100000" w:firstRow="0" w:lastRow="0" w:firstColumn="0" w:lastColumn="0" w:oddVBand="0" w:evenVBand="0" w:oddHBand="1" w:evenHBand="0" w:firstRowFirstColumn="0" w:firstRowLastColumn="0" w:lastRowFirstColumn="0" w:lastRowLastColumn="0"/>
            </w:pPr>
            <w:r w:rsidRPr="00276197">
              <w:t>Long term unemployed</w:t>
            </w:r>
          </w:p>
          <w:p w14:paraId="13CD4223" w14:textId="4967DF65" w:rsidR="00A253CA" w:rsidRPr="00276197" w:rsidRDefault="00A253CA" w:rsidP="00333F99">
            <w:pPr>
              <w:pStyle w:val="Tabledotpoint"/>
              <w:cnfStyle w:val="000000100000" w:firstRow="0" w:lastRow="0" w:firstColumn="0" w:lastColumn="0" w:oddVBand="0" w:evenVBand="0" w:oddHBand="1" w:evenHBand="0" w:firstRowFirstColumn="0" w:firstRowLastColumn="0" w:lastRowFirstColumn="0" w:lastRowLastColumn="0"/>
            </w:pPr>
            <w:r w:rsidRPr="00276197">
              <w:t>Mature aged unemployed</w:t>
            </w:r>
          </w:p>
          <w:p w14:paraId="18DECAD6"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Migrants, refugees, or asylum seekers</w:t>
            </w:r>
          </w:p>
          <w:p w14:paraId="36182A71"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rFonts w:cstheme="minorHAnsi"/>
                <w:color w:val="auto"/>
              </w:rPr>
              <w:t>Source: 1</w:t>
            </w:r>
          </w:p>
        </w:tc>
      </w:tr>
      <w:tr w:rsidR="0004533C" w14:paraId="6DA7B8B1" w14:textId="77777777" w:rsidTr="00610D95">
        <w:trPr>
          <w:trHeight w:val="708"/>
        </w:trPr>
        <w:tc>
          <w:tcPr>
            <w:cnfStyle w:val="001000000000" w:firstRow="0" w:lastRow="0" w:firstColumn="1" w:lastColumn="0" w:oddVBand="0" w:evenVBand="0" w:oddHBand="0" w:evenHBand="0" w:firstRowFirstColumn="0" w:firstRowLastColumn="0" w:lastRowFirstColumn="0" w:lastRowLastColumn="0"/>
            <w:tcW w:w="2214" w:type="dxa"/>
            <w:tcBorders>
              <w:right w:val="none" w:sz="0" w:space="0" w:color="auto"/>
            </w:tcBorders>
            <w:shd w:val="clear" w:color="auto" w:fill="auto"/>
          </w:tcPr>
          <w:p w14:paraId="045B7925" w14:textId="77777777" w:rsidR="0004533C" w:rsidRPr="00BB6DBF" w:rsidRDefault="0004533C" w:rsidP="00F258BA">
            <w:pPr>
              <w:pStyle w:val="Tabletext"/>
            </w:pPr>
            <w:r>
              <w:t>Average Hours Worked by Supported Employees</w:t>
            </w:r>
          </w:p>
        </w:tc>
        <w:tc>
          <w:tcPr>
            <w:tcW w:w="3435" w:type="dxa"/>
            <w:shd w:val="clear" w:color="auto" w:fill="auto"/>
          </w:tcPr>
          <w:p w14:paraId="4443386A"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276197">
              <w:rPr>
                <w:color w:val="auto"/>
              </w:rPr>
              <w:t>23 hours per week</w:t>
            </w:r>
          </w:p>
          <w:p w14:paraId="61D80848"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p w14:paraId="37C2A0D3"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r w:rsidRPr="00276197">
              <w:rPr>
                <w:color w:val="auto"/>
              </w:rPr>
              <w:t>Source: 6</w:t>
            </w:r>
          </w:p>
        </w:tc>
        <w:tc>
          <w:tcPr>
            <w:tcW w:w="4558" w:type="dxa"/>
            <w:shd w:val="clear" w:color="auto" w:fill="auto"/>
          </w:tcPr>
          <w:p w14:paraId="40A0A35B"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tc>
      </w:tr>
      <w:tr w:rsidR="0004533C" w14:paraId="5885F972" w14:textId="77777777" w:rsidTr="00610D95">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2214" w:type="dxa"/>
            <w:tcBorders>
              <w:top w:val="none" w:sz="0" w:space="0" w:color="auto"/>
              <w:bottom w:val="none" w:sz="0" w:space="0" w:color="auto"/>
              <w:right w:val="none" w:sz="0" w:space="0" w:color="auto"/>
            </w:tcBorders>
            <w:shd w:val="clear" w:color="auto" w:fill="auto"/>
          </w:tcPr>
          <w:p w14:paraId="566547F3" w14:textId="3241C8E8" w:rsidR="0004533C" w:rsidRDefault="0004533C" w:rsidP="00F258BA">
            <w:pPr>
              <w:pStyle w:val="Tabletext"/>
            </w:pPr>
            <w:r>
              <w:t xml:space="preserve">Weekly hours worked </w:t>
            </w:r>
            <w:r w:rsidR="00D37E03">
              <w:t>by supported employees in A</w:t>
            </w:r>
            <w:r>
              <w:t>DEs</w:t>
            </w:r>
          </w:p>
        </w:tc>
        <w:tc>
          <w:tcPr>
            <w:tcW w:w="3435" w:type="dxa"/>
            <w:tcBorders>
              <w:top w:val="none" w:sz="0" w:space="0" w:color="auto"/>
              <w:bottom w:val="none" w:sz="0" w:space="0" w:color="auto"/>
            </w:tcBorders>
            <w:shd w:val="clear" w:color="auto" w:fill="auto"/>
          </w:tcPr>
          <w:p w14:paraId="2AD99D90" w14:textId="3A7AC8B1" w:rsidR="0004533C" w:rsidRPr="00276197" w:rsidRDefault="00D37E03"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color w:val="auto"/>
              </w:rPr>
              <w:t>Median hours</w:t>
            </w:r>
            <w:r w:rsidR="00987687">
              <w:rPr>
                <w:color w:val="auto"/>
              </w:rPr>
              <w:t>:</w:t>
            </w:r>
            <w:r w:rsidRPr="00276197">
              <w:rPr>
                <w:color w:val="auto"/>
              </w:rPr>
              <w:t xml:space="preserve"> 20-24 h</w:t>
            </w:r>
            <w:r w:rsidR="00987687">
              <w:rPr>
                <w:color w:val="auto"/>
              </w:rPr>
              <w:t>ou</w:t>
            </w:r>
            <w:r w:rsidRPr="00276197">
              <w:rPr>
                <w:color w:val="auto"/>
              </w:rPr>
              <w:t>r</w:t>
            </w:r>
            <w:r w:rsidR="00987687">
              <w:rPr>
                <w:color w:val="auto"/>
              </w:rPr>
              <w:t>s</w:t>
            </w:r>
            <w:r w:rsidRPr="00276197">
              <w:rPr>
                <w:color w:val="auto"/>
              </w:rPr>
              <w:t>/week</w:t>
            </w:r>
          </w:p>
          <w:p w14:paraId="041B1FEE" w14:textId="77777777" w:rsidR="00D37E03" w:rsidRPr="00276197" w:rsidRDefault="00D37E03"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p w14:paraId="0686139E" w14:textId="60CC6CFA" w:rsidR="00D37E03" w:rsidRPr="00276197" w:rsidRDefault="00D37E03"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color w:val="auto"/>
              </w:rPr>
              <w:t>Source: 7</w:t>
            </w:r>
          </w:p>
        </w:tc>
        <w:tc>
          <w:tcPr>
            <w:tcW w:w="4558" w:type="dxa"/>
            <w:tcBorders>
              <w:top w:val="none" w:sz="0" w:space="0" w:color="auto"/>
              <w:bottom w:val="none" w:sz="0" w:space="0" w:color="auto"/>
            </w:tcBorders>
            <w:shd w:val="clear" w:color="auto" w:fill="auto"/>
          </w:tcPr>
          <w:p w14:paraId="7ED02528" w14:textId="77777777" w:rsidR="00D37E03" w:rsidRPr="00276197" w:rsidRDefault="00D37E03"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olor w:val="auto"/>
              </w:rPr>
              <w:t>Weekly hours worked by NDIS participants in ADEs</w:t>
            </w:r>
          </w:p>
          <w:p w14:paraId="1B6746B3" w14:textId="77777777" w:rsidR="00D37E03" w:rsidRPr="00276197" w:rsidRDefault="00D37E03"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60AB3BCF" w14:textId="122E75BB"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olor w:val="auto"/>
              </w:rPr>
              <w:t>Participants in an ADE aged between 15-24:</w:t>
            </w:r>
          </w:p>
          <w:p w14:paraId="242262DF"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0-8 hours: 5%</w:t>
            </w:r>
          </w:p>
          <w:p w14:paraId="5637C35A"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8-15 hours: 28%</w:t>
            </w:r>
          </w:p>
          <w:p w14:paraId="344E3255"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15-30 hours: 45%</w:t>
            </w:r>
          </w:p>
          <w:p w14:paraId="36EDAA2A"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 xml:space="preserve">30+ hours: 23% </w:t>
            </w:r>
          </w:p>
          <w:p w14:paraId="56A5EB71"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36463441"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olor w:val="auto"/>
              </w:rPr>
              <w:t>Participants in an ADE aged 25 and over:</w:t>
            </w:r>
          </w:p>
          <w:p w14:paraId="3E4F7229"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0-8 hours: 3%</w:t>
            </w:r>
          </w:p>
          <w:p w14:paraId="08DB72DA"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8-15 hours: 22%</w:t>
            </w:r>
          </w:p>
          <w:p w14:paraId="65D1D482"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15-30 hours: 44%</w:t>
            </w:r>
          </w:p>
          <w:p w14:paraId="3DD26BB9" w14:textId="77777777" w:rsidR="0004533C" w:rsidRPr="00276197" w:rsidRDefault="0004533C" w:rsidP="00333F99">
            <w:pPr>
              <w:pStyle w:val="Tabledotpoint"/>
              <w:cnfStyle w:val="000000100000" w:firstRow="0" w:lastRow="0" w:firstColumn="0" w:lastColumn="0" w:oddVBand="0" w:evenVBand="0" w:oddHBand="1" w:evenHBand="0" w:firstRowFirstColumn="0" w:firstRowLastColumn="0" w:lastRowFirstColumn="0" w:lastRowLastColumn="0"/>
            </w:pPr>
            <w:r w:rsidRPr="00276197">
              <w:t>30+ hours: 31%</w:t>
            </w:r>
          </w:p>
          <w:p w14:paraId="4C7B72A5"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36EA06FF" w14:textId="22E01742" w:rsidR="0004533C"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olor w:val="auto"/>
              </w:rPr>
              <w:t>People with intellectual disability are the most likely of all cohorts to work more than 30 hours per week.</w:t>
            </w:r>
          </w:p>
          <w:p w14:paraId="09E90B8F" w14:textId="77777777" w:rsidR="008403E7" w:rsidRPr="00276197" w:rsidRDefault="008403E7"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p w14:paraId="6FF65774"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r w:rsidRPr="00276197">
              <w:rPr>
                <w:rFonts w:cstheme="minorHAnsi"/>
                <w:color w:val="auto"/>
              </w:rPr>
              <w:t>Source: 5</w:t>
            </w:r>
          </w:p>
        </w:tc>
      </w:tr>
      <w:tr w:rsidR="0004533C" w14:paraId="3BDA5834" w14:textId="77777777" w:rsidTr="00610D95">
        <w:trPr>
          <w:trHeight w:val="708"/>
        </w:trPr>
        <w:tc>
          <w:tcPr>
            <w:cnfStyle w:val="001000000000" w:firstRow="0" w:lastRow="0" w:firstColumn="1" w:lastColumn="0" w:oddVBand="0" w:evenVBand="0" w:oddHBand="0" w:evenHBand="0" w:firstRowFirstColumn="0" w:firstRowLastColumn="0" w:lastRowFirstColumn="0" w:lastRowLastColumn="0"/>
            <w:tcW w:w="2214" w:type="dxa"/>
            <w:tcBorders>
              <w:right w:val="none" w:sz="0" w:space="0" w:color="auto"/>
            </w:tcBorders>
            <w:shd w:val="clear" w:color="auto" w:fill="auto"/>
          </w:tcPr>
          <w:p w14:paraId="26BF7171" w14:textId="77777777" w:rsidR="0004533C" w:rsidRPr="00BB6DBF" w:rsidRDefault="0004533C" w:rsidP="00F258BA">
            <w:pPr>
              <w:pStyle w:val="Tabletext"/>
            </w:pPr>
            <w:r>
              <w:t>Wage Earned by Supported Employees</w:t>
            </w:r>
          </w:p>
        </w:tc>
        <w:tc>
          <w:tcPr>
            <w:tcW w:w="3435" w:type="dxa"/>
            <w:shd w:val="clear" w:color="auto" w:fill="auto"/>
          </w:tcPr>
          <w:p w14:paraId="196FCC87"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276197">
              <w:rPr>
                <w:rFonts w:cstheme="minorHAnsi"/>
                <w:color w:val="auto"/>
              </w:rPr>
              <w:t>The average weekly wage was $121.72</w:t>
            </w:r>
          </w:p>
          <w:p w14:paraId="71060DAA"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p w14:paraId="10471C8F" w14:textId="316C9829" w:rsidR="0004533C" w:rsidRDefault="0004533C"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276197">
              <w:rPr>
                <w:rFonts w:cstheme="minorHAnsi"/>
                <w:color w:val="auto"/>
              </w:rPr>
              <w:t xml:space="preserve">The average hourly rate was $5.61, ranging from $1.00 per hour to full award wage </w:t>
            </w:r>
          </w:p>
          <w:p w14:paraId="2E1626ED" w14:textId="77777777" w:rsidR="008403E7" w:rsidRPr="00276197" w:rsidRDefault="008403E7"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p>
          <w:p w14:paraId="35A780B7" w14:textId="363D5343" w:rsidR="0004533C" w:rsidRPr="00F24395" w:rsidRDefault="00F24395" w:rsidP="00F258BA">
            <w:pPr>
              <w:pStyle w:val="Tabletext"/>
              <w:cnfStyle w:val="000000000000" w:firstRow="0" w:lastRow="0" w:firstColumn="0" w:lastColumn="0" w:oddVBand="0" w:evenVBand="0" w:oddHBand="0" w:evenHBand="0" w:firstRowFirstColumn="0" w:firstRowLastColumn="0" w:lastRowFirstColumn="0" w:lastRowLastColumn="0"/>
              <w:rPr>
                <w:rFonts w:cstheme="minorHAnsi"/>
                <w:color w:val="auto"/>
              </w:rPr>
            </w:pPr>
            <w:r w:rsidRPr="00276197">
              <w:rPr>
                <w:color w:val="auto"/>
              </w:rPr>
              <w:t>Source: 6</w:t>
            </w:r>
          </w:p>
        </w:tc>
        <w:tc>
          <w:tcPr>
            <w:tcW w:w="4558" w:type="dxa"/>
            <w:shd w:val="clear" w:color="auto" w:fill="auto"/>
          </w:tcPr>
          <w:p w14:paraId="7601BDC6" w14:textId="77777777" w:rsidR="0004533C" w:rsidRPr="00276197" w:rsidRDefault="0004533C" w:rsidP="00F258BA">
            <w:pPr>
              <w:pStyle w:val="Tabletext"/>
              <w:cnfStyle w:val="000000000000" w:firstRow="0" w:lastRow="0" w:firstColumn="0" w:lastColumn="0" w:oddVBand="0" w:evenVBand="0" w:oddHBand="0" w:evenHBand="0" w:firstRowFirstColumn="0" w:firstRowLastColumn="0" w:lastRowFirstColumn="0" w:lastRowLastColumn="0"/>
              <w:rPr>
                <w:color w:val="auto"/>
              </w:rPr>
            </w:pPr>
          </w:p>
        </w:tc>
      </w:tr>
      <w:tr w:rsidR="0004533C" w14:paraId="6FB31BF2" w14:textId="77777777" w:rsidTr="00610D95">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2214" w:type="dxa"/>
            <w:tcBorders>
              <w:top w:val="none" w:sz="0" w:space="0" w:color="auto"/>
              <w:bottom w:val="none" w:sz="0" w:space="0" w:color="auto"/>
              <w:right w:val="none" w:sz="0" w:space="0" w:color="auto"/>
            </w:tcBorders>
            <w:shd w:val="clear" w:color="auto" w:fill="auto"/>
          </w:tcPr>
          <w:p w14:paraId="4276A5B9" w14:textId="77777777" w:rsidR="0004533C" w:rsidRPr="00BB6DBF" w:rsidRDefault="0004533C" w:rsidP="00F258BA">
            <w:pPr>
              <w:pStyle w:val="Tabletext"/>
            </w:pPr>
            <w:r w:rsidRPr="00BB6DBF">
              <w:rPr>
                <w:rFonts w:cstheme="minorHAnsi"/>
              </w:rPr>
              <w:lastRenderedPageBreak/>
              <w:t>Employment Status and Transitions (after 1 year of NDIS participation)</w:t>
            </w:r>
          </w:p>
        </w:tc>
        <w:tc>
          <w:tcPr>
            <w:tcW w:w="3435" w:type="dxa"/>
            <w:tcBorders>
              <w:top w:val="none" w:sz="0" w:space="0" w:color="auto"/>
              <w:bottom w:val="none" w:sz="0" w:space="0" w:color="auto"/>
            </w:tcBorders>
            <w:shd w:val="clear" w:color="auto" w:fill="auto"/>
          </w:tcPr>
          <w:p w14:paraId="5CC07416"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4558" w:type="dxa"/>
            <w:tcBorders>
              <w:top w:val="none" w:sz="0" w:space="0" w:color="auto"/>
              <w:bottom w:val="none" w:sz="0" w:space="0" w:color="auto"/>
            </w:tcBorders>
            <w:shd w:val="clear" w:color="auto" w:fill="auto"/>
          </w:tcPr>
          <w:p w14:paraId="5E324D93" w14:textId="1EE52E2C"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olor w:val="auto"/>
              </w:rPr>
              <w:t>Movement between ADEs and open employment (at y</w:t>
            </w:r>
            <w:r w:rsidR="005A4BE1">
              <w:rPr>
                <w:rFonts w:cstheme="minorHAnsi"/>
                <w:color w:val="auto"/>
              </w:rPr>
              <w:t>ea</w:t>
            </w:r>
            <w:r w:rsidRPr="00276197">
              <w:rPr>
                <w:rFonts w:cstheme="minorHAnsi"/>
                <w:color w:val="auto"/>
              </w:rPr>
              <w:t>r 1)</w:t>
            </w:r>
          </w:p>
          <w:p w14:paraId="4AD6FB96"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olor w:val="auto"/>
              </w:rPr>
              <w:t>(This data compares employment status on entry to scheme and at end of year 1)</w:t>
            </w:r>
          </w:p>
          <w:p w14:paraId="347E74A5" w14:textId="77777777"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p>
          <w:tbl>
            <w:tblPr>
              <w:tblStyle w:val="TableGrid"/>
              <w:tblW w:w="0" w:type="auto"/>
              <w:tblLook w:val="04A0" w:firstRow="1" w:lastRow="0" w:firstColumn="1" w:lastColumn="0" w:noHBand="0" w:noVBand="1"/>
            </w:tblPr>
            <w:tblGrid>
              <w:gridCol w:w="1256"/>
              <w:gridCol w:w="1255"/>
              <w:gridCol w:w="800"/>
              <w:gridCol w:w="851"/>
            </w:tblGrid>
            <w:tr w:rsidR="00276197" w:rsidRPr="00276197" w14:paraId="67E1CC97" w14:textId="77777777" w:rsidTr="004C2BA3">
              <w:tc>
                <w:tcPr>
                  <w:tcW w:w="2511" w:type="dxa"/>
                  <w:gridSpan w:val="2"/>
                  <w:tcBorders>
                    <w:bottom w:val="nil"/>
                  </w:tcBorders>
                  <w:shd w:val="clear" w:color="auto" w:fill="F2F2F2" w:themeFill="background1" w:themeFillShade="F2"/>
                </w:tcPr>
                <w:p w14:paraId="724DBEE5" w14:textId="77777777" w:rsidR="0004533C" w:rsidRPr="00276197" w:rsidRDefault="0004533C" w:rsidP="00F258BA">
                  <w:pPr>
                    <w:pStyle w:val="Tabletext"/>
                    <w:rPr>
                      <w:rFonts w:cstheme="minorHAnsi"/>
                      <w:color w:val="auto"/>
                    </w:rPr>
                  </w:pPr>
                  <w:r w:rsidRPr="00276197">
                    <w:rPr>
                      <w:rFonts w:cstheme="minorHAnsi"/>
                      <w:color w:val="auto"/>
                    </w:rPr>
                    <w:t>Employment Status</w:t>
                  </w:r>
                </w:p>
              </w:tc>
              <w:tc>
                <w:tcPr>
                  <w:tcW w:w="1651" w:type="dxa"/>
                  <w:gridSpan w:val="2"/>
                  <w:tcBorders>
                    <w:bottom w:val="nil"/>
                  </w:tcBorders>
                  <w:shd w:val="clear" w:color="auto" w:fill="F2F2F2" w:themeFill="background1" w:themeFillShade="F2"/>
                </w:tcPr>
                <w:p w14:paraId="2BA1590B" w14:textId="77777777" w:rsidR="0004533C" w:rsidRPr="00276197" w:rsidRDefault="0004533C" w:rsidP="00F258BA">
                  <w:pPr>
                    <w:pStyle w:val="Tabletext"/>
                    <w:rPr>
                      <w:rFonts w:cstheme="minorHAnsi"/>
                      <w:color w:val="auto"/>
                    </w:rPr>
                  </w:pPr>
                  <w:r w:rsidRPr="00276197">
                    <w:rPr>
                      <w:rFonts w:cstheme="minorHAnsi"/>
                      <w:color w:val="auto"/>
                    </w:rPr>
                    <w:t>Age cohort</w:t>
                  </w:r>
                </w:p>
              </w:tc>
            </w:tr>
            <w:tr w:rsidR="00276197" w:rsidRPr="00276197" w14:paraId="453E676A" w14:textId="77777777" w:rsidTr="004C2BA3">
              <w:tc>
                <w:tcPr>
                  <w:tcW w:w="1256" w:type="dxa"/>
                  <w:tcBorders>
                    <w:top w:val="nil"/>
                  </w:tcBorders>
                  <w:shd w:val="clear" w:color="auto" w:fill="F2F2F2" w:themeFill="background1" w:themeFillShade="F2"/>
                </w:tcPr>
                <w:p w14:paraId="5C72B5A3" w14:textId="56F0E1CD" w:rsidR="0004533C" w:rsidRPr="00276197" w:rsidRDefault="0004533C" w:rsidP="00F258BA">
                  <w:pPr>
                    <w:pStyle w:val="Tabletext"/>
                    <w:rPr>
                      <w:rFonts w:cstheme="minorHAnsi"/>
                      <w:color w:val="auto"/>
                    </w:rPr>
                  </w:pPr>
                  <w:r w:rsidRPr="00276197">
                    <w:rPr>
                      <w:rFonts w:cstheme="minorHAnsi"/>
                      <w:color w:val="auto"/>
                    </w:rPr>
                    <w:t>On entry</w:t>
                  </w:r>
                  <w:r w:rsidR="0000648A" w:rsidRPr="00276197">
                    <w:rPr>
                      <w:rFonts w:cstheme="minorHAnsi"/>
                      <w:color w:val="auto"/>
                    </w:rPr>
                    <w:t xml:space="preserve"> </w:t>
                  </w:r>
                </w:p>
              </w:tc>
              <w:tc>
                <w:tcPr>
                  <w:tcW w:w="1255" w:type="dxa"/>
                  <w:tcBorders>
                    <w:top w:val="nil"/>
                  </w:tcBorders>
                  <w:shd w:val="clear" w:color="auto" w:fill="F2F2F2" w:themeFill="background1" w:themeFillShade="F2"/>
                </w:tcPr>
                <w:p w14:paraId="37AF26ED" w14:textId="77777777" w:rsidR="0004533C" w:rsidRPr="00276197" w:rsidRDefault="0004533C" w:rsidP="00F258BA">
                  <w:pPr>
                    <w:pStyle w:val="Tabletext"/>
                    <w:rPr>
                      <w:rFonts w:cstheme="minorHAnsi"/>
                      <w:color w:val="auto"/>
                    </w:rPr>
                  </w:pPr>
                  <w:r w:rsidRPr="00276197">
                    <w:rPr>
                      <w:rFonts w:cstheme="minorHAnsi"/>
                      <w:color w:val="auto"/>
                    </w:rPr>
                    <w:t>End of Year 1</w:t>
                  </w:r>
                </w:p>
              </w:tc>
              <w:tc>
                <w:tcPr>
                  <w:tcW w:w="800" w:type="dxa"/>
                  <w:tcBorders>
                    <w:top w:val="nil"/>
                  </w:tcBorders>
                  <w:shd w:val="clear" w:color="auto" w:fill="F2F2F2" w:themeFill="background1" w:themeFillShade="F2"/>
                </w:tcPr>
                <w:p w14:paraId="55751D79" w14:textId="095FD9FB" w:rsidR="0004533C" w:rsidRPr="00276197" w:rsidRDefault="0004533C" w:rsidP="00F258BA">
                  <w:pPr>
                    <w:pStyle w:val="Tabletext"/>
                    <w:rPr>
                      <w:rFonts w:cstheme="minorHAnsi"/>
                      <w:color w:val="auto"/>
                    </w:rPr>
                  </w:pPr>
                  <w:r w:rsidRPr="00276197">
                    <w:rPr>
                      <w:rFonts w:cstheme="minorHAnsi"/>
                      <w:color w:val="auto"/>
                    </w:rPr>
                    <w:t>15-24 y</w:t>
                  </w:r>
                  <w:r w:rsidR="00FB72D6">
                    <w:rPr>
                      <w:rFonts w:cstheme="minorHAnsi"/>
                      <w:color w:val="auto"/>
                    </w:rPr>
                    <w:t>ea</w:t>
                  </w:r>
                  <w:r w:rsidRPr="00276197">
                    <w:rPr>
                      <w:rFonts w:cstheme="minorHAnsi"/>
                      <w:color w:val="auto"/>
                    </w:rPr>
                    <w:t>rs</w:t>
                  </w:r>
                </w:p>
              </w:tc>
              <w:tc>
                <w:tcPr>
                  <w:tcW w:w="851" w:type="dxa"/>
                  <w:tcBorders>
                    <w:top w:val="nil"/>
                  </w:tcBorders>
                  <w:shd w:val="clear" w:color="auto" w:fill="F2F2F2" w:themeFill="background1" w:themeFillShade="F2"/>
                </w:tcPr>
                <w:p w14:paraId="08F8A0D3" w14:textId="7995C3A4" w:rsidR="0004533C" w:rsidRPr="00276197" w:rsidRDefault="0004533C" w:rsidP="00F258BA">
                  <w:pPr>
                    <w:pStyle w:val="Tabletext"/>
                    <w:tabs>
                      <w:tab w:val="clear" w:pos="851"/>
                      <w:tab w:val="left" w:pos="512"/>
                    </w:tabs>
                    <w:rPr>
                      <w:rFonts w:cstheme="minorHAnsi"/>
                      <w:color w:val="auto"/>
                    </w:rPr>
                  </w:pPr>
                  <w:r w:rsidRPr="00276197">
                    <w:rPr>
                      <w:rFonts w:cstheme="minorHAnsi"/>
                      <w:color w:val="auto"/>
                    </w:rPr>
                    <w:t>25+ y</w:t>
                  </w:r>
                  <w:r w:rsidR="00FB72D6">
                    <w:rPr>
                      <w:rFonts w:cstheme="minorHAnsi"/>
                      <w:color w:val="auto"/>
                    </w:rPr>
                    <w:t>ea</w:t>
                  </w:r>
                  <w:r w:rsidRPr="00276197">
                    <w:rPr>
                      <w:rFonts w:cstheme="minorHAnsi"/>
                      <w:color w:val="auto"/>
                    </w:rPr>
                    <w:t>rs</w:t>
                  </w:r>
                </w:p>
              </w:tc>
            </w:tr>
            <w:tr w:rsidR="00276197" w:rsidRPr="00276197" w14:paraId="045C8E8E" w14:textId="77777777" w:rsidTr="004C2BA3">
              <w:tc>
                <w:tcPr>
                  <w:tcW w:w="1256" w:type="dxa"/>
                </w:tcPr>
                <w:p w14:paraId="06122028" w14:textId="4B19B799" w:rsidR="0004533C" w:rsidRPr="00276197" w:rsidRDefault="0004533C" w:rsidP="00F258BA">
                  <w:pPr>
                    <w:pStyle w:val="Tabletext"/>
                    <w:rPr>
                      <w:rFonts w:cstheme="minorHAnsi"/>
                      <w:color w:val="auto"/>
                    </w:rPr>
                  </w:pPr>
                  <w:r w:rsidRPr="00276197">
                    <w:rPr>
                      <w:rFonts w:cstheme="minorHAnsi"/>
                      <w:color w:val="auto"/>
                    </w:rPr>
                    <w:t>ADE</w:t>
                  </w:r>
                  <w:r w:rsidR="0000648A" w:rsidRPr="00276197">
                    <w:rPr>
                      <w:rFonts w:cstheme="minorHAnsi"/>
                      <w:color w:val="auto"/>
                    </w:rPr>
                    <w:t xml:space="preserve"> </w:t>
                  </w:r>
                  <w:r w:rsidRPr="00276197">
                    <w:rPr>
                      <w:rFonts w:cstheme="minorHAnsi"/>
                      <w:color w:val="auto"/>
                    </w:rPr>
                    <w:t>→</w:t>
                  </w:r>
                </w:p>
                <w:p w14:paraId="00685F6C" w14:textId="77777777" w:rsidR="0004533C" w:rsidRPr="00276197" w:rsidRDefault="0004533C" w:rsidP="00F258BA">
                  <w:pPr>
                    <w:pStyle w:val="Tabletext"/>
                    <w:rPr>
                      <w:rFonts w:cstheme="minorHAnsi"/>
                      <w:color w:val="auto"/>
                    </w:rPr>
                  </w:pPr>
                </w:p>
              </w:tc>
              <w:tc>
                <w:tcPr>
                  <w:tcW w:w="1255" w:type="dxa"/>
                </w:tcPr>
                <w:p w14:paraId="3F217140" w14:textId="77777777" w:rsidR="0004533C" w:rsidRPr="00276197" w:rsidRDefault="0004533C" w:rsidP="00F258BA">
                  <w:pPr>
                    <w:pStyle w:val="Tabletext"/>
                    <w:rPr>
                      <w:rFonts w:cstheme="minorHAnsi"/>
                      <w:color w:val="auto"/>
                    </w:rPr>
                  </w:pPr>
                  <w:r w:rsidRPr="00276197">
                    <w:rPr>
                      <w:rFonts w:cstheme="minorHAnsi"/>
                      <w:color w:val="auto"/>
                    </w:rPr>
                    <w:t>Open Employment</w:t>
                  </w:r>
                </w:p>
              </w:tc>
              <w:tc>
                <w:tcPr>
                  <w:tcW w:w="800" w:type="dxa"/>
                </w:tcPr>
                <w:p w14:paraId="010274E1" w14:textId="77777777" w:rsidR="0004533C" w:rsidRPr="00276197" w:rsidRDefault="0004533C" w:rsidP="00F258BA">
                  <w:pPr>
                    <w:pStyle w:val="Tabletext"/>
                    <w:rPr>
                      <w:rFonts w:cstheme="minorHAnsi"/>
                      <w:color w:val="auto"/>
                    </w:rPr>
                  </w:pPr>
                  <w:r w:rsidRPr="00276197">
                    <w:rPr>
                      <w:rFonts w:cstheme="minorHAnsi"/>
                      <w:color w:val="auto"/>
                    </w:rPr>
                    <w:t>4%</w:t>
                  </w:r>
                </w:p>
              </w:tc>
              <w:tc>
                <w:tcPr>
                  <w:tcW w:w="851" w:type="dxa"/>
                </w:tcPr>
                <w:p w14:paraId="564A8852" w14:textId="77777777" w:rsidR="0004533C" w:rsidRPr="00276197" w:rsidRDefault="0004533C" w:rsidP="00F258BA">
                  <w:pPr>
                    <w:pStyle w:val="Tabletext"/>
                    <w:rPr>
                      <w:rFonts w:cstheme="minorHAnsi"/>
                      <w:color w:val="auto"/>
                    </w:rPr>
                  </w:pPr>
                  <w:r w:rsidRPr="00276197">
                    <w:rPr>
                      <w:rFonts w:cstheme="minorHAnsi"/>
                      <w:color w:val="auto"/>
                    </w:rPr>
                    <w:t>1%</w:t>
                  </w:r>
                </w:p>
              </w:tc>
            </w:tr>
            <w:tr w:rsidR="00276197" w:rsidRPr="00276197" w14:paraId="29880DE2" w14:textId="77777777" w:rsidTr="004C2BA3">
              <w:tc>
                <w:tcPr>
                  <w:tcW w:w="1256" w:type="dxa"/>
                </w:tcPr>
                <w:p w14:paraId="6DD59794" w14:textId="2723A6BE" w:rsidR="0004533C" w:rsidRPr="00276197" w:rsidRDefault="0004533C" w:rsidP="00F258BA">
                  <w:pPr>
                    <w:pStyle w:val="Tabletext"/>
                    <w:rPr>
                      <w:rFonts w:cstheme="minorHAnsi"/>
                      <w:color w:val="auto"/>
                    </w:rPr>
                  </w:pPr>
                  <w:r w:rsidRPr="00276197">
                    <w:rPr>
                      <w:rFonts w:cstheme="minorHAnsi"/>
                      <w:color w:val="auto"/>
                    </w:rPr>
                    <w:t>Open employment</w:t>
                  </w:r>
                </w:p>
                <w:p w14:paraId="3624F93C" w14:textId="2A6F190D" w:rsidR="0004533C" w:rsidRPr="00276197" w:rsidRDefault="0000648A" w:rsidP="00F258BA">
                  <w:pPr>
                    <w:pStyle w:val="Tabletext"/>
                    <w:jc w:val="right"/>
                    <w:rPr>
                      <w:rFonts w:cstheme="minorHAnsi"/>
                      <w:color w:val="auto"/>
                    </w:rPr>
                  </w:pPr>
                  <w:r w:rsidRPr="00276197">
                    <w:rPr>
                      <w:rFonts w:cstheme="minorHAnsi"/>
                      <w:color w:val="auto"/>
                    </w:rPr>
                    <w:t xml:space="preserve"> </w:t>
                  </w:r>
                  <w:r w:rsidR="0004533C" w:rsidRPr="00276197">
                    <w:rPr>
                      <w:rFonts w:cstheme="minorHAnsi"/>
                      <w:color w:val="auto"/>
                    </w:rPr>
                    <w:t>→</w:t>
                  </w:r>
                </w:p>
              </w:tc>
              <w:tc>
                <w:tcPr>
                  <w:tcW w:w="1255" w:type="dxa"/>
                </w:tcPr>
                <w:p w14:paraId="437A3F00" w14:textId="77777777" w:rsidR="0004533C" w:rsidRPr="00276197" w:rsidRDefault="0004533C" w:rsidP="00F258BA">
                  <w:pPr>
                    <w:pStyle w:val="Tabletext"/>
                    <w:rPr>
                      <w:rFonts w:cstheme="minorHAnsi"/>
                      <w:color w:val="auto"/>
                    </w:rPr>
                  </w:pPr>
                  <w:r w:rsidRPr="00276197">
                    <w:rPr>
                      <w:rFonts w:cstheme="minorHAnsi"/>
                      <w:color w:val="auto"/>
                    </w:rPr>
                    <w:t>ADE</w:t>
                  </w:r>
                </w:p>
              </w:tc>
              <w:tc>
                <w:tcPr>
                  <w:tcW w:w="800" w:type="dxa"/>
                </w:tcPr>
                <w:p w14:paraId="43CFB26D" w14:textId="77777777" w:rsidR="0004533C" w:rsidRPr="00276197" w:rsidRDefault="0004533C" w:rsidP="00F258BA">
                  <w:pPr>
                    <w:pStyle w:val="Tabletext"/>
                    <w:rPr>
                      <w:rFonts w:cstheme="minorHAnsi"/>
                      <w:color w:val="auto"/>
                    </w:rPr>
                  </w:pPr>
                  <w:r w:rsidRPr="00276197">
                    <w:rPr>
                      <w:rFonts w:cstheme="minorHAnsi"/>
                      <w:color w:val="auto"/>
                    </w:rPr>
                    <w:t>3%</w:t>
                  </w:r>
                </w:p>
              </w:tc>
              <w:tc>
                <w:tcPr>
                  <w:tcW w:w="851" w:type="dxa"/>
                </w:tcPr>
                <w:p w14:paraId="11FCC7C2" w14:textId="77777777" w:rsidR="0004533C" w:rsidRPr="00276197" w:rsidRDefault="0004533C" w:rsidP="00F258BA">
                  <w:pPr>
                    <w:pStyle w:val="Tabletext"/>
                    <w:rPr>
                      <w:rFonts w:cstheme="minorHAnsi"/>
                      <w:color w:val="auto"/>
                    </w:rPr>
                  </w:pPr>
                  <w:r w:rsidRPr="00276197">
                    <w:rPr>
                      <w:rFonts w:cstheme="minorHAnsi"/>
                      <w:color w:val="auto"/>
                    </w:rPr>
                    <w:t>3%</w:t>
                  </w:r>
                </w:p>
              </w:tc>
            </w:tr>
            <w:tr w:rsidR="00276197" w:rsidRPr="00276197" w14:paraId="1E3E1FBC" w14:textId="77777777" w:rsidTr="004C2BA3">
              <w:tc>
                <w:tcPr>
                  <w:tcW w:w="1256" w:type="dxa"/>
                </w:tcPr>
                <w:p w14:paraId="1D81B966" w14:textId="77777777" w:rsidR="0004533C" w:rsidRPr="00276197" w:rsidRDefault="0004533C" w:rsidP="00F258BA">
                  <w:pPr>
                    <w:pStyle w:val="Tabletext"/>
                    <w:rPr>
                      <w:rFonts w:cstheme="minorHAnsi"/>
                      <w:color w:val="auto"/>
                    </w:rPr>
                  </w:pPr>
                  <w:r w:rsidRPr="00276197">
                    <w:rPr>
                      <w:rFonts w:cstheme="minorHAnsi"/>
                      <w:color w:val="auto"/>
                    </w:rPr>
                    <w:t>No job but seeking work</w:t>
                  </w:r>
                </w:p>
                <w:p w14:paraId="6389579D" w14:textId="4187CB34" w:rsidR="0004533C" w:rsidRPr="00276197" w:rsidRDefault="0000648A" w:rsidP="00F258BA">
                  <w:pPr>
                    <w:pStyle w:val="Tabletext"/>
                    <w:jc w:val="right"/>
                    <w:rPr>
                      <w:rFonts w:cstheme="minorHAnsi"/>
                      <w:color w:val="auto"/>
                    </w:rPr>
                  </w:pPr>
                  <w:r w:rsidRPr="00276197">
                    <w:rPr>
                      <w:rFonts w:cstheme="minorHAnsi"/>
                      <w:color w:val="auto"/>
                    </w:rPr>
                    <w:t xml:space="preserve"> </w:t>
                  </w:r>
                  <w:r w:rsidR="0004533C" w:rsidRPr="00276197">
                    <w:rPr>
                      <w:rFonts w:cstheme="minorHAnsi"/>
                      <w:color w:val="auto"/>
                    </w:rPr>
                    <w:t>→</w:t>
                  </w:r>
                </w:p>
              </w:tc>
              <w:tc>
                <w:tcPr>
                  <w:tcW w:w="1255" w:type="dxa"/>
                </w:tcPr>
                <w:p w14:paraId="26F30AF0" w14:textId="77777777" w:rsidR="0004533C" w:rsidRPr="00276197" w:rsidRDefault="0004533C" w:rsidP="00F258BA">
                  <w:pPr>
                    <w:pStyle w:val="Tabletext"/>
                    <w:rPr>
                      <w:rFonts w:cstheme="minorHAnsi"/>
                      <w:color w:val="auto"/>
                    </w:rPr>
                  </w:pPr>
                  <w:r w:rsidRPr="00276197">
                    <w:rPr>
                      <w:rFonts w:cstheme="minorHAnsi"/>
                      <w:color w:val="auto"/>
                    </w:rPr>
                    <w:t>ADE</w:t>
                  </w:r>
                </w:p>
              </w:tc>
              <w:tc>
                <w:tcPr>
                  <w:tcW w:w="800" w:type="dxa"/>
                </w:tcPr>
                <w:p w14:paraId="54F7580D" w14:textId="77777777" w:rsidR="0004533C" w:rsidRPr="00276197" w:rsidRDefault="0004533C" w:rsidP="00F258BA">
                  <w:pPr>
                    <w:pStyle w:val="Tabletext"/>
                    <w:rPr>
                      <w:rFonts w:cstheme="minorHAnsi"/>
                      <w:color w:val="auto"/>
                    </w:rPr>
                  </w:pPr>
                  <w:r w:rsidRPr="00276197">
                    <w:rPr>
                      <w:rFonts w:cstheme="minorHAnsi"/>
                      <w:color w:val="auto"/>
                    </w:rPr>
                    <w:t>2%</w:t>
                  </w:r>
                </w:p>
              </w:tc>
              <w:tc>
                <w:tcPr>
                  <w:tcW w:w="851" w:type="dxa"/>
                </w:tcPr>
                <w:p w14:paraId="2FF9D3C6" w14:textId="77777777" w:rsidR="0004533C" w:rsidRPr="00276197" w:rsidRDefault="0004533C" w:rsidP="00F258BA">
                  <w:pPr>
                    <w:pStyle w:val="Tabletext"/>
                    <w:rPr>
                      <w:rFonts w:cstheme="minorHAnsi"/>
                      <w:color w:val="auto"/>
                    </w:rPr>
                  </w:pPr>
                  <w:r w:rsidRPr="00276197">
                    <w:rPr>
                      <w:rFonts w:cstheme="minorHAnsi"/>
                      <w:color w:val="auto"/>
                    </w:rPr>
                    <w:t>1%</w:t>
                  </w:r>
                </w:p>
              </w:tc>
            </w:tr>
          </w:tbl>
          <w:p w14:paraId="3A83DC9C" w14:textId="3228B626" w:rsidR="0004533C" w:rsidRPr="00276197" w:rsidRDefault="0004533C" w:rsidP="00F258BA">
            <w:pPr>
              <w:pStyle w:val="Tabletext"/>
              <w:cnfStyle w:val="000000100000" w:firstRow="0" w:lastRow="0" w:firstColumn="0" w:lastColumn="0" w:oddVBand="0" w:evenVBand="0" w:oddHBand="1" w:evenHBand="0" w:firstRowFirstColumn="0" w:firstRowLastColumn="0" w:lastRowFirstColumn="0" w:lastRowLastColumn="0"/>
              <w:rPr>
                <w:rFonts w:cstheme="minorHAnsi"/>
                <w:color w:val="auto"/>
              </w:rPr>
            </w:pPr>
            <w:r w:rsidRPr="00276197">
              <w:rPr>
                <w:rFonts w:cstheme="minorHAnsi"/>
                <w:color w:val="auto"/>
              </w:rPr>
              <w:t>Source: 5</w:t>
            </w:r>
          </w:p>
        </w:tc>
      </w:tr>
    </w:tbl>
    <w:p w14:paraId="5C2BCCF4" w14:textId="77777777" w:rsidR="007E2DA2" w:rsidRPr="007E2DA2" w:rsidRDefault="007E2DA2" w:rsidP="00610D95">
      <w:pPr>
        <w:pStyle w:val="Tabletext"/>
        <w:rPr>
          <w:color w:val="auto"/>
          <w:sz w:val="16"/>
          <w:szCs w:val="16"/>
        </w:rPr>
      </w:pPr>
    </w:p>
    <w:p w14:paraId="41A07EFD" w14:textId="21AF4661" w:rsidR="00A253CA" w:rsidRPr="00E73677" w:rsidRDefault="00A253CA" w:rsidP="00610D95">
      <w:pPr>
        <w:pStyle w:val="Tabletext"/>
        <w:rPr>
          <w:color w:val="auto"/>
        </w:rPr>
      </w:pPr>
      <w:r w:rsidRPr="00E73677">
        <w:rPr>
          <w:color w:val="auto"/>
        </w:rPr>
        <w:t>Source:</w:t>
      </w:r>
    </w:p>
    <w:p w14:paraId="2EC9EA31" w14:textId="7692AE56" w:rsidR="00610D95" w:rsidRPr="00E73677" w:rsidRDefault="00610D95" w:rsidP="00610D95">
      <w:pPr>
        <w:pStyle w:val="Tabletext"/>
        <w:rPr>
          <w:color w:val="auto"/>
        </w:rPr>
      </w:pPr>
      <w:r w:rsidRPr="00E73677">
        <w:rPr>
          <w:color w:val="auto"/>
        </w:rPr>
        <w:t xml:space="preserve">1. </w:t>
      </w:r>
      <w:proofErr w:type="spellStart"/>
      <w:r w:rsidRPr="00E73677">
        <w:rPr>
          <w:color w:val="auto"/>
        </w:rPr>
        <w:t>BuyAbility</w:t>
      </w:r>
      <w:proofErr w:type="spellEnd"/>
      <w:r w:rsidRPr="00E73677">
        <w:rPr>
          <w:color w:val="auto"/>
        </w:rPr>
        <w:t xml:space="preserve"> and desktop review</w:t>
      </w:r>
      <w:r w:rsidR="00412063">
        <w:rPr>
          <w:color w:val="auto"/>
        </w:rPr>
        <w:t>.</w:t>
      </w:r>
      <w:r w:rsidRPr="00E73677">
        <w:rPr>
          <w:color w:val="auto"/>
        </w:rPr>
        <w:t xml:space="preserve"> Dated as: Nov 2022</w:t>
      </w:r>
    </w:p>
    <w:p w14:paraId="132A1599" w14:textId="141EA453" w:rsidR="00610D95" w:rsidRPr="00E73677" w:rsidRDefault="00610D95" w:rsidP="00610D95">
      <w:pPr>
        <w:pStyle w:val="Tabletext"/>
        <w:rPr>
          <w:color w:val="auto"/>
        </w:rPr>
      </w:pPr>
      <w:r w:rsidRPr="00E73677">
        <w:rPr>
          <w:color w:val="auto"/>
        </w:rPr>
        <w:t xml:space="preserve">2. </w:t>
      </w:r>
      <w:proofErr w:type="spellStart"/>
      <w:r w:rsidRPr="00E73677">
        <w:rPr>
          <w:color w:val="auto"/>
        </w:rPr>
        <w:t>ConNetica</w:t>
      </w:r>
      <w:proofErr w:type="spellEnd"/>
      <w:r w:rsidRPr="00E73677">
        <w:rPr>
          <w:color w:val="auto"/>
        </w:rPr>
        <w:t xml:space="preserve"> (2013)</w:t>
      </w:r>
      <w:r w:rsidR="00412063">
        <w:rPr>
          <w:color w:val="auto"/>
        </w:rPr>
        <w:t>.</w:t>
      </w:r>
      <w:r w:rsidRPr="00E73677">
        <w:rPr>
          <w:color w:val="auto"/>
        </w:rPr>
        <w:t xml:space="preserve"> Dated as: 2013</w:t>
      </w:r>
    </w:p>
    <w:p w14:paraId="508B401C" w14:textId="0178D8B7" w:rsidR="00610D95" w:rsidRPr="00E73677" w:rsidRDefault="00610D95" w:rsidP="00610D95">
      <w:pPr>
        <w:pStyle w:val="Tabletext"/>
        <w:rPr>
          <w:color w:val="auto"/>
        </w:rPr>
      </w:pPr>
      <w:r w:rsidRPr="00E73677">
        <w:rPr>
          <w:color w:val="auto"/>
        </w:rPr>
        <w:t>3. Social Enterprise Finder (national directory of Certified Social Enterprises, by Social Traders)</w:t>
      </w:r>
      <w:r w:rsidR="00412063">
        <w:rPr>
          <w:color w:val="auto"/>
        </w:rPr>
        <w:t>.</w:t>
      </w:r>
      <w:r w:rsidR="0000648A" w:rsidRPr="00E73677">
        <w:rPr>
          <w:color w:val="auto"/>
        </w:rPr>
        <w:t xml:space="preserve"> </w:t>
      </w:r>
      <w:r w:rsidRPr="00E73677">
        <w:rPr>
          <w:color w:val="auto"/>
        </w:rPr>
        <w:t>Dated as: Nov 2022</w:t>
      </w:r>
    </w:p>
    <w:p w14:paraId="09274E7D" w14:textId="1F593E5A" w:rsidR="00610D95" w:rsidRPr="00E73677" w:rsidRDefault="00610D95" w:rsidP="00610D95">
      <w:pPr>
        <w:pStyle w:val="Tabletext"/>
        <w:rPr>
          <w:color w:val="auto"/>
        </w:rPr>
      </w:pPr>
      <w:r w:rsidRPr="00E73677">
        <w:rPr>
          <w:color w:val="auto"/>
        </w:rPr>
        <w:t xml:space="preserve">4. Australian Disability Services, 2009-10 (DSS, </w:t>
      </w:r>
      <w:r w:rsidR="005A0B55" w:rsidRPr="00E73677">
        <w:rPr>
          <w:color w:val="auto"/>
        </w:rPr>
        <w:t>20</w:t>
      </w:r>
      <w:r w:rsidR="005A0B55">
        <w:rPr>
          <w:color w:val="auto"/>
        </w:rPr>
        <w:t>14b</w:t>
      </w:r>
      <w:r w:rsidRPr="00E73677">
        <w:rPr>
          <w:color w:val="auto"/>
        </w:rPr>
        <w:t>)</w:t>
      </w:r>
      <w:r w:rsidR="00412063">
        <w:rPr>
          <w:color w:val="auto"/>
        </w:rPr>
        <w:t>.</w:t>
      </w:r>
      <w:r w:rsidRPr="00E73677">
        <w:rPr>
          <w:color w:val="auto"/>
        </w:rPr>
        <w:t xml:space="preserve"> Dated as: 2010</w:t>
      </w:r>
    </w:p>
    <w:p w14:paraId="43FABC7E" w14:textId="77777777" w:rsidR="00610D95" w:rsidRPr="00E73677" w:rsidRDefault="00610D95" w:rsidP="00610D95">
      <w:pPr>
        <w:pStyle w:val="Tabletext"/>
        <w:rPr>
          <w:color w:val="auto"/>
        </w:rPr>
      </w:pPr>
      <w:r w:rsidRPr="00E73677">
        <w:rPr>
          <w:color w:val="auto"/>
        </w:rPr>
        <w:t>5. NDIA (2020)</w:t>
      </w:r>
    </w:p>
    <w:p w14:paraId="051E18A0" w14:textId="77777777" w:rsidR="00610D95" w:rsidRPr="00E73677" w:rsidRDefault="00610D95" w:rsidP="00610D95">
      <w:pPr>
        <w:pStyle w:val="Tabletext"/>
        <w:rPr>
          <w:color w:val="auto"/>
        </w:rPr>
      </w:pPr>
      <w:r w:rsidRPr="00E73677">
        <w:rPr>
          <w:color w:val="auto"/>
        </w:rPr>
        <w:t>6. DSS (2017)</w:t>
      </w:r>
    </w:p>
    <w:p w14:paraId="723C53F0" w14:textId="7F37EB39" w:rsidR="00C142FA" w:rsidRDefault="00610D95" w:rsidP="007E2DA2">
      <w:pPr>
        <w:pStyle w:val="Tabletext"/>
        <w:rPr>
          <w:color w:val="auto"/>
        </w:rPr>
      </w:pPr>
      <w:r w:rsidRPr="00E73677">
        <w:rPr>
          <w:color w:val="auto"/>
        </w:rPr>
        <w:t>7. KPMG (2015) Date</w:t>
      </w:r>
      <w:r w:rsidR="00412063">
        <w:rPr>
          <w:color w:val="auto"/>
        </w:rPr>
        <w:t>s</w:t>
      </w:r>
      <w:r w:rsidRPr="00E73677">
        <w:rPr>
          <w:color w:val="auto"/>
        </w:rPr>
        <w:t xml:space="preserve"> as: 2014/15</w:t>
      </w:r>
      <w:r w:rsidR="00E73677">
        <w:rPr>
          <w:color w:val="auto"/>
        </w:rPr>
        <w:t>.</w:t>
      </w:r>
    </w:p>
    <w:p w14:paraId="1F47D47B" w14:textId="77777777" w:rsidR="007E2DA2" w:rsidRPr="007E2DA2" w:rsidRDefault="007E2DA2" w:rsidP="007E2DA2">
      <w:pPr>
        <w:pStyle w:val="Tabletext"/>
        <w:rPr>
          <w:color w:val="auto"/>
        </w:rPr>
      </w:pPr>
    </w:p>
    <w:p w14:paraId="5E8AF4EB" w14:textId="77777777" w:rsidR="00E177F5" w:rsidRPr="00640DB2" w:rsidRDefault="00E177F5" w:rsidP="00E177F5">
      <w:pPr>
        <w:pStyle w:val="Heading5"/>
      </w:pPr>
      <w:r w:rsidRPr="00640DB2">
        <w:t>Provision of other community/disability support</w:t>
      </w:r>
    </w:p>
    <w:p w14:paraId="39202B88" w14:textId="4A3DBE0B" w:rsidR="005444A0" w:rsidRDefault="00E177F5" w:rsidP="00333F99">
      <w:pPr>
        <w:pStyle w:val="Normal4"/>
      </w:pPr>
      <w:r>
        <w:t xml:space="preserve">Based on NDIS provider information, 34 service areas out of 36 areas are offered by ADE providers. </w:t>
      </w:r>
      <w:r w:rsidR="005444A0">
        <w:t>While all ADE providers offer</w:t>
      </w:r>
      <w:r>
        <w:t xml:space="preserve"> </w:t>
      </w:r>
      <w:r w:rsidR="005444A0">
        <w:t>‘specialised supported employment’, most also offer ‘Assistance to access and maintain employment or higher education’.</w:t>
      </w:r>
      <w:r w:rsidR="0000648A">
        <w:t xml:space="preserve"> </w:t>
      </w:r>
      <w:r w:rsidR="005444A0">
        <w:t xml:space="preserve">Some organisations mention supports or services to create opportunities in open employment, although very limited information for detailed offering is provided through the websites. Where some information is available, the work is mostly focused on skills building through training programs, except one organisation that highlights mentoring support and post-placement support to assist transition to open employment. </w:t>
      </w:r>
    </w:p>
    <w:p w14:paraId="6A938444" w14:textId="5F11636D" w:rsidR="00E177F5" w:rsidRDefault="005444A0" w:rsidP="00333F99">
      <w:pPr>
        <w:pStyle w:val="Normal4"/>
      </w:pPr>
      <w:r>
        <w:t xml:space="preserve">In addition, the </w:t>
      </w:r>
      <w:r w:rsidR="00E177F5">
        <w:t xml:space="preserve">following service areas are provided by more than half of the </w:t>
      </w:r>
      <w:r>
        <w:t>ADE providers</w:t>
      </w:r>
      <w:r w:rsidR="00E177F5">
        <w:t xml:space="preserve">: </w:t>
      </w:r>
    </w:p>
    <w:p w14:paraId="73146BB4" w14:textId="77777777" w:rsidR="00E177F5" w:rsidRDefault="00E177F5" w:rsidP="00226424">
      <w:pPr>
        <w:pStyle w:val="dotpoints"/>
      </w:pPr>
      <w:r>
        <w:t xml:space="preserve">high intensity daily personal activities, </w:t>
      </w:r>
    </w:p>
    <w:p w14:paraId="2ACB6F36" w14:textId="77777777" w:rsidR="00E177F5" w:rsidRDefault="00E177F5" w:rsidP="00226424">
      <w:pPr>
        <w:pStyle w:val="dotpoints"/>
      </w:pPr>
      <w:r>
        <w:t xml:space="preserve">participation in community, social and civic activities, </w:t>
      </w:r>
    </w:p>
    <w:p w14:paraId="106F33E0" w14:textId="77777777" w:rsidR="00CF7390" w:rsidRDefault="00E177F5" w:rsidP="00226424">
      <w:pPr>
        <w:pStyle w:val="dotpoints"/>
      </w:pPr>
      <w:r>
        <w:t xml:space="preserve">group and </w:t>
      </w:r>
      <w:proofErr w:type="gramStart"/>
      <w:r>
        <w:t>centre based</w:t>
      </w:r>
      <w:proofErr w:type="gramEnd"/>
      <w:r>
        <w:t xml:space="preserve"> activities, </w:t>
      </w:r>
    </w:p>
    <w:p w14:paraId="18B99F3B" w14:textId="50FFFD44" w:rsidR="00CF7390" w:rsidRDefault="00E177F5" w:rsidP="00226424">
      <w:pPr>
        <w:pStyle w:val="dotpoints"/>
      </w:pPr>
      <w:r>
        <w:t xml:space="preserve">therapeutic </w:t>
      </w:r>
      <w:r w:rsidR="00FD4705">
        <w:t>support</w:t>
      </w:r>
      <w:r w:rsidR="00BC23F6">
        <w:t>,</w:t>
      </w:r>
      <w:r w:rsidR="00FD4705">
        <w:t xml:space="preserve"> </w:t>
      </w:r>
    </w:p>
    <w:p w14:paraId="67AD21BB" w14:textId="721E8AA4" w:rsidR="00E177F5" w:rsidRDefault="00E177F5" w:rsidP="00226424">
      <w:pPr>
        <w:pStyle w:val="dotpoints"/>
      </w:pPr>
      <w:r>
        <w:t xml:space="preserve">daily personal activities, </w:t>
      </w:r>
    </w:p>
    <w:p w14:paraId="62A2BB81" w14:textId="77777777" w:rsidR="00E177F5" w:rsidRDefault="00E177F5" w:rsidP="00226424">
      <w:pPr>
        <w:pStyle w:val="dotpoints"/>
      </w:pPr>
      <w:r>
        <w:t xml:space="preserve">assistance with daily life tasks in a group or shared living arrangement, </w:t>
      </w:r>
    </w:p>
    <w:p w14:paraId="591E4170" w14:textId="77777777" w:rsidR="00E177F5" w:rsidRDefault="00E177F5" w:rsidP="00226424">
      <w:pPr>
        <w:pStyle w:val="dotpoints"/>
      </w:pPr>
      <w:r>
        <w:t>assistance with travel/transport arrangements,</w:t>
      </w:r>
    </w:p>
    <w:p w14:paraId="6F591FC9" w14:textId="77777777" w:rsidR="00E177F5" w:rsidRDefault="00E177F5" w:rsidP="00226424">
      <w:pPr>
        <w:pStyle w:val="dotpoints"/>
      </w:pPr>
      <w:r>
        <w:t xml:space="preserve">household tasks, </w:t>
      </w:r>
    </w:p>
    <w:p w14:paraId="36284537" w14:textId="77777777" w:rsidR="00E177F5" w:rsidRDefault="00E177F5" w:rsidP="00226424">
      <w:pPr>
        <w:pStyle w:val="dotpoints"/>
      </w:pPr>
      <w:r>
        <w:t xml:space="preserve">assistance in coordinating or managing life stages/transitions and supports, </w:t>
      </w:r>
    </w:p>
    <w:p w14:paraId="64E5FDE8" w14:textId="0265B88A" w:rsidR="005444A0" w:rsidRDefault="00E177F5" w:rsidP="00226424">
      <w:pPr>
        <w:pStyle w:val="dotpoints"/>
      </w:pPr>
      <w:r>
        <w:t xml:space="preserve">development of daily living and life skills. </w:t>
      </w:r>
    </w:p>
    <w:p w14:paraId="58DD2C01" w14:textId="641F7CEF" w:rsidR="005444A0" w:rsidRDefault="005444A0" w:rsidP="00333F99">
      <w:pPr>
        <w:pStyle w:val="Normal4"/>
      </w:pPr>
      <w:r>
        <w:lastRenderedPageBreak/>
        <w:t xml:space="preserve">A small proportion (25%) have access to behaviour support planning within their ADE provider organisation, and a handful have access to other potentially employment-supporting services such as specialised driver training or vehicle modification. </w:t>
      </w:r>
    </w:p>
    <w:p w14:paraId="2708CDF8" w14:textId="74EF0DCA" w:rsidR="005444A0" w:rsidRDefault="005444A0" w:rsidP="00333F99">
      <w:pPr>
        <w:pStyle w:val="Normal4"/>
      </w:pPr>
      <w:r>
        <w:t xml:space="preserve">There is potential to consider to what extent the nesting of ADEs alongside other services within a wider service organisation offers potential to lever in additional supports and services to mediate barriers to employment (Paper 2). For example, more purposeful development of community networks and social capital is a key aspect of customised employment as a mechanism to build in relationships and interests to unlock work opportunities. However, there is no evidence available to </w:t>
      </w:r>
      <w:r w:rsidR="00BC23F6">
        <w:t>identify whether the presence of other NDIS services within the ADE provider organisation is of benefit to supported employees or contributes to capacity building toward employment</w:t>
      </w:r>
      <w:r>
        <w:t>.</w:t>
      </w:r>
    </w:p>
    <w:p w14:paraId="7D8210F0" w14:textId="77777777" w:rsidR="00E177F5" w:rsidRPr="00640DB2" w:rsidRDefault="00E177F5" w:rsidP="005444A0">
      <w:pPr>
        <w:pStyle w:val="Heading5"/>
      </w:pPr>
      <w:r w:rsidRPr="00640DB2">
        <w:t>Organisational identity</w:t>
      </w:r>
    </w:p>
    <w:p w14:paraId="01D0C4D9" w14:textId="399DB0B2" w:rsidR="00E177F5" w:rsidRDefault="00E177F5" w:rsidP="00333F99">
      <w:pPr>
        <w:pStyle w:val="Normal4"/>
      </w:pPr>
      <w:r>
        <w:t>O</w:t>
      </w:r>
      <w:r w:rsidRPr="007F4C80">
        <w:t xml:space="preserve">f </w:t>
      </w:r>
      <w:r>
        <w:t xml:space="preserve">the </w:t>
      </w:r>
      <w:r w:rsidRPr="00A21924">
        <w:t>14</w:t>
      </w:r>
      <w:r>
        <w:t>7</w:t>
      </w:r>
      <w:r w:rsidRPr="007F4C80">
        <w:t xml:space="preserve"> </w:t>
      </w:r>
      <w:r>
        <w:t>ADE providers</w:t>
      </w:r>
      <w:r w:rsidRPr="007F4C80">
        <w:t xml:space="preserve">, 63 </w:t>
      </w:r>
      <w:r>
        <w:t xml:space="preserve">(43%) </w:t>
      </w:r>
      <w:r w:rsidR="00BC23F6">
        <w:t>providers</w:t>
      </w:r>
      <w:r w:rsidRPr="007F4C80">
        <w:t xml:space="preserve"> still clearly identify their business as an ADE, while 35 </w:t>
      </w:r>
      <w:r>
        <w:t xml:space="preserve">(24%) </w:t>
      </w:r>
      <w:r w:rsidRPr="007F4C80">
        <w:t xml:space="preserve">have taken up the ‘social </w:t>
      </w:r>
      <w:r w:rsidRPr="005444A0">
        <w:t>enterprise’</w:t>
      </w:r>
      <w:r w:rsidRPr="007F4C80">
        <w:t xml:space="preserve"> badge, with three organisations referring </w:t>
      </w:r>
      <w:r w:rsidR="00BC23F6">
        <w:t xml:space="preserve">to </w:t>
      </w:r>
      <w:r>
        <w:t>themselves as</w:t>
      </w:r>
      <w:r w:rsidRPr="007F4C80">
        <w:t xml:space="preserve"> both ADE</w:t>
      </w:r>
      <w:r w:rsidR="00BC23F6">
        <w:t>s</w:t>
      </w:r>
      <w:r w:rsidRPr="007F4C80">
        <w:t xml:space="preserve"> and social enterprise</w:t>
      </w:r>
      <w:r w:rsidR="00BC23F6">
        <w:t>s</w:t>
      </w:r>
      <w:r w:rsidR="005444A0">
        <w:t xml:space="preserve"> on their websites</w:t>
      </w:r>
      <w:r w:rsidRPr="007F4C80">
        <w:t>.</w:t>
      </w:r>
      <w:r w:rsidR="0000648A">
        <w:t xml:space="preserve"> </w:t>
      </w:r>
    </w:p>
    <w:p w14:paraId="6C58EBFD" w14:textId="5FF2BDED" w:rsidR="006E28B4" w:rsidRPr="007F4C80" w:rsidRDefault="006E28B4" w:rsidP="006E28B4">
      <w:pPr>
        <w:pStyle w:val="Heading5"/>
      </w:pPr>
      <w:r>
        <w:t>Community-facing elements of ADEs</w:t>
      </w:r>
    </w:p>
    <w:p w14:paraId="06CED1F7" w14:textId="4DA5C4D6" w:rsidR="008851CE" w:rsidRDefault="009C0B6E" w:rsidP="00333F99">
      <w:pPr>
        <w:pStyle w:val="Normal4"/>
      </w:pPr>
      <w:r>
        <w:t>ADEs are active in a diverse range of industries and undertake work both on the ADE business premises as well as onsite in other businesses</w:t>
      </w:r>
      <w:r w:rsidR="00C712EF">
        <w:t xml:space="preserve"> or in community</w:t>
      </w:r>
      <w:r>
        <w:t xml:space="preserve">. Examples include commercial property maintenance undertaken on the grounds of other businesses; </w:t>
      </w:r>
      <w:r w:rsidR="00A46FF6">
        <w:t xml:space="preserve">household garden maintenance; </w:t>
      </w:r>
      <w:r>
        <w:t xml:space="preserve">mobile document shredding </w:t>
      </w:r>
      <w:proofErr w:type="gramStart"/>
      <w:r>
        <w:t>that visits businesses</w:t>
      </w:r>
      <w:proofErr w:type="gramEnd"/>
      <w:r>
        <w:t xml:space="preserve">; </w:t>
      </w:r>
      <w:r w:rsidR="00816777">
        <w:t xml:space="preserve">mobile work crews that can be deployed to a business setting to undertake specific tasks; e-waste pick up; </w:t>
      </w:r>
      <w:r w:rsidR="00A46FF6">
        <w:t>commercial cleaning</w:t>
      </w:r>
      <w:r w:rsidR="00C712EF">
        <w:t>; arts and performance.</w:t>
      </w:r>
    </w:p>
    <w:p w14:paraId="3CECB11B" w14:textId="4C991107" w:rsidR="009C0B6E" w:rsidRDefault="009C0B6E" w:rsidP="00333F99">
      <w:pPr>
        <w:pStyle w:val="Normal4"/>
      </w:pPr>
      <w:r>
        <w:t xml:space="preserve">Many ADEs also have retail enterprises directly engaging with the community. </w:t>
      </w:r>
      <w:r w:rsidR="00EA2DF8">
        <w:t>Retail activities include cafes</w:t>
      </w:r>
      <w:r w:rsidR="00C712EF">
        <w:t xml:space="preserve"> and food</w:t>
      </w:r>
      <w:r w:rsidR="00EA2DF8">
        <w:t>, second hand</w:t>
      </w:r>
      <w:r w:rsidR="00C712EF">
        <w:t>/recycled</w:t>
      </w:r>
      <w:r w:rsidR="00EA2DF8">
        <w:t xml:space="preserve"> goods, </w:t>
      </w:r>
      <w:r w:rsidR="00816777">
        <w:t xml:space="preserve">costume hire, horticulture, </w:t>
      </w:r>
      <w:r w:rsidR="00333F99">
        <w:t xml:space="preserve">and </w:t>
      </w:r>
      <w:r w:rsidR="00A46FF6">
        <w:t>pottery</w:t>
      </w:r>
      <w:r w:rsidR="00C712EF">
        <w:t>, among others.</w:t>
      </w:r>
    </w:p>
    <w:p w14:paraId="3861E725" w14:textId="45564AF0" w:rsidR="00816777" w:rsidRDefault="00816777" w:rsidP="00333F99">
      <w:pPr>
        <w:pStyle w:val="Normal4"/>
      </w:pPr>
      <w:r>
        <w:t>In addition, a wide range of work is undertaken within the ADE premises, with a predominance of packaging and manufacturing.</w:t>
      </w:r>
    </w:p>
    <w:p w14:paraId="1A85B188" w14:textId="72EAFBB9" w:rsidR="0044774E" w:rsidRDefault="0044774E" w:rsidP="00333F99">
      <w:pPr>
        <w:pStyle w:val="Normal4"/>
      </w:pPr>
      <w:r>
        <w:t>Some ADEs also offer an integrated workforce comprised of people with and without disability. For example, Outlook Victoria (now a social enterprise) aims to employ from a set of ‘priority employment groups’ and one outlet/enterprise has a diverse workforce including people with disability (4%), mature age worker</w:t>
      </w:r>
      <w:r w:rsidR="00FD4705">
        <w:t>s</w:t>
      </w:r>
      <w:r>
        <w:t xml:space="preserve"> (33%), long term unemployed (33%), young people and people with experience of family violence (9%), migrants, refugees and asylum seekers (21%) (</w:t>
      </w:r>
      <w:r w:rsidRPr="0044774E">
        <w:t>https://www.outlookaust.org.au/melton-case-study</w:t>
      </w:r>
      <w:r>
        <w:t>).</w:t>
      </w:r>
    </w:p>
    <w:p w14:paraId="0E7E4D43" w14:textId="77777777" w:rsidR="00BA580F" w:rsidRPr="00FB5E9B" w:rsidRDefault="00BA580F" w:rsidP="00BA580F"/>
    <w:p w14:paraId="7D532E53" w14:textId="5E83654A" w:rsidR="00142C7A" w:rsidRDefault="00142C7A" w:rsidP="00BC23F6">
      <w:pPr>
        <w:pStyle w:val="Heading2"/>
      </w:pPr>
      <w:r>
        <w:t xml:space="preserve">The social enterprise </w:t>
      </w:r>
      <w:r w:rsidR="00CB1AE9">
        <w:t xml:space="preserve">sECTOR </w:t>
      </w:r>
    </w:p>
    <w:p w14:paraId="687BA9E0" w14:textId="18F700C0" w:rsidR="006E28B4" w:rsidRDefault="00617CE5" w:rsidP="00333F99">
      <w:pPr>
        <w:pStyle w:val="Normal4"/>
      </w:pPr>
      <w:r>
        <w:t>In Australia</w:t>
      </w:r>
      <w:r w:rsidR="00B479DC">
        <w:t xml:space="preserve">, </w:t>
      </w:r>
      <w:r w:rsidR="00142C7A">
        <w:t>social enterpris</w:t>
      </w:r>
      <w:r w:rsidR="005275E2">
        <w:t xml:space="preserve">es are defined by three key features: </w:t>
      </w:r>
      <w:r w:rsidR="003F39C1">
        <w:t xml:space="preserve">being </w:t>
      </w:r>
      <w:r w:rsidR="005275E2">
        <w:t xml:space="preserve">led by </w:t>
      </w:r>
      <w:r w:rsidR="0073028A">
        <w:t>a social mission that creates public or community benefit</w:t>
      </w:r>
      <w:r w:rsidR="00BC23F6">
        <w:t>;</w:t>
      </w:r>
      <w:r w:rsidR="0073028A">
        <w:t xml:space="preserve"> deriving </w:t>
      </w:r>
      <w:proofErr w:type="gramStart"/>
      <w:r w:rsidR="0073028A">
        <w:t>a majority of</w:t>
      </w:r>
      <w:proofErr w:type="gramEnd"/>
      <w:r w:rsidR="0073028A">
        <w:t xml:space="preserve"> income from trade</w:t>
      </w:r>
      <w:r w:rsidR="00BC23F6">
        <w:t>;</w:t>
      </w:r>
      <w:r w:rsidR="0073028A">
        <w:t xml:space="preserve"> and re-investing the </w:t>
      </w:r>
      <w:r w:rsidR="00150ABC">
        <w:t xml:space="preserve">majority of profit or surplus to social mission (Barraket et al., 2016). </w:t>
      </w:r>
      <w:r w:rsidR="00BB0294">
        <w:t>Employment-focused social enterprises are a type of social enterprise where the social mission focuses on creating employment or employment pathway</w:t>
      </w:r>
      <w:r w:rsidR="006E28B4">
        <w:t>s</w:t>
      </w:r>
      <w:r w:rsidR="00BB0294">
        <w:t xml:space="preserve"> for people at risk of exclusion from the mainstream labour market, or facing barriers entering mainstream employment (Kong et al., 2018)</w:t>
      </w:r>
      <w:r w:rsidR="002B578F">
        <w:t xml:space="preserve">. </w:t>
      </w:r>
    </w:p>
    <w:p w14:paraId="7B251040" w14:textId="322D16D0" w:rsidR="00142C7A" w:rsidRDefault="007C4E1B" w:rsidP="00333F99">
      <w:pPr>
        <w:pStyle w:val="Normal4"/>
      </w:pPr>
      <w:r>
        <w:t>There are two main types of employment-focused social enterprises</w:t>
      </w:r>
      <w:r w:rsidR="006E28B4">
        <w:t>. T</w:t>
      </w:r>
      <w:r>
        <w:t xml:space="preserve">he first, often called ‘intermediate labour market’, </w:t>
      </w:r>
      <w:r w:rsidR="00592FEB">
        <w:t xml:space="preserve">typically operates with a </w:t>
      </w:r>
      <w:r>
        <w:t xml:space="preserve">transitional </w:t>
      </w:r>
      <w:r w:rsidR="00592FEB">
        <w:t xml:space="preserve">model that provides </w:t>
      </w:r>
      <w:r w:rsidR="00120585">
        <w:t xml:space="preserve">training or temporary employment with the goal of assisting trainees/employees to gain employment in </w:t>
      </w:r>
      <w:r w:rsidR="00D332C8">
        <w:lastRenderedPageBreak/>
        <w:t>mainstream businesses</w:t>
      </w:r>
      <w:r w:rsidR="005A009E">
        <w:t xml:space="preserve"> (</w:t>
      </w:r>
      <w:proofErr w:type="spellStart"/>
      <w:r w:rsidR="005A009E">
        <w:t>Nockolds</w:t>
      </w:r>
      <w:proofErr w:type="spellEnd"/>
      <w:r w:rsidR="005A009E">
        <w:t>, 2012</w:t>
      </w:r>
      <w:r w:rsidR="00224B65">
        <w:t>)</w:t>
      </w:r>
      <w:r w:rsidR="006E28B4">
        <w:t xml:space="preserve">. </w:t>
      </w:r>
      <w:r w:rsidR="006E28B4" w:rsidRPr="75862FC9">
        <w:rPr>
          <w:rFonts w:eastAsia="Calibri"/>
        </w:rPr>
        <w:t xml:space="preserve">Transitional </w:t>
      </w:r>
      <w:r w:rsidR="006E28B4">
        <w:rPr>
          <w:rFonts w:eastAsia="Calibri"/>
        </w:rPr>
        <w:t>work-integrated social enterprise</w:t>
      </w:r>
      <w:r w:rsidR="006E28B4" w:rsidRPr="75862FC9">
        <w:rPr>
          <w:rFonts w:eastAsia="Calibri"/>
        </w:rPr>
        <w:t xml:space="preserve"> </w:t>
      </w:r>
      <w:r w:rsidR="006E28B4">
        <w:rPr>
          <w:rFonts w:eastAsia="Calibri"/>
        </w:rPr>
        <w:t xml:space="preserve">(WISE) </w:t>
      </w:r>
      <w:proofErr w:type="gramStart"/>
      <w:r w:rsidR="006E28B4" w:rsidRPr="75862FC9">
        <w:rPr>
          <w:rFonts w:eastAsia="Calibri"/>
        </w:rPr>
        <w:t>are</w:t>
      </w:r>
      <w:proofErr w:type="gramEnd"/>
      <w:r w:rsidR="006E28B4" w:rsidRPr="75862FC9">
        <w:rPr>
          <w:rFonts w:eastAsia="Calibri"/>
        </w:rPr>
        <w:t xml:space="preserve"> a specific model that aim to transition people out into open employment. They may not be the best match for </w:t>
      </w:r>
      <w:proofErr w:type="gramStart"/>
      <w:r w:rsidR="006E28B4" w:rsidRPr="75862FC9">
        <w:rPr>
          <w:rFonts w:eastAsia="Calibri"/>
        </w:rPr>
        <w:t>everyone</w:t>
      </w:r>
      <w:proofErr w:type="gramEnd"/>
      <w:r w:rsidR="006E28B4" w:rsidRPr="75862FC9">
        <w:rPr>
          <w:rFonts w:eastAsia="Calibri"/>
        </w:rPr>
        <w:t xml:space="preserve"> and some WISE scholars note the importance of creating employment opportunities that are secure and provide regular work </w:t>
      </w:r>
      <w:r w:rsidR="006E28B4" w:rsidRPr="00BC23F6">
        <w:t>(</w:t>
      </w:r>
      <w:hyperlink r:id="rId13">
        <w:r w:rsidR="006E28B4" w:rsidRPr="00BC23F6">
          <w:t>Williams</w:t>
        </w:r>
        <w:r w:rsidR="00D62D42">
          <w:t xml:space="preserve"> et al.</w:t>
        </w:r>
        <w:r w:rsidR="006E28B4" w:rsidRPr="00BC23F6">
          <w:t>, 2012</w:t>
        </w:r>
      </w:hyperlink>
      <w:r w:rsidR="006E28B4" w:rsidRPr="75862FC9">
        <w:rPr>
          <w:rFonts w:eastAsia="Calibri"/>
        </w:rPr>
        <w:t>)</w:t>
      </w:r>
      <w:r w:rsidR="006E28B4">
        <w:rPr>
          <w:rFonts w:eastAsia="Calibri"/>
        </w:rPr>
        <w:t xml:space="preserve">. </w:t>
      </w:r>
      <w:proofErr w:type="gramStart"/>
      <w:r w:rsidR="006E28B4">
        <w:t>T</w:t>
      </w:r>
      <w:r w:rsidR="00D332C8">
        <w:t>he second</w:t>
      </w:r>
      <w:r w:rsidR="006E28B4">
        <w:t xml:space="preserve"> type of social enterprise</w:t>
      </w:r>
      <w:r w:rsidR="00D332C8">
        <w:t>,</w:t>
      </w:r>
      <w:proofErr w:type="gramEnd"/>
      <w:r w:rsidR="00D332C8">
        <w:t xml:space="preserve"> offers permanent employment </w:t>
      </w:r>
      <w:r w:rsidR="005A009E">
        <w:t xml:space="preserve">and on-going training </w:t>
      </w:r>
      <w:r w:rsidR="001A7EB1">
        <w:t xml:space="preserve">either within the enterprise </w:t>
      </w:r>
      <w:r w:rsidR="00E573D9">
        <w:t xml:space="preserve">or through placement </w:t>
      </w:r>
      <w:r w:rsidR="005A009E">
        <w:t xml:space="preserve">(Spear &amp; Bidet, 2005). </w:t>
      </w:r>
      <w:r w:rsidR="00514B8F">
        <w:t xml:space="preserve">There are also </w:t>
      </w:r>
      <w:r w:rsidR="00D94619">
        <w:t xml:space="preserve">enterprises that </w:t>
      </w:r>
      <w:r w:rsidR="003D578E">
        <w:t xml:space="preserve">adopt both models. </w:t>
      </w:r>
    </w:p>
    <w:p w14:paraId="65FC10E0" w14:textId="7A1321DE" w:rsidR="00142C7A" w:rsidRDefault="004C1B1D" w:rsidP="00333F99">
      <w:pPr>
        <w:pStyle w:val="Normal4"/>
      </w:pPr>
      <w:r>
        <w:t xml:space="preserve">It is estimated that there are </w:t>
      </w:r>
      <w:r w:rsidR="00FD4933">
        <w:t xml:space="preserve">20,000 social enterprises in Australia and </w:t>
      </w:r>
      <w:r w:rsidR="006202E3">
        <w:t xml:space="preserve">nearly </w:t>
      </w:r>
      <w:r w:rsidR="00566515">
        <w:t xml:space="preserve">7,000 </w:t>
      </w:r>
      <w:r w:rsidR="00B17F67">
        <w:t xml:space="preserve">of these </w:t>
      </w:r>
      <w:r w:rsidR="008368D8">
        <w:t xml:space="preserve">have </w:t>
      </w:r>
      <w:r w:rsidR="00A62935">
        <w:t xml:space="preserve">explicit </w:t>
      </w:r>
      <w:r w:rsidR="00930278">
        <w:t>focus</w:t>
      </w:r>
      <w:r w:rsidR="00A62935">
        <w:t xml:space="preserve"> to </w:t>
      </w:r>
      <w:r w:rsidR="00B411BF">
        <w:t>create meaningful employment for people experiencing disadvantage (</w:t>
      </w:r>
      <w:r w:rsidR="00642995">
        <w:t>Barraket et al</w:t>
      </w:r>
      <w:r w:rsidR="00BA3022">
        <w:t>.</w:t>
      </w:r>
      <w:r w:rsidR="009E020F">
        <w:t>,</w:t>
      </w:r>
      <w:r w:rsidR="00B411BF">
        <w:t xml:space="preserve"> 2016</w:t>
      </w:r>
      <w:r w:rsidR="00764722">
        <w:t>)</w:t>
      </w:r>
      <w:r w:rsidR="00AC2D10">
        <w:t xml:space="preserve">. </w:t>
      </w:r>
      <w:r w:rsidR="009E020F">
        <w:t xml:space="preserve">Australian social enterprises predominantly operate in </w:t>
      </w:r>
      <w:r w:rsidR="00817D2E">
        <w:t>small businesses</w:t>
      </w:r>
      <w:r w:rsidR="000B7B58">
        <w:t xml:space="preserve"> (</w:t>
      </w:r>
      <w:r w:rsidR="00142C7A">
        <w:t>73%</w:t>
      </w:r>
      <w:r w:rsidR="000B7B58">
        <w:t>) with less than</w:t>
      </w:r>
      <w:r w:rsidR="00142C7A">
        <w:t xml:space="preserve"> </w:t>
      </w:r>
      <w:r w:rsidR="000B7B58">
        <w:t>5</w:t>
      </w:r>
      <w:r w:rsidR="00142C7A">
        <w:t>%</w:t>
      </w:r>
      <w:r w:rsidR="000B7B58">
        <w:t xml:space="preserve"> in</w:t>
      </w:r>
      <w:r w:rsidR="00142C7A">
        <w:t xml:space="preserve"> large</w:t>
      </w:r>
      <w:r w:rsidR="000B7B58">
        <w:t xml:space="preserve"> businesses</w:t>
      </w:r>
      <w:r w:rsidR="00142C7A">
        <w:t xml:space="preserve"> (</w:t>
      </w:r>
      <w:r w:rsidR="00BA3022">
        <w:t>Barraket et al.</w:t>
      </w:r>
      <w:r w:rsidR="00896049">
        <w:t>,</w:t>
      </w:r>
      <w:r w:rsidR="00142C7A">
        <w:t xml:space="preserve"> 2016)</w:t>
      </w:r>
      <w:r w:rsidR="00896049">
        <w:t>.</w:t>
      </w:r>
      <w:r w:rsidR="0000648A">
        <w:t xml:space="preserve"> </w:t>
      </w:r>
      <w:r w:rsidR="008661EF">
        <w:t>S</w:t>
      </w:r>
      <w:r w:rsidR="00C35A8C">
        <w:t xml:space="preserve">ocial enterprises </w:t>
      </w:r>
      <w:r w:rsidR="00293350">
        <w:t xml:space="preserve">were cited within all industries </w:t>
      </w:r>
      <w:r w:rsidR="006D5B71">
        <w:t xml:space="preserve">in Australia, </w:t>
      </w:r>
      <w:r w:rsidR="00892BE4">
        <w:t xml:space="preserve">where </w:t>
      </w:r>
      <w:r w:rsidR="006D5B71">
        <w:t>R</w:t>
      </w:r>
      <w:r w:rsidR="00142C7A">
        <w:t xml:space="preserve">etail </w:t>
      </w:r>
      <w:r w:rsidR="006D5B71">
        <w:t>T</w:t>
      </w:r>
      <w:r w:rsidR="00142C7A">
        <w:t>rading</w:t>
      </w:r>
      <w:r w:rsidR="006D5B71">
        <w:t xml:space="preserve"> (</w:t>
      </w:r>
      <w:r w:rsidR="00142C7A">
        <w:t>25%</w:t>
      </w:r>
      <w:r w:rsidR="006D5B71">
        <w:t>) and</w:t>
      </w:r>
      <w:r w:rsidR="00142C7A">
        <w:t xml:space="preserve"> </w:t>
      </w:r>
      <w:r w:rsidR="006D5B71">
        <w:t>H</w:t>
      </w:r>
      <w:r w:rsidR="00142C7A">
        <w:t xml:space="preserve">ealth and </w:t>
      </w:r>
      <w:r w:rsidR="006D5B71">
        <w:t>S</w:t>
      </w:r>
      <w:r w:rsidR="00142C7A">
        <w:t xml:space="preserve">ocial </w:t>
      </w:r>
      <w:r w:rsidR="006D5B71">
        <w:t>A</w:t>
      </w:r>
      <w:r w:rsidR="00142C7A">
        <w:t xml:space="preserve">ssistance (22%) </w:t>
      </w:r>
      <w:r w:rsidR="00276B1D">
        <w:t>were the two most frequently identified industry categories</w:t>
      </w:r>
      <w:r w:rsidR="00B35EAD">
        <w:t xml:space="preserve">. </w:t>
      </w:r>
    </w:p>
    <w:p w14:paraId="2F75BB85" w14:textId="21BEC4CA" w:rsidR="00CB1AE9" w:rsidRDefault="00892BE4" w:rsidP="00333F99">
      <w:pPr>
        <w:pStyle w:val="Normal4"/>
      </w:pPr>
      <w:r w:rsidRPr="00892BE4">
        <w:t xml:space="preserve">While research </w:t>
      </w:r>
      <w:r w:rsidR="0064312C">
        <w:t xml:space="preserve">on employment-focused social enterprises </w:t>
      </w:r>
      <w:r w:rsidR="00131B0B">
        <w:t>provide</w:t>
      </w:r>
      <w:r w:rsidR="00F656A5">
        <w:t>s</w:t>
      </w:r>
      <w:r w:rsidR="003E2EA3">
        <w:t xml:space="preserve"> evidence </w:t>
      </w:r>
      <w:r w:rsidR="00D132E1">
        <w:t xml:space="preserve">that well-run social enterprises can be effective, efficient and financially sustainable, </w:t>
      </w:r>
      <w:r w:rsidR="0046291C">
        <w:t>it also identifie</w:t>
      </w:r>
      <w:r w:rsidR="00F656A5">
        <w:t>s</w:t>
      </w:r>
      <w:r w:rsidR="0046291C">
        <w:t xml:space="preserve"> key </w:t>
      </w:r>
      <w:r w:rsidR="00700F66">
        <w:t>challenges fac</w:t>
      </w:r>
      <w:r w:rsidR="006E28B4">
        <w:t>ed</w:t>
      </w:r>
      <w:r w:rsidR="00700F66">
        <w:t xml:space="preserve"> by employment-focused social enterprises, such as lack of consistent public policy for social enterprise development, </w:t>
      </w:r>
      <w:r w:rsidR="00284C8A">
        <w:t>the change in the future work environment (</w:t>
      </w:r>
      <w:r w:rsidR="0090487D">
        <w:t xml:space="preserve">work </w:t>
      </w:r>
      <w:r w:rsidR="00284C8A">
        <w:t xml:space="preserve">to be less </w:t>
      </w:r>
      <w:r w:rsidR="009F5EFF">
        <w:t xml:space="preserve">labour-intensive), costs associated with </w:t>
      </w:r>
      <w:r w:rsidR="00014D02">
        <w:t xml:space="preserve">high-level flexibility and personalisation, and </w:t>
      </w:r>
      <w:r w:rsidR="008D373E">
        <w:t xml:space="preserve">access to appropriate finance (Barraket et al., 2019). </w:t>
      </w:r>
      <w:r w:rsidR="00BA6887">
        <w:t>Additionally, researchers have also identified the financial challenges facing social enterprises where social purpose</w:t>
      </w:r>
      <w:r w:rsidR="009C5F7D">
        <w:t xml:space="preserve"> may be</w:t>
      </w:r>
      <w:r w:rsidR="00BA6887">
        <w:t xml:space="preserve"> prioritised over economic returns, and the additional costs of delivering social purpose </w:t>
      </w:r>
      <w:r w:rsidR="009C5F7D">
        <w:t>necessarily affects the financial trajectory of the organisation (Doherty</w:t>
      </w:r>
      <w:r w:rsidR="00094A17">
        <w:t xml:space="preserve"> et al., </w:t>
      </w:r>
      <w:r w:rsidR="009C5F7D">
        <w:t>2014). Commonly, social enterprises are considered hybrid organisations and as such rely on a mix of revenue including commercial revenue, grants, donations</w:t>
      </w:r>
      <w:r w:rsidR="00626BF6">
        <w:t>,</w:t>
      </w:r>
      <w:r w:rsidR="009C5F7D">
        <w:t xml:space="preserve"> and other forms of finance and may not be expected to be fully self-sustaining via commercial revenue alone (Doherty</w:t>
      </w:r>
      <w:r w:rsidR="00094A17" w:rsidRPr="00094A17">
        <w:t xml:space="preserve"> </w:t>
      </w:r>
      <w:r w:rsidR="00094A17">
        <w:t>et al.,</w:t>
      </w:r>
      <w:r w:rsidR="009C5F7D">
        <w:t xml:space="preserve"> 2014). </w:t>
      </w:r>
    </w:p>
    <w:p w14:paraId="2B83F643" w14:textId="32130F33" w:rsidR="00D72E80" w:rsidRDefault="00D72E80" w:rsidP="00333F99">
      <w:pPr>
        <w:pStyle w:val="Normal4"/>
      </w:pPr>
      <w:r>
        <w:t xml:space="preserve">ADEs are </w:t>
      </w:r>
      <w:r w:rsidR="009D19D8">
        <w:t>a type of employment-focused social enterprise. Th</w:t>
      </w:r>
      <w:r w:rsidR="00A46C8E">
        <w:t xml:space="preserve">is is </w:t>
      </w:r>
      <w:r w:rsidR="00272C8D">
        <w:t>echoed</w:t>
      </w:r>
      <w:r w:rsidR="00A46C8E">
        <w:t xml:space="preserve"> by </w:t>
      </w:r>
      <w:r w:rsidR="00F80E9A">
        <w:t>the desktop study finding</w:t>
      </w:r>
      <w:r w:rsidR="009D19D8">
        <w:t xml:space="preserve"> that 110</w:t>
      </w:r>
      <w:r w:rsidR="007204C7">
        <w:t xml:space="preserve"> ADEs </w:t>
      </w:r>
      <w:r w:rsidR="009D19D8">
        <w:t>out of 4</w:t>
      </w:r>
      <w:r w:rsidR="007204C7">
        <w:t xml:space="preserve">77 are </w:t>
      </w:r>
      <w:r w:rsidR="00417529">
        <w:t>c</w:t>
      </w:r>
      <w:r w:rsidR="007204C7">
        <w:t xml:space="preserve">ertified </w:t>
      </w:r>
      <w:r w:rsidR="00417529">
        <w:t>s</w:t>
      </w:r>
      <w:r w:rsidR="007204C7">
        <w:t xml:space="preserve">ocial </w:t>
      </w:r>
      <w:r w:rsidR="00417529">
        <w:t>e</w:t>
      </w:r>
      <w:r w:rsidR="007204C7">
        <w:t>nterprises by Social Traders</w:t>
      </w:r>
      <w:r w:rsidR="00A46C8E">
        <w:t xml:space="preserve">. </w:t>
      </w:r>
      <w:r w:rsidR="00073CB1">
        <w:t xml:space="preserve">Many ADEs have been operating </w:t>
      </w:r>
      <w:r w:rsidR="00FD1A8A">
        <w:t>their social businesses for decades</w:t>
      </w:r>
      <w:r w:rsidR="00C8397C">
        <w:t xml:space="preserve"> and have gained expertise </w:t>
      </w:r>
      <w:r w:rsidR="00D54FE4">
        <w:t>in providing personalised employment supports</w:t>
      </w:r>
      <w:r w:rsidR="00FD1A8A">
        <w:t xml:space="preserve">. </w:t>
      </w:r>
      <w:r w:rsidR="009B408A">
        <w:t>The</w:t>
      </w:r>
      <w:r w:rsidR="00A256E4">
        <w:t xml:space="preserve"> continuously growing </w:t>
      </w:r>
      <w:r w:rsidR="000A2EA2">
        <w:t xml:space="preserve">and </w:t>
      </w:r>
      <w:r w:rsidR="00A256E4">
        <w:t xml:space="preserve">maturing </w:t>
      </w:r>
      <w:r w:rsidR="000A2EA2">
        <w:t xml:space="preserve">social enterprise sector </w:t>
      </w:r>
      <w:r w:rsidR="003D0E0E">
        <w:t xml:space="preserve">could bring new ideas, </w:t>
      </w:r>
      <w:r w:rsidR="00B34543">
        <w:t>opportunities,</w:t>
      </w:r>
      <w:r w:rsidR="003D0E0E">
        <w:t xml:space="preserve"> and operation</w:t>
      </w:r>
      <w:r w:rsidR="002C5DBA">
        <w:t>al</w:t>
      </w:r>
      <w:r w:rsidR="003D0E0E">
        <w:t xml:space="preserve"> models</w:t>
      </w:r>
      <w:r w:rsidR="0042088F">
        <w:t xml:space="preserve"> to ADEs as well as mainstream employers</w:t>
      </w:r>
      <w:r w:rsidR="004302AA">
        <w:t xml:space="preserve">, in </w:t>
      </w:r>
      <w:r w:rsidR="00F24B92">
        <w:t>a collective</w:t>
      </w:r>
      <w:r w:rsidR="004302AA">
        <w:t xml:space="preserve"> </w:t>
      </w:r>
      <w:r w:rsidR="006C1CF6">
        <w:t>mission to create more meaningful jobs for people experiencing employment barriers</w:t>
      </w:r>
      <w:r w:rsidR="00FB4E95">
        <w:t>.</w:t>
      </w:r>
      <w:r w:rsidR="0000648A">
        <w:t xml:space="preserve"> </w:t>
      </w:r>
    </w:p>
    <w:p w14:paraId="5A9DFA07" w14:textId="77777777" w:rsidR="00BA580F" w:rsidRPr="00FB5E9B" w:rsidRDefault="00BA580F" w:rsidP="00BA580F"/>
    <w:p w14:paraId="2BDA60BB" w14:textId="77777777" w:rsidR="00142C7A" w:rsidRDefault="00142C7A" w:rsidP="00142C7A">
      <w:pPr>
        <w:pStyle w:val="Heading2"/>
      </w:pPr>
      <w:r>
        <w:t>Implications for reform</w:t>
      </w:r>
    </w:p>
    <w:p w14:paraId="73BD9D3A" w14:textId="1ABFE35C" w:rsidR="00142C7A" w:rsidRDefault="00142C7A" w:rsidP="00333F99">
      <w:pPr>
        <w:pStyle w:val="Normal4"/>
      </w:pPr>
      <w:r>
        <w:t xml:space="preserve">ADEs continue to create jobs for </w:t>
      </w:r>
      <w:r w:rsidR="009C5F7D">
        <w:t>16</w:t>
      </w:r>
      <w:r>
        <w:t>,000 people with significant disability around Australia</w:t>
      </w:r>
      <w:r w:rsidR="009C5F7D">
        <w:t xml:space="preserve">, in a range of industries. They have substantial experience and expertise in creating employment that is highly customised and the provision of suitable supports to enable employment. </w:t>
      </w:r>
    </w:p>
    <w:p w14:paraId="2A529DD1" w14:textId="717DEF55" w:rsidR="00142C7A" w:rsidRDefault="00142C7A" w:rsidP="00333F99">
      <w:pPr>
        <w:pStyle w:val="Normal4"/>
      </w:pPr>
      <w:r>
        <w:t>With the cessation of the Australian Disability Enterprises Services, there is no clear nomenclature for this sector. Organisations will evolve differently and align with different organisational and employment service models</w:t>
      </w:r>
      <w:r w:rsidR="00277BA4">
        <w:t xml:space="preserve">, including </w:t>
      </w:r>
      <w:r w:rsidR="00496427">
        <w:t xml:space="preserve">those in </w:t>
      </w:r>
      <w:r w:rsidR="00277BA4">
        <w:t>the social enterprise sector</w:t>
      </w:r>
      <w:r>
        <w:t>.</w:t>
      </w:r>
    </w:p>
    <w:p w14:paraId="714C72BE" w14:textId="339F53CD" w:rsidR="00142C7A" w:rsidRDefault="00277BA4" w:rsidP="00333F99">
      <w:pPr>
        <w:pStyle w:val="Normal4"/>
      </w:pPr>
      <w:r>
        <w:t>The two main critiques of ADEs have been the segregated nature of their work settings and workforce</w:t>
      </w:r>
      <w:r w:rsidR="00F15D73">
        <w:t xml:space="preserve"> (including the lack of transition opportunities to work beyond the ADE)</w:t>
      </w:r>
      <w:r>
        <w:t>, and the payment of low wages.</w:t>
      </w:r>
      <w:r w:rsidR="0000648A">
        <w:t xml:space="preserve"> </w:t>
      </w:r>
      <w:r>
        <w:t>Many ADEs have shown progress on the former by offering work in integrated industry and community settings</w:t>
      </w:r>
      <w:r w:rsidR="00F15D73">
        <w:t xml:space="preserve"> and, some, through </w:t>
      </w:r>
      <w:r>
        <w:t xml:space="preserve">increasing the diversity of their workforce, largely through an additional focus on other marginalised groups. </w:t>
      </w:r>
      <w:r w:rsidR="00F15D73">
        <w:t>Some ADEs now advertise linked ‘employment pathways’ beyond the ADE, though the outcomes of transition remain miniscule.</w:t>
      </w:r>
    </w:p>
    <w:p w14:paraId="052F5736" w14:textId="04AABE40" w:rsidR="00277BA4" w:rsidRDefault="00277BA4" w:rsidP="00333F99">
      <w:pPr>
        <w:pStyle w:val="Normal4"/>
      </w:pPr>
      <w:r>
        <w:lastRenderedPageBreak/>
        <w:t>The payment of low wages remains an area of concern for all parties. It has been considered, by the sector, the necessary price of sustaining the social mission of job creation for people with significant employment barriers. The changes in funding brought about by the NDIS may further disrupt the financial sustainability of the sector</w:t>
      </w:r>
      <w:r w:rsidR="00F15D73">
        <w:t>. Already</w:t>
      </w:r>
      <w:r>
        <w:t xml:space="preserve"> some ADEs </w:t>
      </w:r>
      <w:r w:rsidR="00F15D73">
        <w:t xml:space="preserve">have </w:t>
      </w:r>
      <w:proofErr w:type="gramStart"/>
      <w:r w:rsidR="00F15D73">
        <w:t>closed</w:t>
      </w:r>
      <w:proofErr w:type="gramEnd"/>
      <w:r>
        <w:t xml:space="preserve"> and the sector </w:t>
      </w:r>
      <w:r w:rsidR="00F15D73">
        <w:t xml:space="preserve">has </w:t>
      </w:r>
      <w:r>
        <w:t>contract</w:t>
      </w:r>
      <w:r w:rsidR="00F15D73">
        <w:t>ed</w:t>
      </w:r>
      <w:r>
        <w:t xml:space="preserve">. </w:t>
      </w:r>
      <w:r w:rsidR="00F15D73">
        <w:t xml:space="preserve">Given the history in the social enterprise sector, it is likely that the true costs of the social mission of the ADE sector have never been adequately understood nor supported, resulting in employees bearing the impost of </w:t>
      </w:r>
      <w:r w:rsidR="00BC23F6">
        <w:t xml:space="preserve">the </w:t>
      </w:r>
      <w:r w:rsidR="00F15D73">
        <w:t>financial viability of the organisation through low wages.</w:t>
      </w:r>
      <w:r w:rsidR="0000648A">
        <w:t xml:space="preserve"> </w:t>
      </w:r>
      <w:r w:rsidR="00F15D73">
        <w:t xml:space="preserve">While some industries or some workforce structures (for example, the Outlook Victoria workforce where only a small proportion of workforce has a disability) might offer greater profitability, these may not be feasible </w:t>
      </w:r>
      <w:r w:rsidR="00E92148">
        <w:t xml:space="preserve">or desirable </w:t>
      </w:r>
      <w:r w:rsidR="00F15D73">
        <w:t xml:space="preserve">for all ADEs. It is not clear if NDIS funding has been designed to address the true costs of specialised employment support via job creation in organisations where 75% of their employees are people with significant disability. </w:t>
      </w:r>
      <w:r w:rsidR="00274FB5">
        <w:t>Nor i</w:t>
      </w:r>
      <w:r w:rsidR="001B00AB">
        <w:t>s it</w:t>
      </w:r>
      <w:r w:rsidR="00274FB5">
        <w:t xml:space="preserve"> clear, due to an absence of data, whether earlier government investment in the sector has had any effect in lifting wages and increasing profitability.</w:t>
      </w:r>
    </w:p>
    <w:p w14:paraId="186A3472" w14:textId="28B92A1E" w:rsidR="00184995" w:rsidRDefault="00E92148" w:rsidP="00333F99">
      <w:pPr>
        <w:pStyle w:val="Normal4"/>
      </w:pPr>
      <w:r>
        <w:t>The lack of available data relating to ADEs highlights an ongoing issue: the lack of detailed understanding (beyond the ADE sector) of the activities, the business models, and the associated costs, along with the barriers that remain to des</w:t>
      </w:r>
      <w:r w:rsidR="00360696">
        <w:t>e</w:t>
      </w:r>
      <w:r>
        <w:t xml:space="preserve">gregation. </w:t>
      </w:r>
      <w:r w:rsidR="00274FB5">
        <w:t>It is difficult to design reform with so little information.</w:t>
      </w:r>
    </w:p>
    <w:p w14:paraId="62917E43" w14:textId="77777777" w:rsidR="00184995" w:rsidRDefault="00184995">
      <w:pPr>
        <w:rPr>
          <w:rFonts w:asciiTheme="minorHAnsi" w:eastAsiaTheme="minorHAnsi" w:hAnsiTheme="minorHAnsi" w:cs="Arial"/>
          <w:lang w:bidi="ar-SA"/>
        </w:rPr>
      </w:pPr>
      <w:r>
        <w:br w:type="page"/>
      </w:r>
    </w:p>
    <w:p w14:paraId="13D05F4E" w14:textId="14BE0C80" w:rsidR="00142C7A" w:rsidRDefault="00142C7A" w:rsidP="006E28B4">
      <w:pPr>
        <w:pStyle w:val="Heading2"/>
      </w:pPr>
      <w:r>
        <w:lastRenderedPageBreak/>
        <w:t>References</w:t>
      </w:r>
    </w:p>
    <w:p w14:paraId="228C473C" w14:textId="77777777" w:rsidR="002B5BAC" w:rsidRPr="000D724B" w:rsidRDefault="002B5BAC" w:rsidP="002B5BAC">
      <w:pPr>
        <w:pStyle w:val="BodyTextSP"/>
        <w:spacing w:before="120" w:after="0"/>
        <w:rPr>
          <w:rStyle w:val="authors"/>
          <w:color w:val="auto"/>
        </w:rPr>
      </w:pPr>
      <w:r w:rsidRPr="000D724B">
        <w:rPr>
          <w:rStyle w:val="authors"/>
          <w:color w:val="auto"/>
        </w:rPr>
        <w:t>Barraket, J., Mason, C.</w:t>
      </w:r>
      <w:r>
        <w:rPr>
          <w:rStyle w:val="authors"/>
          <w:color w:val="auto"/>
        </w:rPr>
        <w:t>,</w:t>
      </w:r>
      <w:r w:rsidRPr="000D724B">
        <w:rPr>
          <w:rStyle w:val="authors"/>
          <w:color w:val="auto"/>
        </w:rPr>
        <w:t xml:space="preserve"> &amp; Blain, B. (2016). </w:t>
      </w:r>
      <w:r w:rsidRPr="005700FD">
        <w:rPr>
          <w:rStyle w:val="authors"/>
          <w:i/>
          <w:iCs/>
          <w:color w:val="auto"/>
        </w:rPr>
        <w:t>Finding Australia’s social enterprise sector 2016: Final report</w:t>
      </w:r>
      <w:r>
        <w:rPr>
          <w:rStyle w:val="authors"/>
          <w:color w:val="auto"/>
        </w:rPr>
        <w:t>.</w:t>
      </w:r>
      <w:r w:rsidRPr="000D724B">
        <w:rPr>
          <w:rStyle w:val="authors"/>
          <w:color w:val="auto"/>
        </w:rPr>
        <w:t xml:space="preserve"> </w:t>
      </w:r>
      <w:hyperlink r:id="rId14" w:history="1">
        <w:r w:rsidRPr="00BE2965">
          <w:rPr>
            <w:rStyle w:val="Hyperlink"/>
          </w:rPr>
          <w:t>https://assets.csi.edu.au/assets/research/Finding-Australias-Social-Enterprise-Sector-2016-Final-Report.pdf</w:t>
        </w:r>
      </w:hyperlink>
      <w:r>
        <w:rPr>
          <w:color w:val="auto"/>
        </w:rPr>
        <w:t xml:space="preserve"> </w:t>
      </w:r>
    </w:p>
    <w:p w14:paraId="3F34CB89" w14:textId="240BDAFB" w:rsidR="00CD6D91" w:rsidRPr="000D724B" w:rsidRDefault="00075CB1" w:rsidP="00BF013A">
      <w:pPr>
        <w:widowControl/>
        <w:adjustRightInd w:val="0"/>
        <w:spacing w:before="120" w:line="276" w:lineRule="auto"/>
        <w:ind w:left="510" w:hanging="510"/>
        <w:rPr>
          <w:rStyle w:val="Hyperlink"/>
          <w:rFonts w:asciiTheme="minorHAnsi" w:eastAsiaTheme="minorEastAsia" w:hAnsiTheme="minorHAnsi" w:cstheme="minorBidi"/>
          <w:color w:val="auto"/>
          <w:szCs w:val="20"/>
          <w:lang w:val="en-US" w:bidi="ar-SA"/>
        </w:rPr>
      </w:pPr>
      <w:r w:rsidRPr="000D724B">
        <w:rPr>
          <w:rStyle w:val="authors"/>
          <w:rFonts w:asciiTheme="minorHAnsi" w:eastAsiaTheme="minorEastAsia" w:hAnsiTheme="minorHAnsi" w:cstheme="minorBidi"/>
          <w:szCs w:val="20"/>
          <w:lang w:val="en-US"/>
        </w:rPr>
        <w:t>Barraket, J</w:t>
      </w:r>
      <w:r w:rsidR="008D65AE" w:rsidRPr="000D724B">
        <w:rPr>
          <w:rStyle w:val="authors"/>
          <w:rFonts w:asciiTheme="minorHAnsi" w:eastAsiaTheme="minorEastAsia" w:hAnsiTheme="minorHAnsi" w:cstheme="minorBidi"/>
          <w:szCs w:val="20"/>
          <w:lang w:val="en-US"/>
        </w:rPr>
        <w:t xml:space="preserve">., </w:t>
      </w:r>
      <w:r w:rsidRPr="000D724B">
        <w:rPr>
          <w:rStyle w:val="authors"/>
          <w:rFonts w:asciiTheme="minorHAnsi" w:eastAsiaTheme="minorEastAsia" w:hAnsiTheme="minorHAnsi" w:cstheme="minorBidi"/>
          <w:szCs w:val="20"/>
          <w:lang w:val="en-US"/>
        </w:rPr>
        <w:t>Qian, J</w:t>
      </w:r>
      <w:r w:rsidR="008D65AE" w:rsidRPr="000D724B">
        <w:rPr>
          <w:rStyle w:val="authors"/>
          <w:rFonts w:asciiTheme="minorHAnsi" w:eastAsiaTheme="minorEastAsia" w:hAnsiTheme="minorHAnsi" w:cstheme="minorBidi"/>
          <w:szCs w:val="20"/>
          <w:lang w:val="en-US"/>
        </w:rPr>
        <w:t>.</w:t>
      </w:r>
      <w:r w:rsidR="008C7334">
        <w:rPr>
          <w:rStyle w:val="authors"/>
          <w:rFonts w:asciiTheme="minorHAnsi" w:eastAsiaTheme="minorEastAsia" w:hAnsiTheme="minorHAnsi" w:cstheme="minorBidi"/>
          <w:szCs w:val="20"/>
          <w:lang w:val="en-US"/>
        </w:rPr>
        <w:t>,</w:t>
      </w:r>
      <w:r w:rsidRPr="000D724B">
        <w:rPr>
          <w:rStyle w:val="authors"/>
          <w:rFonts w:asciiTheme="minorHAnsi" w:eastAsiaTheme="minorEastAsia" w:hAnsiTheme="minorHAnsi" w:cstheme="minorBidi"/>
          <w:szCs w:val="20"/>
          <w:lang w:val="en-US"/>
        </w:rPr>
        <w:t xml:space="preserve"> </w:t>
      </w:r>
      <w:r w:rsidR="008D65AE" w:rsidRPr="000D724B">
        <w:rPr>
          <w:rStyle w:val="authors"/>
          <w:rFonts w:asciiTheme="minorHAnsi" w:eastAsiaTheme="minorEastAsia" w:hAnsiTheme="minorHAnsi" w:cstheme="minorBidi"/>
          <w:szCs w:val="20"/>
          <w:lang w:val="en-US"/>
        </w:rPr>
        <w:t>&amp;</w:t>
      </w:r>
      <w:r w:rsidRPr="000D724B">
        <w:rPr>
          <w:rStyle w:val="authors"/>
          <w:rFonts w:asciiTheme="minorHAnsi" w:eastAsiaTheme="minorEastAsia" w:hAnsiTheme="minorHAnsi" w:cstheme="minorBidi"/>
          <w:szCs w:val="20"/>
          <w:lang w:val="en-US"/>
        </w:rPr>
        <w:t xml:space="preserve"> Riseley, E. (2019).</w:t>
      </w:r>
      <w:r w:rsidR="008D65AE" w:rsidRPr="000D724B">
        <w:rPr>
          <w:rStyle w:val="authors"/>
          <w:rFonts w:asciiTheme="minorHAnsi" w:eastAsiaTheme="minorEastAsia" w:hAnsiTheme="minorHAnsi" w:cstheme="minorBidi"/>
          <w:szCs w:val="20"/>
          <w:lang w:val="en-US"/>
        </w:rPr>
        <w:t xml:space="preserve"> </w:t>
      </w:r>
      <w:r w:rsidRPr="000D724B">
        <w:rPr>
          <w:rStyle w:val="authors"/>
          <w:rFonts w:asciiTheme="minorHAnsi" w:eastAsiaTheme="minorEastAsia" w:hAnsiTheme="minorHAnsi" w:cstheme="minorBidi"/>
          <w:i/>
          <w:iCs/>
          <w:szCs w:val="20"/>
          <w:lang w:val="en-US"/>
        </w:rPr>
        <w:t>Social Enterprise: A people-</w:t>
      </w:r>
      <w:proofErr w:type="spellStart"/>
      <w:r w:rsidRPr="000D724B">
        <w:rPr>
          <w:rStyle w:val="authors"/>
          <w:rFonts w:asciiTheme="minorHAnsi" w:eastAsiaTheme="minorEastAsia" w:hAnsiTheme="minorHAnsi" w:cstheme="minorBidi"/>
          <w:i/>
          <w:iCs/>
          <w:szCs w:val="20"/>
          <w:lang w:val="en-US"/>
        </w:rPr>
        <w:t>centred</w:t>
      </w:r>
      <w:proofErr w:type="spellEnd"/>
      <w:r w:rsidRPr="000D724B">
        <w:rPr>
          <w:rStyle w:val="authors"/>
          <w:rFonts w:asciiTheme="minorHAnsi" w:eastAsiaTheme="minorEastAsia" w:hAnsiTheme="minorHAnsi" w:cstheme="minorBidi"/>
          <w:i/>
          <w:iCs/>
          <w:szCs w:val="20"/>
          <w:lang w:val="en-US"/>
        </w:rPr>
        <w:t xml:space="preserve"> approach to employment services</w:t>
      </w:r>
      <w:r w:rsidRPr="00E27EED">
        <w:rPr>
          <w:rStyle w:val="authors"/>
          <w:rFonts w:asciiTheme="minorHAnsi" w:eastAsiaTheme="minorEastAsia" w:hAnsiTheme="minorHAnsi" w:cstheme="minorBidi"/>
          <w:i/>
          <w:iCs/>
          <w:szCs w:val="20"/>
          <w:lang w:val="en-US"/>
        </w:rPr>
        <w:t>.</w:t>
      </w:r>
      <w:r w:rsidR="008D65AE" w:rsidRPr="00E27EED">
        <w:rPr>
          <w:rStyle w:val="authors"/>
          <w:rFonts w:asciiTheme="minorHAnsi" w:eastAsiaTheme="minorEastAsia" w:hAnsiTheme="minorHAnsi" w:cstheme="minorBidi"/>
          <w:i/>
          <w:iCs/>
          <w:szCs w:val="20"/>
          <w:lang w:val="en-US"/>
        </w:rPr>
        <w:t xml:space="preserve"> </w:t>
      </w:r>
      <w:r w:rsidRPr="00E27EED">
        <w:rPr>
          <w:rStyle w:val="authors"/>
          <w:rFonts w:asciiTheme="minorHAnsi" w:eastAsiaTheme="minorEastAsia" w:hAnsiTheme="minorHAnsi" w:cstheme="minorBidi"/>
          <w:i/>
          <w:iCs/>
          <w:szCs w:val="20"/>
          <w:lang w:val="en-US"/>
        </w:rPr>
        <w:t>Report for Westpac Foundation</w:t>
      </w:r>
      <w:r w:rsidRPr="000D724B">
        <w:rPr>
          <w:rStyle w:val="authors"/>
          <w:rFonts w:asciiTheme="minorHAnsi" w:eastAsiaTheme="minorEastAsia" w:hAnsiTheme="minorHAnsi" w:cstheme="minorBidi"/>
          <w:szCs w:val="20"/>
          <w:lang w:val="en-US"/>
        </w:rPr>
        <w:t>. Westpac Foundation and</w:t>
      </w:r>
      <w:r w:rsidR="008D65AE" w:rsidRPr="000D724B">
        <w:rPr>
          <w:rStyle w:val="authors"/>
          <w:rFonts w:asciiTheme="minorHAnsi" w:eastAsiaTheme="minorEastAsia" w:hAnsiTheme="minorHAnsi" w:cstheme="minorBidi"/>
          <w:szCs w:val="20"/>
          <w:lang w:val="en-US"/>
        </w:rPr>
        <w:t xml:space="preserve"> </w:t>
      </w:r>
      <w:r w:rsidRPr="000D724B">
        <w:rPr>
          <w:rStyle w:val="authors"/>
          <w:rFonts w:asciiTheme="minorHAnsi" w:eastAsiaTheme="minorEastAsia" w:hAnsiTheme="minorHAnsi" w:cstheme="minorBidi"/>
          <w:szCs w:val="20"/>
        </w:rPr>
        <w:t>the Centre for Social Impact Swinburne</w:t>
      </w:r>
      <w:r w:rsidR="00813679">
        <w:rPr>
          <w:rStyle w:val="authors"/>
          <w:rFonts w:asciiTheme="minorHAnsi" w:eastAsiaTheme="minorEastAsia" w:hAnsiTheme="minorHAnsi" w:cstheme="minorBidi"/>
          <w:szCs w:val="20"/>
        </w:rPr>
        <w:t>.</w:t>
      </w:r>
      <w:r w:rsidR="001C3B1E" w:rsidRPr="000D724B">
        <w:rPr>
          <w:rStyle w:val="authors"/>
          <w:rFonts w:asciiTheme="minorHAnsi" w:eastAsiaTheme="minorEastAsia" w:hAnsiTheme="minorHAnsi" w:cstheme="minorBidi"/>
          <w:szCs w:val="20"/>
        </w:rPr>
        <w:t xml:space="preserve"> </w:t>
      </w:r>
      <w:hyperlink r:id="rId15" w:history="1">
        <w:r w:rsidR="00645798" w:rsidRPr="00BE2965">
          <w:rPr>
            <w:rStyle w:val="Hyperlink"/>
            <w:rFonts w:asciiTheme="minorHAnsi" w:eastAsiaTheme="minorEastAsia" w:hAnsiTheme="minorHAnsi" w:cstheme="minorBidi"/>
            <w:szCs w:val="20"/>
            <w:lang w:val="en-US" w:bidi="ar-SA"/>
          </w:rPr>
          <w:t>https://assets.csi.edu.au/assets/research/Social-Enterprise-A-People-Centred-Approach-to-Employment-Services-Report.pdf</w:t>
        </w:r>
      </w:hyperlink>
      <w:r w:rsidR="00645798">
        <w:rPr>
          <w:rStyle w:val="Hyperlink"/>
          <w:rFonts w:asciiTheme="minorHAnsi" w:eastAsiaTheme="minorEastAsia" w:hAnsiTheme="minorHAnsi" w:cstheme="minorBidi"/>
          <w:color w:val="auto"/>
          <w:szCs w:val="20"/>
          <w:u w:val="none"/>
          <w:lang w:val="en-US" w:bidi="ar-SA"/>
        </w:rPr>
        <w:t xml:space="preserve"> </w:t>
      </w:r>
    </w:p>
    <w:p w14:paraId="3BE4FE1D" w14:textId="333DED28" w:rsidR="00142C7A" w:rsidRPr="000D724B" w:rsidRDefault="00142C7A" w:rsidP="00BF013A">
      <w:pPr>
        <w:pStyle w:val="BodyTextSP"/>
        <w:spacing w:before="120" w:after="0"/>
        <w:rPr>
          <w:color w:val="auto"/>
        </w:rPr>
      </w:pPr>
      <w:r w:rsidRPr="000D724B">
        <w:rPr>
          <w:rStyle w:val="authors"/>
          <w:color w:val="auto"/>
        </w:rPr>
        <w:t xml:space="preserve">Cheng, C., Oakman, J., </w:t>
      </w:r>
      <w:proofErr w:type="spellStart"/>
      <w:r w:rsidRPr="000D724B">
        <w:rPr>
          <w:rStyle w:val="authors"/>
          <w:color w:val="auto"/>
        </w:rPr>
        <w:t>Bigby</w:t>
      </w:r>
      <w:proofErr w:type="spellEnd"/>
      <w:r w:rsidRPr="000D724B">
        <w:rPr>
          <w:rStyle w:val="authors"/>
          <w:color w:val="auto"/>
        </w:rPr>
        <w:t xml:space="preserve">, C., </w:t>
      </w:r>
      <w:proofErr w:type="spellStart"/>
      <w:r w:rsidRPr="000D724B">
        <w:rPr>
          <w:rStyle w:val="authors"/>
          <w:color w:val="auto"/>
        </w:rPr>
        <w:t>Fossey</w:t>
      </w:r>
      <w:proofErr w:type="spellEnd"/>
      <w:r w:rsidRPr="000D724B">
        <w:rPr>
          <w:rStyle w:val="authors"/>
          <w:color w:val="auto"/>
        </w:rPr>
        <w:t>, E., Cavanagh, J., Meacham, H.</w:t>
      </w:r>
      <w:r w:rsidR="005700FD">
        <w:rPr>
          <w:rStyle w:val="authors"/>
          <w:color w:val="auto"/>
        </w:rPr>
        <w:t>,</w:t>
      </w:r>
      <w:r w:rsidRPr="000D724B">
        <w:rPr>
          <w:rStyle w:val="authors"/>
          <w:color w:val="auto"/>
        </w:rPr>
        <w:t xml:space="preserve"> &amp; Bartram, T.</w:t>
      </w:r>
      <w:r w:rsidRPr="000D724B">
        <w:rPr>
          <w:color w:val="auto"/>
        </w:rPr>
        <w:t xml:space="preserve"> </w:t>
      </w:r>
      <w:r w:rsidRPr="000D724B">
        <w:rPr>
          <w:rStyle w:val="Date1"/>
          <w:color w:val="auto"/>
        </w:rPr>
        <w:t>(2018)</w:t>
      </w:r>
      <w:r w:rsidR="00BA580F">
        <w:rPr>
          <w:rStyle w:val="Date1"/>
          <w:color w:val="auto"/>
        </w:rPr>
        <w:t>.</w:t>
      </w:r>
      <w:r w:rsidRPr="000D724B">
        <w:rPr>
          <w:color w:val="auto"/>
        </w:rPr>
        <w:t xml:space="preserve"> </w:t>
      </w:r>
      <w:r w:rsidRPr="000D724B">
        <w:rPr>
          <w:rStyle w:val="arttitle"/>
          <w:color w:val="auto"/>
        </w:rPr>
        <w:t>What constitutes effective support in obtaining and maintaining employment for individuals with intellectual disability? A scoping review,</w:t>
      </w:r>
      <w:r w:rsidRPr="000D724B">
        <w:rPr>
          <w:color w:val="auto"/>
        </w:rPr>
        <w:t xml:space="preserve"> </w:t>
      </w:r>
      <w:r w:rsidRPr="000D724B">
        <w:rPr>
          <w:rStyle w:val="serialtitle"/>
          <w:i/>
          <w:iCs/>
          <w:color w:val="auto"/>
        </w:rPr>
        <w:t>Journal of Intellectual &amp; Developmental Disability</w:t>
      </w:r>
      <w:r w:rsidRPr="000D724B">
        <w:rPr>
          <w:rStyle w:val="serialtitle"/>
          <w:color w:val="auto"/>
        </w:rPr>
        <w:t>,</w:t>
      </w:r>
      <w:r w:rsidRPr="000D724B">
        <w:rPr>
          <w:color w:val="auto"/>
        </w:rPr>
        <w:t xml:space="preserve"> </w:t>
      </w:r>
      <w:r w:rsidRPr="00B9046D">
        <w:rPr>
          <w:rStyle w:val="volumeissue"/>
          <w:i/>
          <w:iCs/>
          <w:color w:val="auto"/>
        </w:rPr>
        <w:t>43</w:t>
      </w:r>
      <w:r w:rsidR="00B9046D">
        <w:rPr>
          <w:rStyle w:val="volumeissue"/>
          <w:color w:val="auto"/>
        </w:rPr>
        <w:t>(</w:t>
      </w:r>
      <w:r w:rsidRPr="00B9046D">
        <w:rPr>
          <w:rStyle w:val="volumeissue"/>
          <w:color w:val="auto"/>
        </w:rPr>
        <w:t>3</w:t>
      </w:r>
      <w:r w:rsidR="00B9046D">
        <w:rPr>
          <w:rStyle w:val="volumeissue"/>
          <w:color w:val="auto"/>
        </w:rPr>
        <w:t>)</w:t>
      </w:r>
      <w:r w:rsidRPr="000D724B">
        <w:rPr>
          <w:rStyle w:val="volumeissue"/>
          <w:color w:val="auto"/>
        </w:rPr>
        <w:t>,</w:t>
      </w:r>
      <w:r w:rsidRPr="000D724B">
        <w:rPr>
          <w:color w:val="auto"/>
        </w:rPr>
        <w:t xml:space="preserve"> </w:t>
      </w:r>
      <w:r w:rsidRPr="000D724B">
        <w:rPr>
          <w:rStyle w:val="pagerange"/>
          <w:color w:val="auto"/>
        </w:rPr>
        <w:t>317-327</w:t>
      </w:r>
      <w:r w:rsidR="00B9046D">
        <w:rPr>
          <w:rStyle w:val="pagerange"/>
          <w:color w:val="auto"/>
        </w:rPr>
        <w:t>.</w:t>
      </w:r>
      <w:r w:rsidRPr="000D724B">
        <w:rPr>
          <w:color w:val="auto"/>
        </w:rPr>
        <w:t xml:space="preserve"> </w:t>
      </w:r>
      <w:hyperlink r:id="rId16" w:history="1">
        <w:r w:rsidR="00EB5B00" w:rsidRPr="00BE2965">
          <w:rPr>
            <w:rStyle w:val="Hyperlink"/>
          </w:rPr>
          <w:t>https://doi.org/10.3109/13668250.2017.1327040</w:t>
        </w:r>
      </w:hyperlink>
      <w:r w:rsidR="00EB5B00">
        <w:rPr>
          <w:rStyle w:val="doilink"/>
          <w:color w:val="auto"/>
        </w:rPr>
        <w:t xml:space="preserve"> </w:t>
      </w:r>
    </w:p>
    <w:p w14:paraId="2D824CDF" w14:textId="1801649D" w:rsidR="008A3768" w:rsidRPr="000D724B" w:rsidRDefault="008A3768" w:rsidP="00BF013A">
      <w:pPr>
        <w:pStyle w:val="BodyTextSP"/>
        <w:spacing w:before="120" w:after="0"/>
        <w:rPr>
          <w:color w:val="auto"/>
        </w:rPr>
      </w:pPr>
      <w:bookmarkStart w:id="0" w:name="_Hlk120481340"/>
      <w:r w:rsidRPr="000D724B">
        <w:rPr>
          <w:color w:val="auto"/>
        </w:rPr>
        <w:t>Commonwealth of Australia</w:t>
      </w:r>
      <w:r w:rsidR="006254FC">
        <w:rPr>
          <w:color w:val="auto"/>
        </w:rPr>
        <w:t>.</w:t>
      </w:r>
      <w:r w:rsidRPr="000D724B">
        <w:rPr>
          <w:color w:val="auto"/>
        </w:rPr>
        <w:t xml:space="preserve"> (1987). </w:t>
      </w:r>
      <w:r w:rsidR="00472048" w:rsidRPr="006254FC">
        <w:rPr>
          <w:i/>
          <w:iCs/>
          <w:color w:val="auto"/>
        </w:rPr>
        <w:t>Disability Services Act 1986</w:t>
      </w:r>
      <w:r w:rsidR="00472048" w:rsidRPr="000D724B">
        <w:rPr>
          <w:color w:val="auto"/>
        </w:rPr>
        <w:t xml:space="preserve">. </w:t>
      </w:r>
      <w:hyperlink r:id="rId17" w:history="1">
        <w:r w:rsidR="00EB5B00" w:rsidRPr="00BE2965">
          <w:rPr>
            <w:rStyle w:val="Hyperlink"/>
          </w:rPr>
          <w:t>https://www.legislation.gov.au/Details/C2018C00146</w:t>
        </w:r>
      </w:hyperlink>
      <w:r w:rsidR="00EB5B00">
        <w:rPr>
          <w:color w:val="auto"/>
        </w:rPr>
        <w:t xml:space="preserve"> </w:t>
      </w:r>
    </w:p>
    <w:p w14:paraId="1128D3C7" w14:textId="49ADA671" w:rsidR="00F44401" w:rsidRPr="000D724B" w:rsidRDefault="00F44401" w:rsidP="00BF013A">
      <w:pPr>
        <w:pStyle w:val="BodyTextSP"/>
        <w:spacing w:before="120" w:after="0"/>
        <w:rPr>
          <w:color w:val="auto"/>
        </w:rPr>
      </w:pPr>
      <w:proofErr w:type="spellStart"/>
      <w:r w:rsidRPr="000D724B">
        <w:rPr>
          <w:color w:val="auto"/>
        </w:rPr>
        <w:t>ConNetica</w:t>
      </w:r>
      <w:proofErr w:type="spellEnd"/>
      <w:r w:rsidR="00305287">
        <w:rPr>
          <w:color w:val="auto"/>
        </w:rPr>
        <w:t>.</w:t>
      </w:r>
      <w:r w:rsidR="009236DF" w:rsidRPr="000D724B">
        <w:rPr>
          <w:color w:val="auto"/>
        </w:rPr>
        <w:t xml:space="preserve"> (2013). </w:t>
      </w:r>
      <w:r w:rsidR="00B70BFE" w:rsidRPr="000D724B">
        <w:rPr>
          <w:i/>
          <w:color w:val="auto"/>
        </w:rPr>
        <w:t xml:space="preserve">Australian </w:t>
      </w:r>
      <w:r w:rsidR="00E61D96" w:rsidRPr="000D724B">
        <w:rPr>
          <w:i/>
          <w:color w:val="auto"/>
        </w:rPr>
        <w:t>disability enterprise</w:t>
      </w:r>
      <w:r w:rsidR="00B70BFE" w:rsidRPr="000D724B">
        <w:rPr>
          <w:i/>
          <w:color w:val="auto"/>
        </w:rPr>
        <w:t xml:space="preserve">: </w:t>
      </w:r>
      <w:r w:rsidR="0017761F">
        <w:rPr>
          <w:i/>
          <w:color w:val="auto"/>
        </w:rPr>
        <w:t>B</w:t>
      </w:r>
      <w:r w:rsidR="00E61D96" w:rsidRPr="000D724B">
        <w:rPr>
          <w:i/>
          <w:color w:val="auto"/>
        </w:rPr>
        <w:t>uilding better business opportunities report</w:t>
      </w:r>
      <w:r w:rsidR="00A64167" w:rsidRPr="000D724B">
        <w:rPr>
          <w:color w:val="auto"/>
        </w:rPr>
        <w:t>. De</w:t>
      </w:r>
      <w:r w:rsidR="00EC6405" w:rsidRPr="000D724B">
        <w:rPr>
          <w:color w:val="auto"/>
        </w:rPr>
        <w:t xml:space="preserve">partment of Families, Housing, Community </w:t>
      </w:r>
      <w:proofErr w:type="gramStart"/>
      <w:r w:rsidR="00EC6405" w:rsidRPr="000D724B">
        <w:rPr>
          <w:color w:val="auto"/>
        </w:rPr>
        <w:t>Services</w:t>
      </w:r>
      <w:proofErr w:type="gramEnd"/>
      <w:r w:rsidR="00EC6405" w:rsidRPr="000D724B">
        <w:rPr>
          <w:color w:val="auto"/>
        </w:rPr>
        <w:t xml:space="preserve"> and Indigenous Affairs </w:t>
      </w:r>
      <w:r w:rsidR="0017761F">
        <w:rPr>
          <w:color w:val="auto"/>
        </w:rPr>
        <w:t>(</w:t>
      </w:r>
      <w:proofErr w:type="spellStart"/>
      <w:r w:rsidR="0017761F" w:rsidRPr="000D724B">
        <w:rPr>
          <w:color w:val="auto"/>
        </w:rPr>
        <w:t>FaHCSIA</w:t>
      </w:r>
      <w:proofErr w:type="spellEnd"/>
      <w:r w:rsidR="0017761F">
        <w:rPr>
          <w:color w:val="auto"/>
        </w:rPr>
        <w:t>).</w:t>
      </w:r>
      <w:r w:rsidR="00673184" w:rsidRPr="000D724B">
        <w:rPr>
          <w:color w:val="auto"/>
        </w:rPr>
        <w:t xml:space="preserve"> </w:t>
      </w:r>
      <w:hyperlink r:id="rId18" w:history="1">
        <w:r w:rsidR="00A146A9" w:rsidRPr="00BE2965">
          <w:rPr>
            <w:rStyle w:val="Hyperlink"/>
          </w:rPr>
          <w:t>https://www.dss.gov.au/our-responsibilities/disability-and-carers/publications-articles/for-employers/building-better-business-opportunities-report-and-training-course</w:t>
        </w:r>
      </w:hyperlink>
      <w:r w:rsidR="00A146A9">
        <w:rPr>
          <w:color w:val="auto"/>
        </w:rPr>
        <w:t xml:space="preserve"> </w:t>
      </w:r>
    </w:p>
    <w:p w14:paraId="0037BA47" w14:textId="71CA6A6D" w:rsidR="002B5BAC" w:rsidRPr="000D724B" w:rsidRDefault="002B5BAC" w:rsidP="002B5BAC">
      <w:pPr>
        <w:pStyle w:val="BodyTextSP"/>
        <w:spacing w:before="120" w:after="0"/>
        <w:rPr>
          <w:color w:val="auto"/>
        </w:rPr>
      </w:pPr>
      <w:r w:rsidRPr="000D724B">
        <w:rPr>
          <w:color w:val="auto"/>
        </w:rPr>
        <w:t xml:space="preserve">Department of Families, Housing, Community </w:t>
      </w:r>
      <w:proofErr w:type="gramStart"/>
      <w:r w:rsidRPr="000D724B">
        <w:rPr>
          <w:color w:val="auto"/>
        </w:rPr>
        <w:t>Services</w:t>
      </w:r>
      <w:proofErr w:type="gramEnd"/>
      <w:r w:rsidRPr="000D724B">
        <w:rPr>
          <w:color w:val="auto"/>
        </w:rPr>
        <w:t xml:space="preserve"> and Indigenous Affairs</w:t>
      </w:r>
      <w:r w:rsidR="006D35AA">
        <w:rPr>
          <w:color w:val="auto"/>
        </w:rPr>
        <w:t>.</w:t>
      </w:r>
      <w:r w:rsidRPr="000D724B">
        <w:rPr>
          <w:color w:val="auto"/>
        </w:rPr>
        <w:t xml:space="preserve"> </w:t>
      </w:r>
      <w:r w:rsidR="00E6598D">
        <w:rPr>
          <w:color w:val="auto"/>
        </w:rPr>
        <w:t>(</w:t>
      </w:r>
      <w:proofErr w:type="spellStart"/>
      <w:r w:rsidRPr="000D724B">
        <w:rPr>
          <w:color w:val="auto"/>
        </w:rPr>
        <w:t>FaHCSIA</w:t>
      </w:r>
      <w:proofErr w:type="spellEnd"/>
      <w:r w:rsidR="00E6598D">
        <w:rPr>
          <w:color w:val="auto"/>
        </w:rPr>
        <w:t>).</w:t>
      </w:r>
      <w:r w:rsidRPr="000D724B">
        <w:rPr>
          <w:color w:val="auto"/>
        </w:rPr>
        <w:t xml:space="preserve"> (n.d</w:t>
      </w:r>
      <w:r w:rsidR="0016405C">
        <w:rPr>
          <w:color w:val="auto"/>
        </w:rPr>
        <w:t>.</w:t>
      </w:r>
      <w:r w:rsidRPr="000D724B">
        <w:rPr>
          <w:color w:val="auto"/>
        </w:rPr>
        <w:t xml:space="preserve">). </w:t>
      </w:r>
      <w:r w:rsidRPr="000D724B">
        <w:rPr>
          <w:i/>
          <w:iCs/>
          <w:color w:val="auto"/>
        </w:rPr>
        <w:t>Inclusive Employment 2012-2022. A vision for supported employment</w:t>
      </w:r>
      <w:r w:rsidR="00E21AE8">
        <w:rPr>
          <w:i/>
          <w:iCs/>
          <w:color w:val="auto"/>
        </w:rPr>
        <w:t>.</w:t>
      </w:r>
      <w:r w:rsidRPr="000D724B">
        <w:rPr>
          <w:color w:val="auto"/>
        </w:rPr>
        <w:t xml:space="preserve"> </w:t>
      </w:r>
      <w:hyperlink r:id="rId19" w:history="1">
        <w:r w:rsidR="000A7FBC" w:rsidRPr="00BE2965">
          <w:rPr>
            <w:rStyle w:val="Hyperlink"/>
          </w:rPr>
          <w:t>https://www.dss.gov.au/sites/default/files/files/disability-and-carers/policy_research/aust_govt_vision_inclusive_employment.pdf</w:t>
        </w:r>
      </w:hyperlink>
      <w:r w:rsidR="000A7FBC">
        <w:rPr>
          <w:color w:val="auto"/>
        </w:rPr>
        <w:t xml:space="preserve"> </w:t>
      </w:r>
    </w:p>
    <w:p w14:paraId="4749C5BA" w14:textId="770ADF64" w:rsidR="002B5BAC" w:rsidRDefault="002B5BAC" w:rsidP="00BF013A">
      <w:pPr>
        <w:pStyle w:val="BodyTextSP"/>
        <w:spacing w:before="120" w:after="0"/>
        <w:rPr>
          <w:rStyle w:val="Hyperlink"/>
          <w:color w:val="auto"/>
        </w:rPr>
      </w:pPr>
      <w:r w:rsidRPr="000D724B">
        <w:rPr>
          <w:color w:val="auto"/>
        </w:rPr>
        <w:t xml:space="preserve">Department of Families, Community </w:t>
      </w:r>
      <w:proofErr w:type="gramStart"/>
      <w:r w:rsidRPr="000D724B">
        <w:rPr>
          <w:color w:val="auto"/>
        </w:rPr>
        <w:t>Services</w:t>
      </w:r>
      <w:proofErr w:type="gramEnd"/>
      <w:r w:rsidRPr="000D724B">
        <w:rPr>
          <w:color w:val="auto"/>
        </w:rPr>
        <w:t xml:space="preserve"> and Indigenous Affairs </w:t>
      </w:r>
      <w:r w:rsidR="00E6598D">
        <w:rPr>
          <w:color w:val="auto"/>
        </w:rPr>
        <w:t>(</w:t>
      </w:r>
      <w:proofErr w:type="spellStart"/>
      <w:r w:rsidR="00E6598D" w:rsidRPr="000D724B">
        <w:rPr>
          <w:color w:val="auto"/>
        </w:rPr>
        <w:t>FaHCSIA</w:t>
      </w:r>
      <w:proofErr w:type="spellEnd"/>
      <w:r w:rsidR="00E6598D">
        <w:rPr>
          <w:color w:val="auto"/>
        </w:rPr>
        <w:t>).</w:t>
      </w:r>
      <w:r w:rsidRPr="000D724B">
        <w:rPr>
          <w:color w:val="auto"/>
        </w:rPr>
        <w:t xml:space="preserve"> (2007). </w:t>
      </w:r>
      <w:r w:rsidRPr="000D724B">
        <w:rPr>
          <w:i/>
          <w:color w:val="auto"/>
        </w:rPr>
        <w:t>Australian Government Disability Services Census Report 2006</w:t>
      </w:r>
      <w:r w:rsidR="00853BB0">
        <w:rPr>
          <w:color w:val="auto"/>
        </w:rPr>
        <w:t>.</w:t>
      </w:r>
      <w:r w:rsidRPr="000D724B">
        <w:rPr>
          <w:color w:val="auto"/>
        </w:rPr>
        <w:t xml:space="preserve"> </w:t>
      </w:r>
      <w:hyperlink r:id="rId20" w:history="1">
        <w:r w:rsidR="00853BB0" w:rsidRPr="00BE2965">
          <w:rPr>
            <w:rStyle w:val="Hyperlink"/>
          </w:rPr>
          <w:t>https://www.dss.gov.au/sites/default/files/documents/05_2012/dsc_2006_report.pdf</w:t>
        </w:r>
      </w:hyperlink>
      <w:r w:rsidR="00853BB0">
        <w:rPr>
          <w:color w:val="auto"/>
        </w:rPr>
        <w:t xml:space="preserve"> </w:t>
      </w:r>
    </w:p>
    <w:p w14:paraId="713A9A4C" w14:textId="64E453BF" w:rsidR="00294788" w:rsidRPr="000D724B" w:rsidRDefault="00294788" w:rsidP="00BF013A">
      <w:pPr>
        <w:pStyle w:val="BodyTextSP"/>
        <w:spacing w:before="120" w:after="0"/>
        <w:rPr>
          <w:color w:val="auto"/>
        </w:rPr>
      </w:pPr>
      <w:r w:rsidRPr="000D724B">
        <w:rPr>
          <w:color w:val="auto"/>
        </w:rPr>
        <w:t xml:space="preserve">Department of Families, Community </w:t>
      </w:r>
      <w:proofErr w:type="gramStart"/>
      <w:r w:rsidRPr="000D724B">
        <w:rPr>
          <w:color w:val="auto"/>
        </w:rPr>
        <w:t>Services</w:t>
      </w:r>
      <w:proofErr w:type="gramEnd"/>
      <w:r w:rsidRPr="000D724B">
        <w:rPr>
          <w:color w:val="auto"/>
        </w:rPr>
        <w:t xml:space="preserve"> and Indigenous Affairs </w:t>
      </w:r>
      <w:r w:rsidR="00E6598D">
        <w:rPr>
          <w:color w:val="auto"/>
        </w:rPr>
        <w:t>(</w:t>
      </w:r>
      <w:proofErr w:type="spellStart"/>
      <w:r w:rsidR="00E6598D" w:rsidRPr="000D724B">
        <w:rPr>
          <w:color w:val="auto"/>
        </w:rPr>
        <w:t>FaHCSIA</w:t>
      </w:r>
      <w:proofErr w:type="spellEnd"/>
      <w:r w:rsidR="00E6598D">
        <w:rPr>
          <w:color w:val="auto"/>
        </w:rPr>
        <w:t>).</w:t>
      </w:r>
      <w:r w:rsidRPr="000D724B">
        <w:rPr>
          <w:color w:val="auto"/>
        </w:rPr>
        <w:t xml:space="preserve"> (200</w:t>
      </w:r>
      <w:r w:rsidR="00D51E4A" w:rsidRPr="000D724B">
        <w:rPr>
          <w:color w:val="auto"/>
        </w:rPr>
        <w:t>8</w:t>
      </w:r>
      <w:r w:rsidRPr="000D724B">
        <w:rPr>
          <w:color w:val="auto"/>
        </w:rPr>
        <w:t>)</w:t>
      </w:r>
      <w:r w:rsidR="00CB1937" w:rsidRPr="000D724B">
        <w:rPr>
          <w:color w:val="auto"/>
        </w:rPr>
        <w:t>.</w:t>
      </w:r>
      <w:r w:rsidRPr="000D724B">
        <w:rPr>
          <w:color w:val="auto"/>
        </w:rPr>
        <w:t xml:space="preserve"> </w:t>
      </w:r>
      <w:r w:rsidRPr="000D724B">
        <w:rPr>
          <w:i/>
          <w:color w:val="auto"/>
        </w:rPr>
        <w:t xml:space="preserve">Australian Government Disability Services Census </w:t>
      </w:r>
      <w:r w:rsidR="00D51E4A" w:rsidRPr="000D724B">
        <w:rPr>
          <w:i/>
          <w:color w:val="auto"/>
        </w:rPr>
        <w:t xml:space="preserve">Report </w:t>
      </w:r>
      <w:r w:rsidRPr="000D724B">
        <w:rPr>
          <w:i/>
          <w:color w:val="auto"/>
        </w:rPr>
        <w:t>2007</w:t>
      </w:r>
      <w:r w:rsidR="00853BB0">
        <w:rPr>
          <w:color w:val="auto"/>
        </w:rPr>
        <w:t>.</w:t>
      </w:r>
      <w:r w:rsidR="001B619C" w:rsidRPr="000D724B">
        <w:rPr>
          <w:color w:val="auto"/>
        </w:rPr>
        <w:t xml:space="preserve"> </w:t>
      </w:r>
      <w:hyperlink r:id="rId21" w:history="1">
        <w:r w:rsidR="00853BB0" w:rsidRPr="00BE2965">
          <w:rPr>
            <w:rStyle w:val="Hyperlink"/>
          </w:rPr>
          <w:t>https://www.dss.gov.au/sites/default/files/documents/05_2012/dsc2007.pdf</w:t>
        </w:r>
      </w:hyperlink>
      <w:r w:rsidR="00853BB0">
        <w:rPr>
          <w:color w:val="auto"/>
        </w:rPr>
        <w:t xml:space="preserve"> </w:t>
      </w:r>
      <w:r w:rsidR="001B619C" w:rsidRPr="000D724B">
        <w:rPr>
          <w:color w:val="auto"/>
        </w:rPr>
        <w:t xml:space="preserve"> </w:t>
      </w:r>
    </w:p>
    <w:p w14:paraId="58AAB769" w14:textId="58962208" w:rsidR="0016405C" w:rsidRPr="005C17E1" w:rsidRDefault="0016405C" w:rsidP="0016405C">
      <w:pPr>
        <w:pStyle w:val="BodyTextSP"/>
        <w:spacing w:before="120" w:after="0"/>
        <w:rPr>
          <w:color w:val="auto"/>
        </w:rPr>
      </w:pPr>
      <w:r w:rsidRPr="005C17E1">
        <w:rPr>
          <w:color w:val="auto"/>
        </w:rPr>
        <w:t>Department of Social Services (DSS). (2014</w:t>
      </w:r>
      <w:r w:rsidR="005C17E1">
        <w:rPr>
          <w:color w:val="auto"/>
        </w:rPr>
        <w:t>a</w:t>
      </w:r>
      <w:r w:rsidRPr="005C17E1">
        <w:rPr>
          <w:color w:val="auto"/>
        </w:rPr>
        <w:t xml:space="preserve">). </w:t>
      </w:r>
      <w:r w:rsidRPr="005C17E1">
        <w:rPr>
          <w:i/>
          <w:color w:val="auto"/>
        </w:rPr>
        <w:t>Australian Government Disability Services, 2008-09 Data Tables</w:t>
      </w:r>
      <w:r w:rsidR="005C17E1">
        <w:rPr>
          <w:i/>
          <w:color w:val="auto"/>
        </w:rPr>
        <w:t>.</w:t>
      </w:r>
      <w:r w:rsidRPr="005C17E1">
        <w:rPr>
          <w:color w:val="auto"/>
        </w:rPr>
        <w:t xml:space="preserve"> </w:t>
      </w:r>
      <w:hyperlink r:id="rId22" w:history="1">
        <w:r w:rsidR="005C17E1" w:rsidRPr="00BE2965">
          <w:rPr>
            <w:rStyle w:val="Hyperlink"/>
          </w:rPr>
          <w:t>https://www.dss.gov.au/sites/default/files/documents/05_2014/accessible_tables_08-09_feb2014_-_final_0.pdf</w:t>
        </w:r>
      </w:hyperlink>
      <w:r w:rsidR="005C17E1">
        <w:rPr>
          <w:color w:val="auto"/>
        </w:rPr>
        <w:t xml:space="preserve"> </w:t>
      </w:r>
    </w:p>
    <w:p w14:paraId="7AE1D421" w14:textId="0A26E9FD" w:rsidR="0016405C" w:rsidRPr="000D724B" w:rsidRDefault="0016405C" w:rsidP="0016405C">
      <w:pPr>
        <w:pStyle w:val="BodyTextSP"/>
        <w:spacing w:before="120" w:after="0"/>
        <w:rPr>
          <w:color w:val="auto"/>
        </w:rPr>
      </w:pPr>
      <w:r w:rsidRPr="005C17E1">
        <w:rPr>
          <w:color w:val="auto"/>
        </w:rPr>
        <w:t>Department of Social Services (DSS). (2014</w:t>
      </w:r>
      <w:r w:rsidR="005C17E1">
        <w:rPr>
          <w:color w:val="auto"/>
        </w:rPr>
        <w:t>b</w:t>
      </w:r>
      <w:r w:rsidRPr="005C17E1">
        <w:rPr>
          <w:color w:val="auto"/>
        </w:rPr>
        <w:t xml:space="preserve">). </w:t>
      </w:r>
      <w:r w:rsidRPr="005C17E1">
        <w:rPr>
          <w:i/>
          <w:color w:val="auto"/>
        </w:rPr>
        <w:t>Australian Government Disability Services, 2009-10 Data Tables</w:t>
      </w:r>
      <w:r w:rsidR="005C17E1">
        <w:rPr>
          <w:i/>
          <w:color w:val="auto"/>
        </w:rPr>
        <w:t>.</w:t>
      </w:r>
      <w:r w:rsidRPr="005C17E1">
        <w:rPr>
          <w:color w:val="auto"/>
        </w:rPr>
        <w:t xml:space="preserve"> </w:t>
      </w:r>
      <w:hyperlink r:id="rId23" w:history="1">
        <w:r w:rsidR="005C17E1" w:rsidRPr="00BE2965">
          <w:rPr>
            <w:rStyle w:val="Hyperlink"/>
          </w:rPr>
          <w:t>https://www.dss.gov.au/sites/default/files/documents/05_2014/accessible_tables_09-10_feb2014_-_final.pdf</w:t>
        </w:r>
      </w:hyperlink>
      <w:r w:rsidR="005C17E1">
        <w:rPr>
          <w:color w:val="auto"/>
        </w:rPr>
        <w:t xml:space="preserve"> </w:t>
      </w:r>
    </w:p>
    <w:bookmarkEnd w:id="0"/>
    <w:p w14:paraId="49A5DEFB" w14:textId="77777777" w:rsidR="00B360CD" w:rsidRPr="005641B2" w:rsidRDefault="00B360CD" w:rsidP="00B360CD">
      <w:pPr>
        <w:pStyle w:val="BodyTextSP"/>
        <w:spacing w:before="120" w:after="0"/>
        <w:rPr>
          <w:rFonts w:cstheme="minorHAnsi"/>
          <w:color w:val="auto"/>
        </w:rPr>
      </w:pPr>
      <w:r w:rsidRPr="005641B2">
        <w:rPr>
          <w:rFonts w:cstheme="minorHAnsi"/>
          <w:color w:val="auto"/>
        </w:rPr>
        <w:t>Department of Social Services</w:t>
      </w:r>
      <w:r>
        <w:rPr>
          <w:rFonts w:cstheme="minorHAnsi"/>
          <w:color w:val="auto"/>
        </w:rPr>
        <w:t xml:space="preserve"> (DSS).</w:t>
      </w:r>
      <w:r w:rsidRPr="005641B2">
        <w:rPr>
          <w:rFonts w:cstheme="minorHAnsi"/>
          <w:color w:val="auto"/>
        </w:rPr>
        <w:t xml:space="preserve"> (2017). </w:t>
      </w:r>
      <w:r w:rsidRPr="005641B2">
        <w:rPr>
          <w:rFonts w:cstheme="minorHAnsi"/>
          <w:i/>
          <w:iCs/>
          <w:color w:val="auto"/>
        </w:rPr>
        <w:t xml:space="preserve">Discussion </w:t>
      </w:r>
      <w:r>
        <w:rPr>
          <w:rFonts w:cstheme="minorHAnsi"/>
          <w:i/>
          <w:iCs/>
          <w:color w:val="auto"/>
        </w:rPr>
        <w:t>p</w:t>
      </w:r>
      <w:r w:rsidRPr="005641B2">
        <w:rPr>
          <w:rFonts w:cstheme="minorHAnsi"/>
          <w:i/>
          <w:iCs/>
          <w:color w:val="auto"/>
        </w:rPr>
        <w:t xml:space="preserve">aper. Ensuring a strong future for supported employment. </w:t>
      </w:r>
      <w:r w:rsidRPr="005641B2">
        <w:rPr>
          <w:rFonts w:cstheme="minorHAnsi"/>
          <w:color w:val="auto"/>
        </w:rPr>
        <w:t>Canberra: Commonwealth of Australia.</w:t>
      </w:r>
      <w:r>
        <w:rPr>
          <w:rFonts w:cstheme="minorHAnsi"/>
          <w:color w:val="auto"/>
        </w:rPr>
        <w:t xml:space="preserve"> </w:t>
      </w:r>
      <w:hyperlink r:id="rId24" w:history="1">
        <w:r w:rsidRPr="00F80395">
          <w:rPr>
            <w:rStyle w:val="Hyperlink"/>
            <w:rFonts w:cstheme="minorHAnsi"/>
          </w:rPr>
          <w:t>https://engage.dss.gov.au/wp-content/uploads/2017/12/discussion_paper_-_ensuring_a_strong_future_for_supported_employment.pdf</w:t>
        </w:r>
      </w:hyperlink>
      <w:r>
        <w:rPr>
          <w:rFonts w:cstheme="minorHAnsi"/>
          <w:color w:val="auto"/>
        </w:rPr>
        <w:t xml:space="preserve"> </w:t>
      </w:r>
    </w:p>
    <w:p w14:paraId="6FD7769A" w14:textId="28C2F8F0" w:rsidR="009C5F7D" w:rsidRPr="000D724B" w:rsidRDefault="009C5F7D" w:rsidP="00BF013A">
      <w:pPr>
        <w:pStyle w:val="BodyTextSP"/>
        <w:spacing w:before="120" w:after="0"/>
        <w:rPr>
          <w:color w:val="auto"/>
        </w:rPr>
      </w:pPr>
      <w:r w:rsidRPr="000D724B">
        <w:rPr>
          <w:color w:val="auto"/>
        </w:rPr>
        <w:lastRenderedPageBreak/>
        <w:t>Doherty, B.</w:t>
      </w:r>
      <w:r w:rsidR="006C70FC">
        <w:rPr>
          <w:color w:val="auto"/>
        </w:rPr>
        <w:t xml:space="preserve">, </w:t>
      </w:r>
      <w:r w:rsidRPr="000D724B">
        <w:rPr>
          <w:color w:val="auto"/>
        </w:rPr>
        <w:t>Haugh, H.</w:t>
      </w:r>
      <w:r w:rsidR="006C70FC">
        <w:rPr>
          <w:color w:val="auto"/>
        </w:rPr>
        <w:t>,</w:t>
      </w:r>
      <w:r w:rsidRPr="000D724B">
        <w:rPr>
          <w:color w:val="auto"/>
        </w:rPr>
        <w:t xml:space="preserve"> &amp; Lyon, F. (2014)</w:t>
      </w:r>
      <w:r w:rsidR="006C70FC">
        <w:rPr>
          <w:color w:val="auto"/>
        </w:rPr>
        <w:t>.</w:t>
      </w:r>
      <w:r w:rsidRPr="000D724B">
        <w:rPr>
          <w:color w:val="auto"/>
        </w:rPr>
        <w:t xml:space="preserve"> Social enterprises as hybrid organisations: A review and research agenda</w:t>
      </w:r>
      <w:r w:rsidR="006C70FC">
        <w:rPr>
          <w:color w:val="auto"/>
        </w:rPr>
        <w:t>.</w:t>
      </w:r>
      <w:r w:rsidRPr="000D724B">
        <w:rPr>
          <w:color w:val="auto"/>
        </w:rPr>
        <w:t xml:space="preserve"> </w:t>
      </w:r>
      <w:r w:rsidRPr="000D724B">
        <w:rPr>
          <w:i/>
          <w:iCs/>
          <w:color w:val="auto"/>
        </w:rPr>
        <w:t>Journal of Management Reviews, Vol 16</w:t>
      </w:r>
      <w:r w:rsidR="00181445" w:rsidRPr="00664FEC">
        <w:rPr>
          <w:color w:val="auto"/>
        </w:rPr>
        <w:t>(4),</w:t>
      </w:r>
      <w:r w:rsidRPr="000D724B">
        <w:rPr>
          <w:color w:val="auto"/>
        </w:rPr>
        <w:t xml:space="preserve"> 417-436.</w:t>
      </w:r>
      <w:r w:rsidR="00181445">
        <w:rPr>
          <w:color w:val="auto"/>
        </w:rPr>
        <w:t xml:space="preserve"> </w:t>
      </w:r>
      <w:hyperlink r:id="rId25" w:history="1">
        <w:r w:rsidR="00181445" w:rsidRPr="00BE2965">
          <w:rPr>
            <w:rStyle w:val="Hyperlink"/>
          </w:rPr>
          <w:t>https://doi.org/10.1111/ijmr.12028</w:t>
        </w:r>
      </w:hyperlink>
      <w:r w:rsidR="00181445">
        <w:rPr>
          <w:color w:val="auto"/>
        </w:rPr>
        <w:t xml:space="preserve"> </w:t>
      </w:r>
    </w:p>
    <w:p w14:paraId="57394AA2" w14:textId="3F9009C4" w:rsidR="00500A8A" w:rsidRPr="000D724B" w:rsidRDefault="00500A8A" w:rsidP="00BF013A">
      <w:pPr>
        <w:pStyle w:val="BodyTextSP"/>
        <w:spacing w:before="120" w:after="0"/>
        <w:rPr>
          <w:color w:val="auto"/>
        </w:rPr>
      </w:pPr>
      <w:r w:rsidRPr="000D724B">
        <w:rPr>
          <w:color w:val="auto"/>
        </w:rPr>
        <w:t>Health Outcomes International</w:t>
      </w:r>
      <w:r w:rsidR="006C70FC">
        <w:rPr>
          <w:color w:val="auto"/>
        </w:rPr>
        <w:t>.</w:t>
      </w:r>
      <w:r w:rsidRPr="000D724B">
        <w:rPr>
          <w:color w:val="auto"/>
        </w:rPr>
        <w:t xml:space="preserve"> (2001). </w:t>
      </w:r>
      <w:r w:rsidRPr="000D724B">
        <w:rPr>
          <w:i/>
          <w:iCs/>
          <w:color w:val="auto"/>
        </w:rPr>
        <w:t>Research i</w:t>
      </w:r>
      <w:r w:rsidR="00305C64" w:rsidRPr="000D724B">
        <w:rPr>
          <w:i/>
          <w:iCs/>
          <w:color w:val="auto"/>
        </w:rPr>
        <w:t>nto pro-rata wage assessment tools for people working in business services</w:t>
      </w:r>
      <w:r w:rsidRPr="000D724B">
        <w:rPr>
          <w:i/>
          <w:iCs/>
          <w:color w:val="auto"/>
        </w:rPr>
        <w:t xml:space="preserve">. Discussion </w:t>
      </w:r>
      <w:r w:rsidR="00305C64" w:rsidRPr="000D724B">
        <w:rPr>
          <w:i/>
          <w:iCs/>
          <w:color w:val="auto"/>
        </w:rPr>
        <w:t>paper</w:t>
      </w:r>
      <w:r w:rsidRPr="000D724B">
        <w:rPr>
          <w:i/>
          <w:iCs/>
          <w:color w:val="auto"/>
        </w:rPr>
        <w:t>.</w:t>
      </w:r>
      <w:r w:rsidRPr="000D724B">
        <w:rPr>
          <w:color w:val="auto"/>
        </w:rPr>
        <w:t xml:space="preserve"> Department of Family and Community Services, Commonwealth of Australia.</w:t>
      </w:r>
    </w:p>
    <w:p w14:paraId="46E173FE" w14:textId="6792D6ED" w:rsidR="005364E5" w:rsidRPr="000D724B" w:rsidRDefault="005364E5" w:rsidP="00BF013A">
      <w:pPr>
        <w:pStyle w:val="BodyTextSP"/>
        <w:spacing w:before="120" w:after="0"/>
        <w:rPr>
          <w:color w:val="auto"/>
        </w:rPr>
      </w:pPr>
      <w:r w:rsidRPr="000D724B">
        <w:rPr>
          <w:color w:val="auto"/>
        </w:rPr>
        <w:t>Kong, E., Bishop, S., &amp; Iles, E. (2018). Social enterprise and CALD refugee settlement experience. In</w:t>
      </w:r>
      <w:r w:rsidR="00824CCA" w:rsidRPr="000D724B">
        <w:rPr>
          <w:color w:val="auto"/>
        </w:rPr>
        <w:t xml:space="preserve"> </w:t>
      </w:r>
      <w:r w:rsidR="00FB44BF">
        <w:rPr>
          <w:color w:val="auto"/>
        </w:rPr>
        <w:t xml:space="preserve">E. N. </w:t>
      </w:r>
      <w:proofErr w:type="spellStart"/>
      <w:r w:rsidRPr="000D724B">
        <w:rPr>
          <w:color w:val="auto"/>
        </w:rPr>
        <w:t>Shé</w:t>
      </w:r>
      <w:proofErr w:type="spellEnd"/>
      <w:r w:rsidRPr="000D724B">
        <w:rPr>
          <w:color w:val="auto"/>
        </w:rPr>
        <w:t xml:space="preserve">, </w:t>
      </w:r>
      <w:r w:rsidR="00A35296">
        <w:rPr>
          <w:color w:val="auto"/>
        </w:rPr>
        <w:t xml:space="preserve">L. J. </w:t>
      </w:r>
      <w:r w:rsidRPr="000D724B">
        <w:rPr>
          <w:color w:val="auto"/>
        </w:rPr>
        <w:t>Burton</w:t>
      </w:r>
      <w:r w:rsidR="00A35296">
        <w:rPr>
          <w:color w:val="auto"/>
        </w:rPr>
        <w:t>,</w:t>
      </w:r>
      <w:r w:rsidRPr="000D724B">
        <w:rPr>
          <w:color w:val="auto"/>
        </w:rPr>
        <w:t xml:space="preserve"> &amp; </w:t>
      </w:r>
      <w:r w:rsidR="00A35296">
        <w:rPr>
          <w:color w:val="auto"/>
        </w:rPr>
        <w:t xml:space="preserve">P. A. </w:t>
      </w:r>
      <w:r w:rsidRPr="000D724B">
        <w:rPr>
          <w:color w:val="auto"/>
        </w:rPr>
        <w:t xml:space="preserve">Danaher (Eds.), </w:t>
      </w:r>
      <w:r w:rsidRPr="000D724B">
        <w:rPr>
          <w:i/>
          <w:color w:val="auto"/>
        </w:rPr>
        <w:t xml:space="preserve">Social </w:t>
      </w:r>
      <w:r w:rsidR="00E71710" w:rsidRPr="000D724B">
        <w:rPr>
          <w:i/>
          <w:color w:val="auto"/>
        </w:rPr>
        <w:t>capital and enterprise in the modern state</w:t>
      </w:r>
      <w:r w:rsidR="00E71710" w:rsidRPr="000D724B">
        <w:rPr>
          <w:color w:val="auto"/>
        </w:rPr>
        <w:t xml:space="preserve"> </w:t>
      </w:r>
      <w:r w:rsidRPr="000D724B">
        <w:rPr>
          <w:color w:val="auto"/>
        </w:rPr>
        <w:t xml:space="preserve">(pp. 203-225). Palgrave </w:t>
      </w:r>
      <w:proofErr w:type="spellStart"/>
      <w:r w:rsidRPr="000D724B">
        <w:rPr>
          <w:color w:val="auto"/>
        </w:rPr>
        <w:t>Macmillian</w:t>
      </w:r>
      <w:proofErr w:type="spellEnd"/>
      <w:r w:rsidRPr="000D724B">
        <w:rPr>
          <w:color w:val="auto"/>
        </w:rPr>
        <w:t xml:space="preserve">. </w:t>
      </w:r>
      <w:hyperlink r:id="rId26" w:history="1">
        <w:r w:rsidR="00664FEC" w:rsidRPr="00BE2965">
          <w:rPr>
            <w:rStyle w:val="Hyperlink"/>
          </w:rPr>
          <w:t>https://doi.org/10.1007/978-3-319-68115-3</w:t>
        </w:r>
      </w:hyperlink>
      <w:r w:rsidR="00664FEC">
        <w:rPr>
          <w:color w:val="auto"/>
        </w:rPr>
        <w:t xml:space="preserve"> </w:t>
      </w:r>
    </w:p>
    <w:p w14:paraId="32B38E15" w14:textId="46438F93" w:rsidR="00017B5C" w:rsidRPr="000D724B" w:rsidRDefault="00017B5C" w:rsidP="00BF013A">
      <w:pPr>
        <w:pStyle w:val="BodyTextSP"/>
        <w:spacing w:before="120" w:after="0"/>
        <w:rPr>
          <w:color w:val="auto"/>
        </w:rPr>
      </w:pPr>
      <w:r w:rsidRPr="000D724B">
        <w:rPr>
          <w:color w:val="auto"/>
        </w:rPr>
        <w:t>KPMG</w:t>
      </w:r>
      <w:r w:rsidR="006C70FC">
        <w:rPr>
          <w:color w:val="auto"/>
        </w:rPr>
        <w:t>.</w:t>
      </w:r>
      <w:r w:rsidRPr="000D724B">
        <w:rPr>
          <w:color w:val="auto"/>
        </w:rPr>
        <w:t xml:space="preserve"> (2015). </w:t>
      </w:r>
      <w:r w:rsidRPr="000D724B">
        <w:rPr>
          <w:i/>
          <w:color w:val="auto"/>
        </w:rPr>
        <w:t>Assessing the impact of increasing wage costs on Australian Disability Enterprises</w:t>
      </w:r>
      <w:r w:rsidRPr="000D724B">
        <w:rPr>
          <w:color w:val="auto"/>
        </w:rPr>
        <w:t xml:space="preserve">. </w:t>
      </w:r>
      <w:hyperlink r:id="rId27" w:history="1">
        <w:r w:rsidR="0030666A" w:rsidRPr="00BE2965">
          <w:rPr>
            <w:rStyle w:val="Hyperlink"/>
          </w:rPr>
          <w:t>https://humanrights.gov.au/sites/default/files/NDS%20Financial%20Information.pdf</w:t>
        </w:r>
      </w:hyperlink>
      <w:r w:rsidR="0030666A">
        <w:rPr>
          <w:color w:val="auto"/>
        </w:rPr>
        <w:t xml:space="preserve"> </w:t>
      </w:r>
    </w:p>
    <w:p w14:paraId="5AF58303" w14:textId="2FE5211F" w:rsidR="00142C7A" w:rsidRPr="000D724B" w:rsidRDefault="00142C7A" w:rsidP="00BF013A">
      <w:pPr>
        <w:pStyle w:val="BodyTextSP"/>
        <w:spacing w:before="120" w:after="0"/>
        <w:rPr>
          <w:color w:val="auto"/>
        </w:rPr>
      </w:pPr>
      <w:r w:rsidRPr="000D724B">
        <w:rPr>
          <w:color w:val="auto"/>
        </w:rPr>
        <w:t>NDIA</w:t>
      </w:r>
      <w:r w:rsidR="00D63EBF">
        <w:rPr>
          <w:color w:val="auto"/>
        </w:rPr>
        <w:t>.</w:t>
      </w:r>
      <w:r w:rsidRPr="000D724B">
        <w:rPr>
          <w:color w:val="auto"/>
        </w:rPr>
        <w:t xml:space="preserve"> (2019a)</w:t>
      </w:r>
      <w:r w:rsidR="00583B9C" w:rsidRPr="000D724B">
        <w:rPr>
          <w:color w:val="auto"/>
        </w:rPr>
        <w:t>.</w:t>
      </w:r>
      <w:r w:rsidRPr="000D724B">
        <w:rPr>
          <w:i/>
          <w:iCs/>
          <w:color w:val="auto"/>
        </w:rPr>
        <w:t xml:space="preserve"> People with an intellectual disability in the NDIS 31 December 2019 – data tables</w:t>
      </w:r>
      <w:r w:rsidR="00D63EBF">
        <w:rPr>
          <w:i/>
          <w:iCs/>
          <w:color w:val="auto"/>
        </w:rPr>
        <w:t>.</w:t>
      </w:r>
      <w:r w:rsidRPr="000D724B">
        <w:rPr>
          <w:color w:val="auto"/>
        </w:rPr>
        <w:t xml:space="preserve"> </w:t>
      </w:r>
      <w:hyperlink r:id="rId28" w:history="1">
        <w:r w:rsidR="00D63EBF" w:rsidRPr="00BE2965">
          <w:rPr>
            <w:rStyle w:val="Hyperlink"/>
          </w:rPr>
          <w:t>https://data.ndis.gov.au/reports-and-analyses/participant-groups/people-intellectual-disability-ndis</w:t>
        </w:r>
      </w:hyperlink>
      <w:r w:rsidR="00D63EBF">
        <w:rPr>
          <w:color w:val="auto"/>
        </w:rPr>
        <w:t xml:space="preserve"> </w:t>
      </w:r>
    </w:p>
    <w:p w14:paraId="17AFFA2F" w14:textId="40899CB4" w:rsidR="00142C7A" w:rsidRPr="000D724B" w:rsidRDefault="00142C7A" w:rsidP="00BF013A">
      <w:pPr>
        <w:pStyle w:val="BodyTextSP"/>
        <w:spacing w:before="120" w:after="0"/>
        <w:rPr>
          <w:color w:val="auto"/>
        </w:rPr>
      </w:pPr>
      <w:r w:rsidRPr="000D724B">
        <w:rPr>
          <w:color w:val="auto"/>
        </w:rPr>
        <w:t>NDIA</w:t>
      </w:r>
      <w:r w:rsidR="00D63EBF">
        <w:rPr>
          <w:color w:val="auto"/>
        </w:rPr>
        <w:t>.</w:t>
      </w:r>
      <w:r w:rsidRPr="000D724B">
        <w:rPr>
          <w:color w:val="auto"/>
        </w:rPr>
        <w:t xml:space="preserve"> (2019b)</w:t>
      </w:r>
      <w:r w:rsidR="00583B9C" w:rsidRPr="000D724B">
        <w:rPr>
          <w:color w:val="auto"/>
        </w:rPr>
        <w:t>.</w:t>
      </w:r>
      <w:r w:rsidRPr="000D724B">
        <w:rPr>
          <w:i/>
          <w:iCs/>
          <w:color w:val="auto"/>
        </w:rPr>
        <w:t xml:space="preserve"> People with an intellectual disability in the NDIS, 31 December 2019 (report)</w:t>
      </w:r>
      <w:r w:rsidR="00D63EBF">
        <w:rPr>
          <w:i/>
          <w:iCs/>
          <w:color w:val="auto"/>
        </w:rPr>
        <w:t>.</w:t>
      </w:r>
      <w:r w:rsidRPr="000D724B">
        <w:rPr>
          <w:color w:val="auto"/>
        </w:rPr>
        <w:t xml:space="preserve"> </w:t>
      </w:r>
      <w:hyperlink r:id="rId29" w:history="1">
        <w:r w:rsidR="00D63EBF" w:rsidRPr="00BE2965">
          <w:rPr>
            <w:rStyle w:val="Hyperlink"/>
          </w:rPr>
          <w:t>https://data.ndis.gov.au/reports-and-analyses/participant-groups/people-intellectual-disability-ndis</w:t>
        </w:r>
      </w:hyperlink>
      <w:r w:rsidR="00D63EBF">
        <w:rPr>
          <w:color w:val="auto"/>
        </w:rPr>
        <w:t xml:space="preserve"> </w:t>
      </w:r>
    </w:p>
    <w:p w14:paraId="2EBDA040" w14:textId="5A428703" w:rsidR="006C70FC" w:rsidRDefault="00142C7A" w:rsidP="006C70FC">
      <w:pPr>
        <w:pStyle w:val="BodyTextSP"/>
        <w:spacing w:before="120" w:after="0"/>
        <w:rPr>
          <w:color w:val="auto"/>
        </w:rPr>
      </w:pPr>
      <w:bookmarkStart w:id="1" w:name="_Hlk118629971"/>
      <w:r w:rsidRPr="000D724B">
        <w:rPr>
          <w:color w:val="auto"/>
        </w:rPr>
        <w:t>NDIA</w:t>
      </w:r>
      <w:r w:rsidR="00D63EBF">
        <w:rPr>
          <w:color w:val="auto"/>
        </w:rPr>
        <w:t>.</w:t>
      </w:r>
      <w:r w:rsidRPr="000D724B">
        <w:rPr>
          <w:color w:val="auto"/>
        </w:rPr>
        <w:t xml:space="preserve"> (2020)</w:t>
      </w:r>
      <w:r w:rsidR="00583B9C" w:rsidRPr="000D724B">
        <w:rPr>
          <w:color w:val="auto"/>
        </w:rPr>
        <w:t>.</w:t>
      </w:r>
      <w:r w:rsidRPr="000D724B">
        <w:rPr>
          <w:color w:val="auto"/>
        </w:rPr>
        <w:t xml:space="preserve"> </w:t>
      </w:r>
      <w:r w:rsidRPr="000D724B">
        <w:rPr>
          <w:i/>
          <w:iCs/>
          <w:color w:val="auto"/>
        </w:rPr>
        <w:t xml:space="preserve">Employment outcomes for NDIS participants, as </w:t>
      </w:r>
      <w:proofErr w:type="gramStart"/>
      <w:r w:rsidRPr="000D724B">
        <w:rPr>
          <w:i/>
          <w:iCs/>
          <w:color w:val="auto"/>
        </w:rPr>
        <w:t>at</w:t>
      </w:r>
      <w:proofErr w:type="gramEnd"/>
      <w:r w:rsidRPr="000D724B">
        <w:rPr>
          <w:i/>
          <w:iCs/>
          <w:color w:val="auto"/>
        </w:rPr>
        <w:t xml:space="preserve"> 21 December 2020</w:t>
      </w:r>
      <w:r w:rsidR="004168C0">
        <w:rPr>
          <w:i/>
          <w:iCs/>
          <w:color w:val="auto"/>
        </w:rPr>
        <w:t>.</w:t>
      </w:r>
      <w:r w:rsidRPr="000D724B">
        <w:rPr>
          <w:i/>
          <w:iCs/>
          <w:color w:val="auto"/>
        </w:rPr>
        <w:t xml:space="preserve"> </w:t>
      </w:r>
      <w:hyperlink r:id="rId30" w:history="1">
        <w:r w:rsidR="004168C0" w:rsidRPr="00BE2965">
          <w:rPr>
            <w:rStyle w:val="Hyperlink"/>
          </w:rPr>
          <w:t>https://data.ndis.gov.au/reports-and-analyses/outcomes-and-goals/employment-outcomes-participants-their-families-and-carers</w:t>
        </w:r>
      </w:hyperlink>
      <w:r w:rsidR="004168C0">
        <w:rPr>
          <w:color w:val="auto"/>
        </w:rPr>
        <w:t xml:space="preserve"> </w:t>
      </w:r>
    </w:p>
    <w:p w14:paraId="0CB6684D" w14:textId="698FA50D" w:rsidR="006C70FC" w:rsidRPr="000D724B" w:rsidRDefault="006C70FC" w:rsidP="006C70FC">
      <w:pPr>
        <w:pStyle w:val="BodyTextSP"/>
        <w:spacing w:before="120" w:after="0"/>
        <w:rPr>
          <w:color w:val="auto"/>
        </w:rPr>
      </w:pPr>
      <w:r w:rsidRPr="000D724B">
        <w:rPr>
          <w:color w:val="auto"/>
        </w:rPr>
        <w:t>NDIA</w:t>
      </w:r>
      <w:r>
        <w:rPr>
          <w:color w:val="auto"/>
        </w:rPr>
        <w:t>.</w:t>
      </w:r>
      <w:r w:rsidRPr="000D724B">
        <w:rPr>
          <w:color w:val="auto"/>
        </w:rPr>
        <w:t xml:space="preserve"> (2022). </w:t>
      </w:r>
      <w:r w:rsidRPr="000D724B">
        <w:rPr>
          <w:i/>
          <w:iCs/>
          <w:color w:val="auto"/>
        </w:rPr>
        <w:t>NDIS Pricing Arrangements and Price Limits 2022-23</w:t>
      </w:r>
      <w:r w:rsidR="004168C0">
        <w:rPr>
          <w:color w:val="auto"/>
        </w:rPr>
        <w:t>.</w:t>
      </w:r>
      <w:r w:rsidRPr="000D724B">
        <w:rPr>
          <w:color w:val="auto"/>
        </w:rPr>
        <w:t xml:space="preserve"> </w:t>
      </w:r>
      <w:hyperlink r:id="rId31" w:history="1">
        <w:r w:rsidR="004168C0" w:rsidRPr="00BE2965">
          <w:rPr>
            <w:rStyle w:val="Hyperlink"/>
          </w:rPr>
          <w:t>https://www.ndis.gov.au/providers/pricing-arrangements</w:t>
        </w:r>
      </w:hyperlink>
      <w:r w:rsidR="004168C0">
        <w:rPr>
          <w:color w:val="auto"/>
        </w:rPr>
        <w:t xml:space="preserve"> </w:t>
      </w:r>
    </w:p>
    <w:bookmarkEnd w:id="1"/>
    <w:p w14:paraId="099F811B" w14:textId="7A022925" w:rsidR="00DB6DAA" w:rsidRPr="000D724B" w:rsidRDefault="00DB6DAA" w:rsidP="00BF013A">
      <w:pPr>
        <w:spacing w:before="120" w:line="276" w:lineRule="auto"/>
        <w:ind w:left="510" w:hanging="510"/>
        <w:rPr>
          <w:rFonts w:asciiTheme="minorHAnsi" w:hAnsiTheme="minorHAnsi" w:cstheme="minorHAnsi"/>
        </w:rPr>
      </w:pPr>
      <w:r w:rsidRPr="000D724B">
        <w:rPr>
          <w:rFonts w:asciiTheme="minorHAnsi" w:hAnsiTheme="minorHAnsi" w:cstheme="minorHAnsi"/>
        </w:rPr>
        <w:t>N</w:t>
      </w:r>
      <w:r w:rsidR="00DA6EB5" w:rsidRPr="000D724B">
        <w:rPr>
          <w:rFonts w:asciiTheme="minorHAnsi" w:hAnsiTheme="minorHAnsi" w:cstheme="minorHAnsi"/>
        </w:rPr>
        <w:t>ational Disability Ser</w:t>
      </w:r>
      <w:r w:rsidR="00DC6FD8" w:rsidRPr="000D724B">
        <w:rPr>
          <w:rFonts w:asciiTheme="minorHAnsi" w:hAnsiTheme="minorHAnsi" w:cstheme="minorHAnsi"/>
        </w:rPr>
        <w:t xml:space="preserve">vice </w:t>
      </w:r>
      <w:r w:rsidR="00403568">
        <w:rPr>
          <w:rFonts w:asciiTheme="minorHAnsi" w:hAnsiTheme="minorHAnsi" w:cstheme="minorHAnsi"/>
        </w:rPr>
        <w:t>(</w:t>
      </w:r>
      <w:r w:rsidR="00DC6FD8" w:rsidRPr="000D724B">
        <w:rPr>
          <w:rFonts w:asciiTheme="minorHAnsi" w:hAnsiTheme="minorHAnsi" w:cstheme="minorHAnsi"/>
        </w:rPr>
        <w:t>NDS</w:t>
      </w:r>
      <w:r w:rsidR="00403568">
        <w:rPr>
          <w:rFonts w:asciiTheme="minorHAnsi" w:hAnsiTheme="minorHAnsi" w:cstheme="minorHAnsi"/>
        </w:rPr>
        <w:t>)</w:t>
      </w:r>
      <w:r w:rsidR="00D76625">
        <w:rPr>
          <w:rFonts w:asciiTheme="minorHAnsi" w:hAnsiTheme="minorHAnsi" w:cstheme="minorHAnsi"/>
        </w:rPr>
        <w:t>.</w:t>
      </w:r>
      <w:r w:rsidR="00510148" w:rsidRPr="000D724B">
        <w:rPr>
          <w:rFonts w:asciiTheme="minorHAnsi" w:hAnsiTheme="minorHAnsi" w:cstheme="minorHAnsi"/>
        </w:rPr>
        <w:t xml:space="preserve"> (n.d</w:t>
      </w:r>
      <w:r w:rsidR="00D76625">
        <w:rPr>
          <w:rFonts w:asciiTheme="minorHAnsi" w:hAnsiTheme="minorHAnsi" w:cstheme="minorHAnsi"/>
        </w:rPr>
        <w:t>.</w:t>
      </w:r>
      <w:r w:rsidR="00510148" w:rsidRPr="000D724B">
        <w:rPr>
          <w:rFonts w:asciiTheme="minorHAnsi" w:hAnsiTheme="minorHAnsi" w:cstheme="minorHAnsi"/>
        </w:rPr>
        <w:t xml:space="preserve">). </w:t>
      </w:r>
      <w:r w:rsidR="00510148" w:rsidRPr="000D724B">
        <w:rPr>
          <w:rFonts w:asciiTheme="minorHAnsi" w:hAnsiTheme="minorHAnsi" w:cstheme="minorHAnsi"/>
          <w:i/>
        </w:rPr>
        <w:t>Vision Survey 2020-21 Data Analysis</w:t>
      </w:r>
      <w:r w:rsidR="00510148" w:rsidRPr="000D724B">
        <w:rPr>
          <w:rFonts w:asciiTheme="minorHAnsi" w:hAnsiTheme="minorHAnsi" w:cstheme="minorHAnsi"/>
        </w:rPr>
        <w:t xml:space="preserve">. </w:t>
      </w:r>
    </w:p>
    <w:p w14:paraId="006024C1" w14:textId="74687325" w:rsidR="004168C0" w:rsidRDefault="005069F7" w:rsidP="00BF013A">
      <w:pPr>
        <w:spacing w:before="120" w:line="276" w:lineRule="auto"/>
        <w:ind w:left="510" w:hanging="510"/>
        <w:rPr>
          <w:rStyle w:val="Hyperlink"/>
          <w:rFonts w:asciiTheme="minorHAnsi" w:eastAsiaTheme="minorEastAsia" w:hAnsiTheme="minorHAnsi" w:cstheme="minorBidi"/>
          <w:color w:val="auto"/>
          <w:szCs w:val="20"/>
          <w:u w:val="none"/>
          <w:lang w:val="en-US" w:bidi="ar-SA"/>
        </w:rPr>
      </w:pPr>
      <w:proofErr w:type="spellStart"/>
      <w:r w:rsidRPr="004168C0">
        <w:rPr>
          <w:rFonts w:asciiTheme="minorHAnsi" w:eastAsiaTheme="minorHAnsi" w:hAnsiTheme="minorHAnsi" w:cstheme="minorHAnsi"/>
        </w:rPr>
        <w:t>Nockolds</w:t>
      </w:r>
      <w:proofErr w:type="spellEnd"/>
      <w:r w:rsidRPr="004168C0">
        <w:rPr>
          <w:rFonts w:asciiTheme="minorHAnsi" w:eastAsiaTheme="minorHAnsi" w:hAnsiTheme="minorHAnsi" w:cstheme="minorHAnsi"/>
        </w:rPr>
        <w:t xml:space="preserve">, D. (2012). </w:t>
      </w:r>
      <w:r w:rsidRPr="004168C0">
        <w:rPr>
          <w:rFonts w:asciiTheme="minorHAnsi" w:eastAsiaTheme="minorHAnsi" w:hAnsiTheme="minorHAnsi" w:cstheme="minorHAnsi"/>
          <w:i/>
        </w:rPr>
        <w:t>Exploring success for intermediate labour market social enterprises: A literature</w:t>
      </w:r>
      <w:r w:rsidR="002F235A" w:rsidRPr="004168C0">
        <w:rPr>
          <w:rFonts w:asciiTheme="minorHAnsi" w:hAnsiTheme="minorHAnsi" w:cstheme="minorHAnsi"/>
          <w:i/>
          <w:iCs/>
        </w:rPr>
        <w:t xml:space="preserve"> </w:t>
      </w:r>
      <w:r w:rsidRPr="004168C0">
        <w:rPr>
          <w:rFonts w:asciiTheme="minorHAnsi" w:eastAsiaTheme="minorHAnsi" w:hAnsiTheme="minorHAnsi" w:cstheme="minorHAnsi"/>
          <w:i/>
        </w:rPr>
        <w:t>review</w:t>
      </w:r>
      <w:r w:rsidRPr="004168C0">
        <w:rPr>
          <w:rFonts w:asciiTheme="minorHAnsi" w:eastAsiaTheme="minorHAnsi" w:hAnsiTheme="minorHAnsi" w:cstheme="minorHAnsi"/>
        </w:rPr>
        <w:t>. Brotherhood of St Laurence.</w:t>
      </w:r>
      <w:r w:rsidR="002F235A" w:rsidRPr="004168C0">
        <w:rPr>
          <w:rFonts w:asciiTheme="minorHAnsi" w:hAnsiTheme="minorHAnsi" w:cstheme="minorHAnsi"/>
        </w:rPr>
        <w:t xml:space="preserve"> </w:t>
      </w:r>
      <w:hyperlink r:id="rId32" w:history="1">
        <w:r w:rsidR="0030666A" w:rsidRPr="00BE2965">
          <w:rPr>
            <w:rStyle w:val="Hyperlink"/>
            <w:rFonts w:asciiTheme="minorHAnsi" w:eastAsiaTheme="minorEastAsia" w:hAnsiTheme="minorHAnsi" w:cstheme="minorBidi"/>
            <w:szCs w:val="20"/>
            <w:lang w:val="en-US" w:bidi="ar-SA"/>
          </w:rPr>
          <w:t>https://library.bsl.org.au/jspui/bitstream/1/6185/1/Nockolds_Exploring_success_intermed_labour_market_soc_enterprises_lit_review_2012.pdf</w:t>
        </w:r>
      </w:hyperlink>
      <w:r w:rsidR="0030666A">
        <w:rPr>
          <w:rStyle w:val="Hyperlink"/>
          <w:rFonts w:asciiTheme="minorHAnsi" w:eastAsiaTheme="minorEastAsia" w:hAnsiTheme="minorHAnsi" w:cstheme="minorBidi"/>
          <w:color w:val="auto"/>
          <w:szCs w:val="20"/>
          <w:u w:val="none"/>
          <w:lang w:val="en-US" w:bidi="ar-SA"/>
        </w:rPr>
        <w:t xml:space="preserve"> </w:t>
      </w:r>
    </w:p>
    <w:p w14:paraId="748F74DD" w14:textId="387F22A0" w:rsidR="00B0180D" w:rsidRPr="000D724B" w:rsidRDefault="00B0180D" w:rsidP="00BF013A">
      <w:pPr>
        <w:spacing w:before="120" w:line="276" w:lineRule="auto"/>
        <w:ind w:left="510" w:hanging="510"/>
        <w:rPr>
          <w:rFonts w:asciiTheme="minorHAnsi" w:hAnsiTheme="minorHAnsi" w:cstheme="minorHAnsi"/>
        </w:rPr>
      </w:pPr>
      <w:r w:rsidRPr="000D724B">
        <w:rPr>
          <w:rFonts w:asciiTheme="minorHAnsi" w:hAnsiTheme="minorHAnsi" w:cstheme="minorHAnsi"/>
        </w:rPr>
        <w:t>Productivity Commission</w:t>
      </w:r>
      <w:r w:rsidR="00935EC2">
        <w:rPr>
          <w:rFonts w:asciiTheme="minorHAnsi" w:hAnsiTheme="minorHAnsi" w:cstheme="minorHAnsi"/>
        </w:rPr>
        <w:t>.</w:t>
      </w:r>
      <w:r w:rsidRPr="000D724B">
        <w:rPr>
          <w:rFonts w:asciiTheme="minorHAnsi" w:hAnsiTheme="minorHAnsi" w:cstheme="minorHAnsi"/>
        </w:rPr>
        <w:t xml:space="preserve"> (2021)</w:t>
      </w:r>
      <w:r w:rsidR="00935EC2">
        <w:rPr>
          <w:rFonts w:asciiTheme="minorHAnsi" w:hAnsiTheme="minorHAnsi" w:cstheme="minorHAnsi"/>
        </w:rPr>
        <w:t>.</w:t>
      </w:r>
      <w:r w:rsidRPr="000D724B">
        <w:rPr>
          <w:rFonts w:asciiTheme="minorHAnsi" w:hAnsiTheme="minorHAnsi" w:cstheme="minorHAnsi"/>
        </w:rPr>
        <w:t xml:space="preserve"> </w:t>
      </w:r>
      <w:r w:rsidRPr="000D724B">
        <w:rPr>
          <w:rFonts w:asciiTheme="minorHAnsi" w:hAnsiTheme="minorHAnsi" w:cstheme="minorHAnsi"/>
          <w:i/>
          <w:iCs/>
        </w:rPr>
        <w:t>Report on Government Services 2021. Part F. Section 15 Services for people with disability.</w:t>
      </w:r>
      <w:r w:rsidRPr="000D724B">
        <w:rPr>
          <w:rFonts w:asciiTheme="minorHAnsi" w:hAnsiTheme="minorHAnsi" w:cstheme="minorHAnsi"/>
        </w:rPr>
        <w:t xml:space="preserve"> </w:t>
      </w:r>
      <w:hyperlink r:id="rId33" w:history="1">
        <w:r w:rsidR="00050741" w:rsidRPr="00BE2965">
          <w:rPr>
            <w:rStyle w:val="Hyperlink"/>
            <w:rFonts w:asciiTheme="minorHAnsi" w:hAnsiTheme="minorHAnsi" w:cstheme="minorHAnsi"/>
          </w:rPr>
          <w:t>https://www.pc.gov.au/ongoing/report-on-government-services/2021/community-services/services-for-people-with-disability</w:t>
        </w:r>
      </w:hyperlink>
      <w:r w:rsidR="00050741">
        <w:rPr>
          <w:rFonts w:asciiTheme="minorHAnsi" w:hAnsiTheme="minorHAnsi" w:cstheme="minorHAnsi"/>
        </w:rPr>
        <w:t xml:space="preserve"> </w:t>
      </w:r>
    </w:p>
    <w:p w14:paraId="6E781244" w14:textId="69E27059" w:rsidR="00142C7A" w:rsidRPr="000D724B" w:rsidRDefault="00142C7A" w:rsidP="00BF013A">
      <w:pPr>
        <w:pStyle w:val="BodyTextSP"/>
        <w:spacing w:before="120" w:after="0"/>
        <w:rPr>
          <w:rStyle w:val="Hyperlink"/>
          <w:rFonts w:cstheme="minorHAnsi"/>
          <w:i/>
          <w:iCs/>
          <w:color w:val="auto"/>
        </w:rPr>
      </w:pPr>
      <w:r w:rsidRPr="000D724B">
        <w:rPr>
          <w:rFonts w:cstheme="minorHAnsi"/>
          <w:color w:val="auto"/>
        </w:rPr>
        <w:t>Productivity Commission</w:t>
      </w:r>
      <w:r w:rsidR="00935EC2">
        <w:rPr>
          <w:rFonts w:cstheme="minorHAnsi"/>
          <w:color w:val="auto"/>
        </w:rPr>
        <w:t>.</w:t>
      </w:r>
      <w:r w:rsidRPr="000D724B">
        <w:rPr>
          <w:rFonts w:cstheme="minorHAnsi"/>
          <w:color w:val="auto"/>
        </w:rPr>
        <w:t xml:space="preserve"> (2022)</w:t>
      </w:r>
      <w:r w:rsidR="00935EC2">
        <w:rPr>
          <w:rFonts w:cstheme="minorHAnsi"/>
          <w:color w:val="auto"/>
        </w:rPr>
        <w:t>.</w:t>
      </w:r>
      <w:r w:rsidRPr="000D724B">
        <w:rPr>
          <w:rFonts w:cstheme="minorHAnsi"/>
          <w:color w:val="auto"/>
        </w:rPr>
        <w:t xml:space="preserve"> </w:t>
      </w:r>
      <w:r w:rsidRPr="000D724B">
        <w:rPr>
          <w:rFonts w:cstheme="minorHAnsi"/>
          <w:i/>
          <w:iCs/>
          <w:color w:val="auto"/>
        </w:rPr>
        <w:t>Report on Government Services 2022. Part F. Section 15 Services for people with disability.</w:t>
      </w:r>
      <w:r w:rsidRPr="000D724B">
        <w:rPr>
          <w:color w:val="auto"/>
        </w:rPr>
        <w:t xml:space="preserve"> </w:t>
      </w:r>
      <w:hyperlink r:id="rId34" w:history="1">
        <w:r w:rsidR="00050741" w:rsidRPr="00BE2965">
          <w:rPr>
            <w:rStyle w:val="Hyperlink"/>
            <w:rFonts w:cstheme="minorHAnsi"/>
          </w:rPr>
          <w:t>https://www.pc.gov.au/ongoing/report-on-government-services/2022/community-services/services-for-people-with-disability</w:t>
        </w:r>
      </w:hyperlink>
      <w:r w:rsidR="00050741">
        <w:rPr>
          <w:rFonts w:cstheme="minorHAnsi"/>
          <w:color w:val="auto"/>
        </w:rPr>
        <w:t xml:space="preserve"> </w:t>
      </w:r>
    </w:p>
    <w:p w14:paraId="0E7A7417" w14:textId="22541D2B" w:rsidR="00DA41DF" w:rsidRPr="000D724B" w:rsidRDefault="00DA41DF" w:rsidP="00BF013A">
      <w:pPr>
        <w:pStyle w:val="BodyTextSP"/>
        <w:spacing w:before="120" w:after="0"/>
        <w:rPr>
          <w:rFonts w:ascii="Calibri" w:hAnsi="Calibri" w:cs="Calibri"/>
          <w:color w:val="auto"/>
          <w:sz w:val="20"/>
        </w:rPr>
      </w:pPr>
      <w:r w:rsidRPr="000D724B">
        <w:rPr>
          <w:rFonts w:cstheme="minorHAnsi"/>
          <w:color w:val="auto"/>
        </w:rPr>
        <w:t>Shor</w:t>
      </w:r>
      <w:r w:rsidRPr="00DD32E6">
        <w:rPr>
          <w:rFonts w:cstheme="minorHAnsi"/>
          <w:color w:val="auto"/>
          <w:szCs w:val="22"/>
        </w:rPr>
        <w:t>ten, B. (2008)</w:t>
      </w:r>
      <w:r w:rsidR="00DD32E6" w:rsidRPr="00DD32E6">
        <w:rPr>
          <w:rFonts w:cstheme="minorHAnsi"/>
          <w:color w:val="auto"/>
          <w:szCs w:val="22"/>
        </w:rPr>
        <w:t>.</w:t>
      </w:r>
      <w:r w:rsidRPr="00DD32E6">
        <w:rPr>
          <w:rFonts w:cstheme="minorHAnsi"/>
          <w:color w:val="auto"/>
          <w:szCs w:val="22"/>
        </w:rPr>
        <w:t xml:space="preserve"> </w:t>
      </w:r>
      <w:r w:rsidR="008B5246" w:rsidRPr="005E073D">
        <w:rPr>
          <w:rFonts w:ascii="Calibri" w:hAnsi="Calibri" w:cs="Calibri"/>
          <w:i/>
          <w:iCs/>
          <w:color w:val="auto"/>
          <w:szCs w:val="22"/>
        </w:rPr>
        <w:t xml:space="preserve">Media Release by The Hon Bill Shorten MP, </w:t>
      </w:r>
      <w:r w:rsidR="008B5246" w:rsidRPr="005E073D">
        <w:rPr>
          <w:i/>
          <w:iCs/>
          <w:color w:val="auto"/>
          <w:szCs w:val="22"/>
        </w:rPr>
        <w:t>Australian Disability Enterprises launched, 28 November 2008</w:t>
      </w:r>
      <w:r w:rsidR="005E073D">
        <w:rPr>
          <w:color w:val="auto"/>
          <w:szCs w:val="22"/>
        </w:rPr>
        <w:t>.</w:t>
      </w:r>
      <w:r w:rsidR="004B0DF7" w:rsidRPr="00DD32E6">
        <w:rPr>
          <w:color w:val="auto"/>
          <w:szCs w:val="22"/>
        </w:rPr>
        <w:t xml:space="preserve"> </w:t>
      </w:r>
      <w:hyperlink r:id="rId35" w:history="1">
        <w:r w:rsidR="005E073D" w:rsidRPr="00BE2965">
          <w:rPr>
            <w:rStyle w:val="Hyperlink"/>
            <w:szCs w:val="22"/>
          </w:rPr>
          <w:t>https://formerministers.dss.gov.au/4802/launch_disability_ent_28nov2008/</w:t>
        </w:r>
      </w:hyperlink>
      <w:r w:rsidR="005E073D">
        <w:rPr>
          <w:color w:val="auto"/>
          <w:szCs w:val="22"/>
        </w:rPr>
        <w:t xml:space="preserve"> </w:t>
      </w:r>
    </w:p>
    <w:p w14:paraId="0A9EC7C7" w14:textId="2AFAD02D" w:rsidR="002F235A" w:rsidRPr="000D724B" w:rsidRDefault="0012287E" w:rsidP="00BF013A">
      <w:pPr>
        <w:spacing w:before="120" w:line="276" w:lineRule="auto"/>
        <w:ind w:left="510" w:hanging="510"/>
        <w:rPr>
          <w:rStyle w:val="Hyperlink"/>
          <w:rFonts w:asciiTheme="minorHAnsi" w:eastAsiaTheme="minorEastAsia" w:hAnsiTheme="minorHAnsi" w:cstheme="minorHAnsi"/>
          <w:color w:val="auto"/>
          <w:szCs w:val="20"/>
          <w:lang w:val="en-US" w:bidi="ar-SA"/>
        </w:rPr>
      </w:pPr>
      <w:r w:rsidRPr="000D724B">
        <w:rPr>
          <w:rFonts w:asciiTheme="minorHAnsi" w:hAnsiTheme="minorHAnsi" w:cstheme="minorHAnsi"/>
        </w:rPr>
        <w:t>Social Traders</w:t>
      </w:r>
      <w:r w:rsidR="00DD32E6">
        <w:rPr>
          <w:rFonts w:asciiTheme="minorHAnsi" w:hAnsiTheme="minorHAnsi" w:cstheme="minorHAnsi"/>
        </w:rPr>
        <w:t>.</w:t>
      </w:r>
      <w:r w:rsidRPr="000D724B">
        <w:rPr>
          <w:rFonts w:asciiTheme="minorHAnsi" w:hAnsiTheme="minorHAnsi" w:cstheme="minorHAnsi"/>
        </w:rPr>
        <w:t xml:space="preserve"> (n.d</w:t>
      </w:r>
      <w:r w:rsidR="00DD32E6">
        <w:rPr>
          <w:rFonts w:asciiTheme="minorHAnsi" w:hAnsiTheme="minorHAnsi" w:cstheme="minorHAnsi"/>
        </w:rPr>
        <w:t>.</w:t>
      </w:r>
      <w:r w:rsidRPr="000D724B">
        <w:rPr>
          <w:rFonts w:asciiTheme="minorHAnsi" w:hAnsiTheme="minorHAnsi" w:cstheme="minorHAnsi"/>
        </w:rPr>
        <w:t>). Our criteria</w:t>
      </w:r>
      <w:r w:rsidR="00DD32E6">
        <w:rPr>
          <w:rFonts w:asciiTheme="minorHAnsi" w:hAnsiTheme="minorHAnsi" w:cstheme="minorHAnsi"/>
        </w:rPr>
        <w:t>.</w:t>
      </w:r>
      <w:r w:rsidRPr="000D724B">
        <w:rPr>
          <w:rFonts w:asciiTheme="minorHAnsi" w:hAnsiTheme="minorHAnsi" w:cstheme="minorHAnsi"/>
        </w:rPr>
        <w:t xml:space="preserve"> </w:t>
      </w:r>
      <w:hyperlink r:id="rId36" w:history="1">
        <w:r w:rsidR="001373B2" w:rsidRPr="00BE2965">
          <w:rPr>
            <w:rStyle w:val="Hyperlink"/>
            <w:rFonts w:asciiTheme="minorHAnsi" w:eastAsiaTheme="minorEastAsia" w:hAnsiTheme="minorHAnsi" w:cstheme="minorHAnsi"/>
            <w:szCs w:val="20"/>
            <w:lang w:val="en-US" w:bidi="ar-SA"/>
          </w:rPr>
          <w:t>https://www.socialtraders.com.au/for-social-enterprise/certification/</w:t>
        </w:r>
      </w:hyperlink>
      <w:r w:rsidR="001373B2">
        <w:rPr>
          <w:rFonts w:asciiTheme="minorHAnsi" w:eastAsiaTheme="minorEastAsia" w:hAnsiTheme="minorHAnsi" w:cstheme="minorHAnsi"/>
          <w:szCs w:val="20"/>
          <w:lang w:val="en-US" w:bidi="ar-SA"/>
        </w:rPr>
        <w:t xml:space="preserve"> </w:t>
      </w:r>
    </w:p>
    <w:p w14:paraId="50B69556" w14:textId="72253EC1" w:rsidR="002F235A" w:rsidRPr="000D724B" w:rsidRDefault="002F235A" w:rsidP="00BF013A">
      <w:pPr>
        <w:widowControl/>
        <w:adjustRightInd w:val="0"/>
        <w:spacing w:before="120" w:line="276" w:lineRule="auto"/>
        <w:ind w:left="510" w:hanging="510"/>
        <w:rPr>
          <w:rFonts w:asciiTheme="minorHAnsi" w:eastAsiaTheme="minorEastAsia" w:hAnsiTheme="minorHAnsi" w:cstheme="minorHAnsi"/>
          <w:szCs w:val="20"/>
          <w:lang w:val="en-US" w:bidi="ar-SA"/>
        </w:rPr>
      </w:pPr>
      <w:r w:rsidRPr="000D724B">
        <w:rPr>
          <w:rFonts w:asciiTheme="minorHAnsi" w:eastAsiaTheme="minorEastAsia" w:hAnsiTheme="minorHAnsi" w:cstheme="minorHAnsi"/>
          <w:szCs w:val="20"/>
          <w:lang w:val="en-US" w:bidi="ar-SA"/>
        </w:rPr>
        <w:t xml:space="preserve">Spear, R., &amp; Bidet, E. (2005). Social enterprise for work integration in 12 European countries: a descriptive analysis. </w:t>
      </w:r>
      <w:r w:rsidRPr="000D724B">
        <w:rPr>
          <w:rFonts w:asciiTheme="minorHAnsi" w:eastAsiaTheme="minorEastAsia" w:hAnsiTheme="minorHAnsi" w:cstheme="minorHAnsi"/>
          <w:i/>
          <w:iCs/>
          <w:szCs w:val="20"/>
          <w:lang w:val="en-US" w:bidi="ar-SA"/>
        </w:rPr>
        <w:t>Annals of Public and Cooperative Economics</w:t>
      </w:r>
      <w:r w:rsidRPr="00131D49">
        <w:rPr>
          <w:rFonts w:asciiTheme="minorHAnsi" w:eastAsiaTheme="minorEastAsia" w:hAnsiTheme="minorHAnsi" w:cstheme="minorHAnsi"/>
          <w:i/>
          <w:iCs/>
          <w:szCs w:val="20"/>
          <w:lang w:val="en-US" w:bidi="ar-SA"/>
        </w:rPr>
        <w:t>, 76</w:t>
      </w:r>
      <w:r w:rsidRPr="000D724B">
        <w:rPr>
          <w:rFonts w:asciiTheme="minorHAnsi" w:eastAsiaTheme="minorEastAsia" w:hAnsiTheme="minorHAnsi" w:cstheme="minorHAnsi"/>
          <w:szCs w:val="20"/>
          <w:lang w:val="en-US" w:bidi="ar-SA"/>
        </w:rPr>
        <w:t xml:space="preserve">(2), 195-231. </w:t>
      </w:r>
      <w:hyperlink r:id="rId37" w:history="1">
        <w:r w:rsidR="0078061C" w:rsidRPr="00BE2965">
          <w:rPr>
            <w:rStyle w:val="Hyperlink"/>
            <w:rFonts w:asciiTheme="minorHAnsi" w:eastAsiaTheme="minorEastAsia" w:hAnsiTheme="minorHAnsi" w:cstheme="minorHAnsi"/>
            <w:szCs w:val="20"/>
            <w:lang w:val="en-US" w:bidi="ar-SA"/>
          </w:rPr>
          <w:t>https://doi.org/10.1111/j.1370-4788.2005.00276.x</w:t>
        </w:r>
      </w:hyperlink>
      <w:r w:rsidR="0078061C">
        <w:rPr>
          <w:rFonts w:asciiTheme="minorHAnsi" w:eastAsiaTheme="minorEastAsia" w:hAnsiTheme="minorHAnsi" w:cstheme="minorHAnsi"/>
          <w:szCs w:val="20"/>
          <w:lang w:val="en-US" w:bidi="ar-SA"/>
        </w:rPr>
        <w:t xml:space="preserve"> </w:t>
      </w:r>
    </w:p>
    <w:p w14:paraId="5F7227B8" w14:textId="54CD4756" w:rsidR="00755A93" w:rsidRPr="00935EC2" w:rsidRDefault="006E28B4" w:rsidP="00935EC2">
      <w:pPr>
        <w:pStyle w:val="BodyTextSP"/>
        <w:spacing w:before="120" w:after="0"/>
        <w:rPr>
          <w:rFonts w:cstheme="minorHAnsi"/>
          <w:color w:val="auto"/>
        </w:rPr>
      </w:pPr>
      <w:r w:rsidRPr="000D724B">
        <w:rPr>
          <w:color w:val="auto"/>
          <w:shd w:val="clear" w:color="auto" w:fill="FFFFFF"/>
        </w:rPr>
        <w:lastRenderedPageBreak/>
        <w:t>Williams, A</w:t>
      </w:r>
      <w:r w:rsidR="00DD32E6">
        <w:rPr>
          <w:color w:val="auto"/>
          <w:shd w:val="clear" w:color="auto" w:fill="FFFFFF"/>
        </w:rPr>
        <w:t>.</w:t>
      </w:r>
      <w:r w:rsidRPr="000D724B">
        <w:rPr>
          <w:color w:val="auto"/>
          <w:shd w:val="clear" w:color="auto" w:fill="FFFFFF"/>
        </w:rPr>
        <w:t xml:space="preserve">, </w:t>
      </w:r>
      <w:proofErr w:type="spellStart"/>
      <w:r w:rsidRPr="000D724B">
        <w:rPr>
          <w:color w:val="auto"/>
          <w:shd w:val="clear" w:color="auto" w:fill="FFFFFF"/>
        </w:rPr>
        <w:t>Fossey</w:t>
      </w:r>
      <w:proofErr w:type="spellEnd"/>
      <w:r w:rsidRPr="000D724B">
        <w:rPr>
          <w:color w:val="auto"/>
          <w:shd w:val="clear" w:color="auto" w:fill="FFFFFF"/>
        </w:rPr>
        <w:t>, E</w:t>
      </w:r>
      <w:r w:rsidR="00DD32E6">
        <w:rPr>
          <w:color w:val="auto"/>
          <w:shd w:val="clear" w:color="auto" w:fill="FFFFFF"/>
        </w:rPr>
        <w:t>.</w:t>
      </w:r>
      <w:r w:rsidRPr="000D724B">
        <w:rPr>
          <w:color w:val="auto"/>
          <w:shd w:val="clear" w:color="auto" w:fill="FFFFFF"/>
        </w:rPr>
        <w:t xml:space="preserve">, </w:t>
      </w:r>
      <w:r w:rsidR="00DD32E6">
        <w:rPr>
          <w:color w:val="auto"/>
          <w:shd w:val="clear" w:color="auto" w:fill="FFFFFF"/>
        </w:rPr>
        <w:t>&amp;</w:t>
      </w:r>
      <w:r w:rsidRPr="000D724B">
        <w:rPr>
          <w:color w:val="auto"/>
          <w:shd w:val="clear" w:color="auto" w:fill="FFFFFF"/>
        </w:rPr>
        <w:t xml:space="preserve"> Harvey, C. (2012)</w:t>
      </w:r>
      <w:r w:rsidR="00DD32E6">
        <w:rPr>
          <w:color w:val="auto"/>
          <w:shd w:val="clear" w:color="auto" w:fill="FFFFFF"/>
        </w:rPr>
        <w:t>.</w:t>
      </w:r>
      <w:r w:rsidRPr="000D724B">
        <w:rPr>
          <w:color w:val="auto"/>
          <w:shd w:val="clear" w:color="auto" w:fill="FFFFFF"/>
        </w:rPr>
        <w:t xml:space="preserve"> ‘Social </w:t>
      </w:r>
      <w:r w:rsidR="00360D51">
        <w:rPr>
          <w:color w:val="auto"/>
          <w:shd w:val="clear" w:color="auto" w:fill="FFFFFF"/>
        </w:rPr>
        <w:t>f</w:t>
      </w:r>
      <w:r w:rsidRPr="000D724B">
        <w:rPr>
          <w:color w:val="auto"/>
          <w:shd w:val="clear" w:color="auto" w:fill="FFFFFF"/>
        </w:rPr>
        <w:t xml:space="preserve">irms: Sustainable </w:t>
      </w:r>
      <w:r w:rsidR="00360D51" w:rsidRPr="000D724B">
        <w:rPr>
          <w:color w:val="auto"/>
          <w:shd w:val="clear" w:color="auto" w:fill="FFFFFF"/>
        </w:rPr>
        <w:t xml:space="preserve">employment for people with mental </w:t>
      </w:r>
      <w:proofErr w:type="gramStart"/>
      <w:r w:rsidR="00360D51" w:rsidRPr="000D724B">
        <w:rPr>
          <w:color w:val="auto"/>
          <w:shd w:val="clear" w:color="auto" w:fill="FFFFFF"/>
        </w:rPr>
        <w:t>illness</w:t>
      </w:r>
      <w:r w:rsidRPr="000D724B">
        <w:rPr>
          <w:color w:val="auto"/>
          <w:shd w:val="clear" w:color="auto" w:fill="FFFFFF"/>
        </w:rPr>
        <w:t>’</w:t>
      </w:r>
      <w:proofErr w:type="gramEnd"/>
      <w:r w:rsidRPr="000D724B">
        <w:rPr>
          <w:color w:val="auto"/>
          <w:shd w:val="clear" w:color="auto" w:fill="FFFFFF"/>
        </w:rPr>
        <w:t xml:space="preserve">. </w:t>
      </w:r>
      <w:r w:rsidRPr="00360D51">
        <w:rPr>
          <w:i/>
          <w:iCs/>
          <w:color w:val="auto"/>
        </w:rPr>
        <w:t>Work</w:t>
      </w:r>
      <w:r w:rsidR="00360D51" w:rsidRPr="00360D51">
        <w:rPr>
          <w:i/>
          <w:iCs/>
          <w:color w:val="auto"/>
        </w:rPr>
        <w:t xml:space="preserve">, </w:t>
      </w:r>
      <w:r w:rsidRPr="00360D51">
        <w:rPr>
          <w:i/>
          <w:iCs/>
          <w:color w:val="auto"/>
        </w:rPr>
        <w:t>43</w:t>
      </w:r>
      <w:r w:rsidRPr="000D724B">
        <w:rPr>
          <w:color w:val="auto"/>
        </w:rPr>
        <w:t>(1)</w:t>
      </w:r>
      <w:r w:rsidR="00360D51">
        <w:rPr>
          <w:color w:val="auto"/>
        </w:rPr>
        <w:t xml:space="preserve">, </w:t>
      </w:r>
      <w:r w:rsidRPr="000D724B">
        <w:rPr>
          <w:color w:val="auto"/>
          <w:shd w:val="clear" w:color="auto" w:fill="FFFFFF"/>
        </w:rPr>
        <w:t>53</w:t>
      </w:r>
      <w:r w:rsidR="00360D51">
        <w:rPr>
          <w:color w:val="auto"/>
          <w:shd w:val="clear" w:color="auto" w:fill="FFFFFF"/>
        </w:rPr>
        <w:t>-</w:t>
      </w:r>
      <w:r w:rsidRPr="000D724B">
        <w:rPr>
          <w:color w:val="auto"/>
          <w:shd w:val="clear" w:color="auto" w:fill="FFFFFF"/>
        </w:rPr>
        <w:t>62.</w:t>
      </w:r>
      <w:r w:rsidR="00131D49">
        <w:rPr>
          <w:color w:val="auto"/>
          <w:shd w:val="clear" w:color="auto" w:fill="FFFFFF"/>
        </w:rPr>
        <w:t xml:space="preserve"> </w:t>
      </w:r>
      <w:hyperlink r:id="rId38" w:history="1">
        <w:r w:rsidR="00131D49" w:rsidRPr="00BE2965">
          <w:rPr>
            <w:rStyle w:val="Hyperlink"/>
            <w:shd w:val="clear" w:color="auto" w:fill="FFFFFF"/>
          </w:rPr>
          <w:t>https://doi.org/10.3233/WOR-2012-1447</w:t>
        </w:r>
      </w:hyperlink>
      <w:r w:rsidR="00131D49">
        <w:rPr>
          <w:color w:val="auto"/>
          <w:shd w:val="clear" w:color="auto" w:fill="FFFFFF"/>
        </w:rPr>
        <w:t xml:space="preserve"> </w:t>
      </w:r>
    </w:p>
    <w:p w14:paraId="5E89F6D9" w14:textId="26EDB187" w:rsidR="00142C7A" w:rsidRDefault="00142C7A">
      <w:pPr>
        <w:rPr>
          <w:rFonts w:asciiTheme="minorHAnsi" w:eastAsiaTheme="minorEastAsia" w:hAnsiTheme="minorHAnsi" w:cstheme="minorBidi"/>
          <w:color w:val="414042" w:themeColor="text1"/>
          <w:szCs w:val="20"/>
          <w:lang w:val="en-US" w:bidi="ar-SA"/>
        </w:rPr>
      </w:pPr>
      <w:r>
        <w:br w:type="page"/>
      </w:r>
    </w:p>
    <w:p w14:paraId="0DAE87A6" w14:textId="77187C50" w:rsidR="00142C7A" w:rsidRDefault="00142C7A" w:rsidP="00142C7A">
      <w:pPr>
        <w:pStyle w:val="Heading2"/>
      </w:pPr>
      <w:r>
        <w:lastRenderedPageBreak/>
        <w:t xml:space="preserve">Appendix 1: </w:t>
      </w:r>
      <w:r w:rsidR="000E30F1">
        <w:t>historical</w:t>
      </w:r>
      <w:r w:rsidR="00035332">
        <w:t xml:space="preserve"> </w:t>
      </w:r>
      <w:r>
        <w:t>Data 2005/6</w:t>
      </w:r>
      <w:r w:rsidR="000E30F1">
        <w:t xml:space="preserve"> </w:t>
      </w:r>
      <w:r>
        <w:t>- 2009/10</w:t>
      </w:r>
    </w:p>
    <w:p w14:paraId="5B19FE8D" w14:textId="016604C6" w:rsidR="00142C7A" w:rsidRDefault="00035332" w:rsidP="00333F99">
      <w:pPr>
        <w:pStyle w:val="Normal4"/>
      </w:pPr>
      <w:r>
        <w:t>Data s</w:t>
      </w:r>
      <w:r w:rsidR="00142C7A">
        <w:t xml:space="preserve">ources: </w:t>
      </w:r>
    </w:p>
    <w:p w14:paraId="0F475FEF" w14:textId="1B569740" w:rsidR="00142C7A" w:rsidRDefault="00142C7A" w:rsidP="00226424">
      <w:pPr>
        <w:pStyle w:val="dotpoints"/>
      </w:pPr>
      <w:r w:rsidRPr="0068011E">
        <w:t>Australian Disability Services, 2009-10</w:t>
      </w:r>
      <w:r>
        <w:t xml:space="preserve"> (DSS, </w:t>
      </w:r>
      <w:r w:rsidR="00226424">
        <w:t>2014a, 2014b</w:t>
      </w:r>
      <w:r>
        <w:t xml:space="preserve">) </w:t>
      </w:r>
    </w:p>
    <w:p w14:paraId="40381F34" w14:textId="2E85485F" w:rsidR="00142C7A" w:rsidRDefault="00142C7A" w:rsidP="00226424">
      <w:pPr>
        <w:pStyle w:val="dotpoints"/>
      </w:pPr>
      <w:r w:rsidRPr="0068011E">
        <w:t>Australian Government Disability Services Census</w:t>
      </w:r>
      <w:r w:rsidR="00564BB9">
        <w:t>,</w:t>
      </w:r>
      <w:r w:rsidRPr="0068011E">
        <w:t xml:space="preserve"> </w:t>
      </w:r>
      <w:r w:rsidR="00564BB9">
        <w:t>2006-</w:t>
      </w:r>
      <w:r w:rsidRPr="0068011E">
        <w:t>2008</w:t>
      </w:r>
      <w:r>
        <w:t xml:space="preserve"> (</w:t>
      </w:r>
      <w:proofErr w:type="spellStart"/>
      <w:r>
        <w:t>FaHCSIA</w:t>
      </w:r>
      <w:proofErr w:type="spellEnd"/>
      <w:r>
        <w:t>, 200</w:t>
      </w:r>
      <w:r w:rsidR="00564BB9">
        <w:t>6-200</w:t>
      </w:r>
      <w:r>
        <w:t>8)</w:t>
      </w:r>
      <w:r w:rsidR="000E1682">
        <w:t>.</w:t>
      </w:r>
    </w:p>
    <w:p w14:paraId="4411DD64" w14:textId="77777777" w:rsidR="00142C7A" w:rsidRDefault="00142C7A" w:rsidP="00142C7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2669"/>
        <w:gridCol w:w="4079"/>
      </w:tblGrid>
      <w:tr w:rsidR="00142C7A" w:rsidRPr="00142C7A" w14:paraId="315D8251" w14:textId="77777777" w:rsidTr="00693B7C">
        <w:tc>
          <w:tcPr>
            <w:tcW w:w="2151" w:type="dxa"/>
          </w:tcPr>
          <w:p w14:paraId="7C671473" w14:textId="77777777" w:rsidR="00142C7A" w:rsidRPr="00142C7A" w:rsidRDefault="00142C7A" w:rsidP="00A23068">
            <w:pPr>
              <w:rPr>
                <w:rFonts w:asciiTheme="minorHAnsi" w:hAnsiTheme="minorHAnsi" w:cstheme="minorHAnsi"/>
              </w:rPr>
            </w:pPr>
          </w:p>
        </w:tc>
        <w:tc>
          <w:tcPr>
            <w:tcW w:w="2669" w:type="dxa"/>
          </w:tcPr>
          <w:p w14:paraId="198878CA" w14:textId="77777777" w:rsidR="00142C7A" w:rsidRPr="00C64EEE" w:rsidRDefault="00142C7A" w:rsidP="00364DF2">
            <w:pPr>
              <w:jc w:val="center"/>
              <w:rPr>
                <w:rFonts w:asciiTheme="minorHAnsi" w:hAnsiTheme="minorHAnsi" w:cstheme="minorHAnsi"/>
                <w:b/>
                <w:bCs/>
              </w:rPr>
            </w:pPr>
            <w:r w:rsidRPr="00C64EEE">
              <w:rPr>
                <w:rFonts w:asciiTheme="minorHAnsi" w:hAnsiTheme="minorHAnsi" w:cstheme="minorHAnsi"/>
                <w:b/>
                <w:bCs/>
              </w:rPr>
              <w:t># Supported employment service outlets</w:t>
            </w:r>
          </w:p>
        </w:tc>
        <w:tc>
          <w:tcPr>
            <w:tcW w:w="4079" w:type="dxa"/>
          </w:tcPr>
          <w:p w14:paraId="238E9E59" w14:textId="77777777" w:rsidR="00142C7A" w:rsidRPr="00C64EEE" w:rsidRDefault="00142C7A" w:rsidP="00364DF2">
            <w:pPr>
              <w:jc w:val="center"/>
              <w:rPr>
                <w:rFonts w:asciiTheme="minorHAnsi" w:hAnsiTheme="minorHAnsi" w:cstheme="minorHAnsi"/>
                <w:b/>
                <w:bCs/>
              </w:rPr>
            </w:pPr>
            <w:r w:rsidRPr="00C64EEE">
              <w:rPr>
                <w:rFonts w:asciiTheme="minorHAnsi" w:hAnsiTheme="minorHAnsi" w:cstheme="minorHAnsi"/>
                <w:b/>
                <w:bCs/>
              </w:rPr>
              <w:t># Total supported employment service users</w:t>
            </w:r>
          </w:p>
        </w:tc>
      </w:tr>
      <w:tr w:rsidR="00142C7A" w:rsidRPr="00142C7A" w14:paraId="63085F6F" w14:textId="77777777" w:rsidTr="00693B7C">
        <w:tc>
          <w:tcPr>
            <w:tcW w:w="2151" w:type="dxa"/>
          </w:tcPr>
          <w:p w14:paraId="6B5D29ED"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2009-10</w:t>
            </w:r>
          </w:p>
        </w:tc>
        <w:tc>
          <w:tcPr>
            <w:tcW w:w="2669" w:type="dxa"/>
          </w:tcPr>
          <w:p w14:paraId="701E5464"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327, of which: </w:t>
            </w:r>
          </w:p>
          <w:p w14:paraId="569884BA"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46% in major cities; 51% in regional </w:t>
            </w:r>
            <w:proofErr w:type="gramStart"/>
            <w:r w:rsidRPr="00142C7A">
              <w:rPr>
                <w:rFonts w:asciiTheme="minorHAnsi" w:hAnsiTheme="minorHAnsi" w:cstheme="minorHAnsi"/>
              </w:rPr>
              <w:t>areas;</w:t>
            </w:r>
            <w:proofErr w:type="gramEnd"/>
          </w:p>
          <w:p w14:paraId="3428ABE9"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 in remote areas</w:t>
            </w:r>
          </w:p>
        </w:tc>
        <w:tc>
          <w:tcPr>
            <w:tcW w:w="4079" w:type="dxa"/>
          </w:tcPr>
          <w:p w14:paraId="1757E968"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22,020, of which: </w:t>
            </w:r>
          </w:p>
          <w:p w14:paraId="22A1F381"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68% had an </w:t>
            </w:r>
            <w:proofErr w:type="gramStart"/>
            <w:r w:rsidRPr="00142C7A">
              <w:rPr>
                <w:rFonts w:asciiTheme="minorHAnsi" w:hAnsiTheme="minorHAnsi" w:cstheme="minorHAnsi"/>
                <w:i/>
                <w:iCs/>
              </w:rPr>
              <w:t>ID;</w:t>
            </w:r>
            <w:proofErr w:type="gramEnd"/>
          </w:p>
          <w:p w14:paraId="3A076299"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82% had a profound or severe core activity limitation </w:t>
            </w:r>
          </w:p>
          <w:p w14:paraId="485E4D0A"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35% were </w:t>
            </w:r>
            <w:proofErr w:type="gramStart"/>
            <w:r w:rsidRPr="00142C7A">
              <w:rPr>
                <w:rFonts w:asciiTheme="minorHAnsi" w:hAnsiTheme="minorHAnsi" w:cstheme="minorHAnsi"/>
                <w:i/>
                <w:iCs/>
              </w:rPr>
              <w:t>females;</w:t>
            </w:r>
            <w:proofErr w:type="gramEnd"/>
          </w:p>
          <w:p w14:paraId="64BE6115"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2% were Indigenous</w:t>
            </w:r>
          </w:p>
          <w:p w14:paraId="769F4468"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32% were in regional &amp; remote areas</w:t>
            </w:r>
          </w:p>
          <w:p w14:paraId="3181C143" w14:textId="77777777" w:rsidR="00142C7A" w:rsidRDefault="00142C7A" w:rsidP="00A23068">
            <w:pPr>
              <w:rPr>
                <w:rFonts w:asciiTheme="minorHAnsi" w:hAnsiTheme="minorHAnsi" w:cstheme="minorHAnsi"/>
                <w:i/>
                <w:iCs/>
              </w:rPr>
            </w:pPr>
            <w:r w:rsidRPr="00142C7A">
              <w:rPr>
                <w:rFonts w:asciiTheme="minorHAnsi" w:hAnsiTheme="minorHAnsi" w:cstheme="minorHAnsi"/>
                <w:i/>
                <w:iCs/>
              </w:rPr>
              <w:t>91% received DSP</w:t>
            </w:r>
          </w:p>
          <w:p w14:paraId="5893AC4B" w14:textId="77777777" w:rsidR="00693B7C" w:rsidRDefault="00A66C56" w:rsidP="00A23068">
            <w:pPr>
              <w:rPr>
                <w:rFonts w:asciiTheme="minorHAnsi" w:hAnsiTheme="minorHAnsi" w:cstheme="minorHAnsi"/>
                <w:i/>
                <w:iCs/>
              </w:rPr>
            </w:pPr>
            <w:r>
              <w:rPr>
                <w:rFonts w:asciiTheme="minorHAnsi" w:hAnsiTheme="minorHAnsi" w:cstheme="minorHAnsi"/>
                <w:i/>
                <w:iCs/>
              </w:rPr>
              <w:t>-</w:t>
            </w:r>
          </w:p>
          <w:p w14:paraId="272F7781" w14:textId="567EC68B" w:rsidR="00A66C56" w:rsidRPr="00693B7C" w:rsidRDefault="00A66C56" w:rsidP="00A23068">
            <w:pPr>
              <w:rPr>
                <w:rFonts w:asciiTheme="minorHAnsi" w:hAnsiTheme="minorHAnsi" w:cstheme="minorHAnsi"/>
                <w:i/>
                <w:iCs/>
              </w:rPr>
            </w:pPr>
          </w:p>
        </w:tc>
      </w:tr>
      <w:tr w:rsidR="00142C7A" w:rsidRPr="00142C7A" w14:paraId="17D576BF" w14:textId="77777777" w:rsidTr="00693B7C">
        <w:tc>
          <w:tcPr>
            <w:tcW w:w="2151" w:type="dxa"/>
          </w:tcPr>
          <w:p w14:paraId="534221C7"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2008-09</w:t>
            </w:r>
          </w:p>
        </w:tc>
        <w:tc>
          <w:tcPr>
            <w:tcW w:w="2669" w:type="dxa"/>
          </w:tcPr>
          <w:p w14:paraId="2B16C42F"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397, of which: </w:t>
            </w:r>
          </w:p>
          <w:p w14:paraId="23710057"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51% in major cities; 45% in regional </w:t>
            </w:r>
            <w:proofErr w:type="gramStart"/>
            <w:r w:rsidRPr="00142C7A">
              <w:rPr>
                <w:rFonts w:asciiTheme="minorHAnsi" w:hAnsiTheme="minorHAnsi" w:cstheme="minorHAnsi"/>
              </w:rPr>
              <w:t>areas;</w:t>
            </w:r>
            <w:proofErr w:type="gramEnd"/>
          </w:p>
          <w:p w14:paraId="4126C519"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 in remote areas</w:t>
            </w:r>
          </w:p>
        </w:tc>
        <w:tc>
          <w:tcPr>
            <w:tcW w:w="4079" w:type="dxa"/>
          </w:tcPr>
          <w:p w14:paraId="07643277"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22,898, of which:</w:t>
            </w:r>
          </w:p>
          <w:p w14:paraId="29F0C5AA"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66% had an ID</w:t>
            </w:r>
          </w:p>
          <w:p w14:paraId="14DBDAB6"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80% had a profound or severe core activity limitation </w:t>
            </w:r>
          </w:p>
          <w:p w14:paraId="51622453"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35% were </w:t>
            </w:r>
            <w:proofErr w:type="gramStart"/>
            <w:r w:rsidRPr="00142C7A">
              <w:rPr>
                <w:rFonts w:asciiTheme="minorHAnsi" w:hAnsiTheme="minorHAnsi" w:cstheme="minorHAnsi"/>
                <w:i/>
                <w:iCs/>
              </w:rPr>
              <w:t>females;</w:t>
            </w:r>
            <w:proofErr w:type="gramEnd"/>
          </w:p>
          <w:p w14:paraId="3D186470"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2% were Indigenous</w:t>
            </w:r>
          </w:p>
          <w:p w14:paraId="6BD1DFD2"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32% were in regional &amp; remote areas</w:t>
            </w:r>
          </w:p>
          <w:p w14:paraId="6D8471E6" w14:textId="77777777" w:rsidR="00142C7A" w:rsidRPr="00142C7A" w:rsidRDefault="00142C7A" w:rsidP="00A23068">
            <w:pPr>
              <w:rPr>
                <w:rFonts w:asciiTheme="minorHAnsi" w:hAnsiTheme="minorHAnsi" w:cstheme="minorHAnsi"/>
              </w:rPr>
            </w:pPr>
            <w:r w:rsidRPr="00142C7A">
              <w:rPr>
                <w:rFonts w:asciiTheme="minorHAnsi" w:hAnsiTheme="minorHAnsi" w:cstheme="minorHAnsi"/>
                <w:i/>
                <w:iCs/>
              </w:rPr>
              <w:t>92% received DSP</w:t>
            </w:r>
            <w:r w:rsidRPr="00142C7A">
              <w:rPr>
                <w:rFonts w:asciiTheme="minorHAnsi" w:hAnsiTheme="minorHAnsi" w:cstheme="minorHAnsi"/>
              </w:rPr>
              <w:t xml:space="preserve"> </w:t>
            </w:r>
          </w:p>
          <w:p w14:paraId="6EE5E51B" w14:textId="77777777" w:rsidR="00142C7A" w:rsidRDefault="00A66C56" w:rsidP="00A23068">
            <w:pPr>
              <w:rPr>
                <w:rFonts w:asciiTheme="minorHAnsi" w:hAnsiTheme="minorHAnsi" w:cstheme="minorHAnsi"/>
              </w:rPr>
            </w:pPr>
            <w:r>
              <w:rPr>
                <w:rFonts w:asciiTheme="minorHAnsi" w:hAnsiTheme="minorHAnsi" w:cstheme="minorHAnsi"/>
              </w:rPr>
              <w:t>-</w:t>
            </w:r>
          </w:p>
          <w:p w14:paraId="0D127314" w14:textId="3445A55E" w:rsidR="00A66C56" w:rsidRPr="00142C7A" w:rsidRDefault="00A66C56" w:rsidP="00A23068">
            <w:pPr>
              <w:rPr>
                <w:rFonts w:asciiTheme="minorHAnsi" w:hAnsiTheme="minorHAnsi" w:cstheme="minorHAnsi"/>
              </w:rPr>
            </w:pPr>
          </w:p>
        </w:tc>
      </w:tr>
      <w:tr w:rsidR="00142C7A" w:rsidRPr="00142C7A" w14:paraId="1D9AA779" w14:textId="77777777" w:rsidTr="00693B7C">
        <w:tc>
          <w:tcPr>
            <w:tcW w:w="2151" w:type="dxa"/>
          </w:tcPr>
          <w:p w14:paraId="733944DE"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2007-08</w:t>
            </w:r>
          </w:p>
        </w:tc>
        <w:tc>
          <w:tcPr>
            <w:tcW w:w="2669" w:type="dxa"/>
          </w:tcPr>
          <w:p w14:paraId="7713DD6D"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413, of which:</w:t>
            </w:r>
          </w:p>
          <w:p w14:paraId="50228446"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57% in major </w:t>
            </w:r>
            <w:proofErr w:type="gramStart"/>
            <w:r w:rsidRPr="00142C7A">
              <w:rPr>
                <w:rFonts w:asciiTheme="minorHAnsi" w:hAnsiTheme="minorHAnsi" w:cstheme="minorHAnsi"/>
              </w:rPr>
              <w:t>cities;</w:t>
            </w:r>
            <w:proofErr w:type="gramEnd"/>
          </w:p>
          <w:p w14:paraId="57395E00"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41% in regional </w:t>
            </w:r>
            <w:proofErr w:type="gramStart"/>
            <w:r w:rsidRPr="00142C7A">
              <w:rPr>
                <w:rFonts w:asciiTheme="minorHAnsi" w:hAnsiTheme="minorHAnsi" w:cstheme="minorHAnsi"/>
              </w:rPr>
              <w:t>areas;</w:t>
            </w:r>
            <w:proofErr w:type="gramEnd"/>
          </w:p>
          <w:p w14:paraId="4ED80768"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2% in remote areas </w:t>
            </w:r>
          </w:p>
        </w:tc>
        <w:tc>
          <w:tcPr>
            <w:tcW w:w="4079" w:type="dxa"/>
          </w:tcPr>
          <w:p w14:paraId="50A0FFB7"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22,167, of which:</w:t>
            </w:r>
          </w:p>
          <w:p w14:paraId="4B7EEEA4"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70% had an ID</w:t>
            </w:r>
          </w:p>
          <w:p w14:paraId="5F95D747"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72% had a profound or severe core activity limitation </w:t>
            </w:r>
          </w:p>
          <w:p w14:paraId="1270A67F"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36% were females </w:t>
            </w:r>
          </w:p>
          <w:p w14:paraId="06B0189A"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2% were Indigenous</w:t>
            </w:r>
          </w:p>
          <w:p w14:paraId="2CAC83D8"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32% were in regional &amp; remote areas</w:t>
            </w:r>
          </w:p>
          <w:p w14:paraId="714ABC46"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98% received DSP </w:t>
            </w:r>
          </w:p>
          <w:p w14:paraId="5B25BC38"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29% worked full-time hours</w:t>
            </w:r>
          </w:p>
          <w:p w14:paraId="51B294AC"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26 hours worked per week (average)</w:t>
            </w:r>
          </w:p>
          <w:p w14:paraId="24EA42A8" w14:textId="77777777" w:rsidR="00142C7A" w:rsidRDefault="00142C7A" w:rsidP="00A23068">
            <w:pPr>
              <w:rPr>
                <w:rFonts w:asciiTheme="minorHAnsi" w:hAnsiTheme="minorHAnsi" w:cstheme="minorHAnsi"/>
                <w:i/>
                <w:iCs/>
              </w:rPr>
            </w:pPr>
            <w:r w:rsidRPr="00142C7A">
              <w:rPr>
                <w:rFonts w:asciiTheme="minorHAnsi" w:hAnsiTheme="minorHAnsi" w:cstheme="minorHAnsi"/>
                <w:i/>
                <w:iCs/>
              </w:rPr>
              <w:t>$3.74 gross hourly wage rate (average)</w:t>
            </w:r>
          </w:p>
          <w:p w14:paraId="4AFE6CA4" w14:textId="7F7ACBD2" w:rsidR="00693B7C" w:rsidRPr="00142C7A" w:rsidRDefault="00693B7C" w:rsidP="00A23068">
            <w:pPr>
              <w:rPr>
                <w:rFonts w:asciiTheme="minorHAnsi" w:hAnsiTheme="minorHAnsi" w:cstheme="minorHAnsi"/>
                <w:i/>
                <w:iCs/>
              </w:rPr>
            </w:pPr>
          </w:p>
        </w:tc>
      </w:tr>
      <w:tr w:rsidR="00142C7A" w:rsidRPr="00142C7A" w14:paraId="7A60EDCC" w14:textId="77777777" w:rsidTr="00693B7C">
        <w:tc>
          <w:tcPr>
            <w:tcW w:w="2151" w:type="dxa"/>
          </w:tcPr>
          <w:p w14:paraId="511782E8"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2006-07</w:t>
            </w:r>
          </w:p>
        </w:tc>
        <w:tc>
          <w:tcPr>
            <w:tcW w:w="2669" w:type="dxa"/>
          </w:tcPr>
          <w:p w14:paraId="0E05CFBB"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415, of which: </w:t>
            </w:r>
          </w:p>
          <w:p w14:paraId="0FFEFD6C"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56% in major cities; 43% in regional </w:t>
            </w:r>
            <w:proofErr w:type="gramStart"/>
            <w:r w:rsidRPr="00142C7A">
              <w:rPr>
                <w:rFonts w:asciiTheme="minorHAnsi" w:hAnsiTheme="minorHAnsi" w:cstheme="minorHAnsi"/>
              </w:rPr>
              <w:t>areas;</w:t>
            </w:r>
            <w:proofErr w:type="gramEnd"/>
          </w:p>
          <w:p w14:paraId="444CCC76"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 in remote areas</w:t>
            </w:r>
          </w:p>
        </w:tc>
        <w:tc>
          <w:tcPr>
            <w:tcW w:w="4079" w:type="dxa"/>
          </w:tcPr>
          <w:p w14:paraId="514C957F"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21,933, of which:</w:t>
            </w:r>
          </w:p>
          <w:p w14:paraId="020FFFAF"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70% had an </w:t>
            </w:r>
            <w:proofErr w:type="gramStart"/>
            <w:r w:rsidRPr="00142C7A">
              <w:rPr>
                <w:rFonts w:asciiTheme="minorHAnsi" w:hAnsiTheme="minorHAnsi" w:cstheme="minorHAnsi"/>
                <w:i/>
                <w:iCs/>
              </w:rPr>
              <w:t>ID;</w:t>
            </w:r>
            <w:proofErr w:type="gramEnd"/>
          </w:p>
          <w:p w14:paraId="3AD0882F"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74% had a profound or severe core activity limitation</w:t>
            </w:r>
          </w:p>
          <w:p w14:paraId="6D0541F9"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36% were </w:t>
            </w:r>
            <w:proofErr w:type="gramStart"/>
            <w:r w:rsidRPr="00142C7A">
              <w:rPr>
                <w:rFonts w:asciiTheme="minorHAnsi" w:hAnsiTheme="minorHAnsi" w:cstheme="minorHAnsi"/>
                <w:i/>
                <w:iCs/>
              </w:rPr>
              <w:t>females;</w:t>
            </w:r>
            <w:proofErr w:type="gramEnd"/>
          </w:p>
          <w:p w14:paraId="7DC0E890"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2% were Indigenous</w:t>
            </w:r>
          </w:p>
          <w:p w14:paraId="6CA6C6EF"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33% were in regional &amp; remote areas</w:t>
            </w:r>
          </w:p>
          <w:p w14:paraId="552AAAF2"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91% received DSP</w:t>
            </w:r>
          </w:p>
          <w:p w14:paraId="60ECE3F3"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32% worked full-time hours</w:t>
            </w:r>
          </w:p>
          <w:p w14:paraId="7AF1B98A"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26 hours worked per week (average)</w:t>
            </w:r>
          </w:p>
          <w:p w14:paraId="48AFC683" w14:textId="77777777" w:rsidR="00142C7A" w:rsidRDefault="00142C7A" w:rsidP="00A23068">
            <w:pPr>
              <w:rPr>
                <w:rFonts w:asciiTheme="minorHAnsi" w:hAnsiTheme="minorHAnsi" w:cstheme="minorHAnsi"/>
                <w:i/>
                <w:iCs/>
              </w:rPr>
            </w:pPr>
            <w:r w:rsidRPr="00142C7A">
              <w:rPr>
                <w:rFonts w:asciiTheme="minorHAnsi" w:hAnsiTheme="minorHAnsi" w:cstheme="minorHAnsi"/>
                <w:i/>
                <w:iCs/>
              </w:rPr>
              <w:t>$3.03 gross hourly wage rate (average)</w:t>
            </w:r>
          </w:p>
          <w:p w14:paraId="2667E24A" w14:textId="07E75897" w:rsidR="00611FDA" w:rsidRPr="00142C7A" w:rsidRDefault="00611FDA" w:rsidP="00A23068">
            <w:pPr>
              <w:rPr>
                <w:rFonts w:asciiTheme="minorHAnsi" w:hAnsiTheme="minorHAnsi" w:cstheme="minorHAnsi"/>
              </w:rPr>
            </w:pPr>
          </w:p>
        </w:tc>
      </w:tr>
      <w:tr w:rsidR="00142C7A" w:rsidRPr="00142C7A" w14:paraId="46FF5EE4" w14:textId="77777777" w:rsidTr="00693B7C">
        <w:tc>
          <w:tcPr>
            <w:tcW w:w="2151" w:type="dxa"/>
          </w:tcPr>
          <w:p w14:paraId="738F9ECC"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lastRenderedPageBreak/>
              <w:t>2005-06</w:t>
            </w:r>
          </w:p>
        </w:tc>
        <w:tc>
          <w:tcPr>
            <w:tcW w:w="2669" w:type="dxa"/>
          </w:tcPr>
          <w:p w14:paraId="67CBE354"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397, of which: </w:t>
            </w:r>
          </w:p>
          <w:p w14:paraId="13DD0B06"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 xml:space="preserve">55% in major cities; 42% in regional </w:t>
            </w:r>
            <w:proofErr w:type="gramStart"/>
            <w:r w:rsidRPr="00142C7A">
              <w:rPr>
                <w:rFonts w:asciiTheme="minorHAnsi" w:hAnsiTheme="minorHAnsi" w:cstheme="minorHAnsi"/>
              </w:rPr>
              <w:t>areas;</w:t>
            </w:r>
            <w:proofErr w:type="gramEnd"/>
          </w:p>
          <w:p w14:paraId="21FCA22C"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 in remote areas</w:t>
            </w:r>
          </w:p>
        </w:tc>
        <w:tc>
          <w:tcPr>
            <w:tcW w:w="4079" w:type="dxa"/>
          </w:tcPr>
          <w:p w14:paraId="73E64647" w14:textId="77777777" w:rsidR="00142C7A" w:rsidRPr="00142C7A" w:rsidRDefault="00142C7A" w:rsidP="00A23068">
            <w:pPr>
              <w:rPr>
                <w:rFonts w:asciiTheme="minorHAnsi" w:hAnsiTheme="minorHAnsi" w:cstheme="minorHAnsi"/>
              </w:rPr>
            </w:pPr>
            <w:r w:rsidRPr="00142C7A">
              <w:rPr>
                <w:rFonts w:asciiTheme="minorHAnsi" w:hAnsiTheme="minorHAnsi" w:cstheme="minorHAnsi"/>
              </w:rPr>
              <w:t>21,249, of which:</w:t>
            </w:r>
          </w:p>
          <w:p w14:paraId="6422F8E4"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71% had an </w:t>
            </w:r>
            <w:proofErr w:type="gramStart"/>
            <w:r w:rsidRPr="00142C7A">
              <w:rPr>
                <w:rFonts w:asciiTheme="minorHAnsi" w:hAnsiTheme="minorHAnsi" w:cstheme="minorHAnsi"/>
                <w:i/>
                <w:iCs/>
              </w:rPr>
              <w:t>ID;</w:t>
            </w:r>
            <w:proofErr w:type="gramEnd"/>
          </w:p>
          <w:p w14:paraId="2CB340A2"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w:t>
            </w:r>
          </w:p>
          <w:p w14:paraId="73C35FB7"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36% were </w:t>
            </w:r>
            <w:proofErr w:type="gramStart"/>
            <w:r w:rsidRPr="00142C7A">
              <w:rPr>
                <w:rFonts w:asciiTheme="minorHAnsi" w:hAnsiTheme="minorHAnsi" w:cstheme="minorHAnsi"/>
                <w:i/>
                <w:iCs/>
              </w:rPr>
              <w:t>females;</w:t>
            </w:r>
            <w:proofErr w:type="gramEnd"/>
          </w:p>
          <w:p w14:paraId="293BD9A8"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2% were </w:t>
            </w:r>
            <w:proofErr w:type="gramStart"/>
            <w:r w:rsidRPr="00142C7A">
              <w:rPr>
                <w:rFonts w:asciiTheme="minorHAnsi" w:hAnsiTheme="minorHAnsi" w:cstheme="minorHAnsi"/>
                <w:i/>
                <w:iCs/>
              </w:rPr>
              <w:t>Indigenous;</w:t>
            </w:r>
            <w:proofErr w:type="gramEnd"/>
          </w:p>
          <w:p w14:paraId="7819C457"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w:t>
            </w:r>
          </w:p>
          <w:p w14:paraId="0F8E344C"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 xml:space="preserve">- 91% received DSP </w:t>
            </w:r>
          </w:p>
          <w:p w14:paraId="5D78F04B" w14:textId="77777777" w:rsidR="00142C7A" w:rsidRPr="00142C7A" w:rsidRDefault="00142C7A" w:rsidP="00A23068">
            <w:pPr>
              <w:rPr>
                <w:rFonts w:asciiTheme="minorHAnsi" w:hAnsiTheme="minorHAnsi" w:cstheme="minorHAnsi"/>
                <w:i/>
                <w:iCs/>
              </w:rPr>
            </w:pPr>
            <w:r w:rsidRPr="00142C7A">
              <w:rPr>
                <w:rFonts w:asciiTheme="minorHAnsi" w:hAnsiTheme="minorHAnsi" w:cstheme="minorHAnsi"/>
                <w:i/>
                <w:iCs/>
              </w:rPr>
              <w:t>34% worked full-time hours</w:t>
            </w:r>
          </w:p>
          <w:p w14:paraId="1E50BC95" w14:textId="77777777" w:rsidR="00142C7A" w:rsidRDefault="00142C7A" w:rsidP="00A23068">
            <w:pPr>
              <w:rPr>
                <w:rFonts w:asciiTheme="minorHAnsi" w:hAnsiTheme="minorHAnsi" w:cstheme="minorHAnsi"/>
              </w:rPr>
            </w:pPr>
            <w:r w:rsidRPr="00142C7A">
              <w:rPr>
                <w:rFonts w:asciiTheme="minorHAnsi" w:hAnsiTheme="minorHAnsi" w:cstheme="minorHAnsi"/>
              </w:rPr>
              <w:t>-</w:t>
            </w:r>
          </w:p>
          <w:p w14:paraId="03A75F4A" w14:textId="04933479" w:rsidR="00A66C56" w:rsidRPr="00142C7A" w:rsidRDefault="00A66C56" w:rsidP="00A23068">
            <w:pPr>
              <w:rPr>
                <w:rFonts w:asciiTheme="minorHAnsi" w:hAnsiTheme="minorHAnsi" w:cstheme="minorHAnsi"/>
              </w:rPr>
            </w:pPr>
          </w:p>
        </w:tc>
      </w:tr>
    </w:tbl>
    <w:p w14:paraId="57675727" w14:textId="73EF629C" w:rsidR="00142C7A" w:rsidRDefault="00142C7A" w:rsidP="0051376E">
      <w:pPr>
        <w:pStyle w:val="Normal4"/>
      </w:pPr>
      <w:r>
        <w:t>Note: Prior to 2005, disability employment service outlets</w:t>
      </w:r>
      <w:r w:rsidRPr="00801348">
        <w:t xml:space="preserve"> </w:t>
      </w:r>
      <w:r>
        <w:t>had a third category for ‘dual open/supported’ employment and</w:t>
      </w:r>
      <w:r w:rsidR="009446B6">
        <w:t xml:space="preserve"> data </w:t>
      </w:r>
      <w:r w:rsidR="00364DF2">
        <w:t>were</w:t>
      </w:r>
      <w:r w:rsidR="009446B6">
        <w:t xml:space="preserve"> collected and reported across three categories.</w:t>
      </w:r>
      <w:r>
        <w:t xml:space="preserve"> </w:t>
      </w:r>
      <w:r w:rsidR="009446B6">
        <w:t>T</w:t>
      </w:r>
      <w:r>
        <w:t>he census data earlier than 2005 was not included here</w:t>
      </w:r>
      <w:r w:rsidR="009446B6">
        <w:t xml:space="preserve"> </w:t>
      </w:r>
      <w:r w:rsidR="006443C4">
        <w:t>due to different data collection approaches used</w:t>
      </w:r>
      <w:r>
        <w:t>.</w:t>
      </w:r>
    </w:p>
    <w:p w14:paraId="32874B49" w14:textId="2CC9EF0E" w:rsidR="00DF52D4" w:rsidRDefault="00DF52D4">
      <w:r>
        <w:br w:type="page"/>
      </w:r>
    </w:p>
    <w:p w14:paraId="4E9236FC" w14:textId="08DB044B" w:rsidR="00DF52D4" w:rsidRDefault="00DF52D4" w:rsidP="00DF52D4">
      <w:pPr>
        <w:pStyle w:val="Heading2"/>
      </w:pPr>
      <w:r>
        <w:lastRenderedPageBreak/>
        <w:t xml:space="preserve">Appendix 2: </w:t>
      </w:r>
      <w:r w:rsidR="00741D08">
        <w:t xml:space="preserve">historical </w:t>
      </w:r>
      <w:r>
        <w:t>Data 2009/10</w:t>
      </w:r>
      <w:r w:rsidR="00185E52">
        <w:t xml:space="preserve"> </w:t>
      </w:r>
      <w:r w:rsidR="00D145D4">
        <w:t>–</w:t>
      </w:r>
      <w:r w:rsidR="00185E52">
        <w:t xml:space="preserve"> </w:t>
      </w:r>
      <w:r w:rsidR="00D145D4">
        <w:t>2018/19</w:t>
      </w:r>
    </w:p>
    <w:p w14:paraId="6AB0EB11" w14:textId="0381F608" w:rsidR="00DF52D4" w:rsidRDefault="00E457E6" w:rsidP="00333F99">
      <w:pPr>
        <w:pStyle w:val="Normal4"/>
      </w:pPr>
      <w:r>
        <w:t xml:space="preserve">Data </w:t>
      </w:r>
      <w:r w:rsidR="00741D08">
        <w:t>s</w:t>
      </w:r>
      <w:r w:rsidR="00DF52D4">
        <w:t xml:space="preserve">ource: </w:t>
      </w:r>
    </w:p>
    <w:p w14:paraId="6B670F16" w14:textId="28B961CF" w:rsidR="009F7116" w:rsidRPr="00AA581A" w:rsidRDefault="00A32352" w:rsidP="00333F99">
      <w:pPr>
        <w:pStyle w:val="Normal4"/>
      </w:pPr>
      <w:r w:rsidRPr="00A32352">
        <w:t>Report o</w:t>
      </w:r>
      <w:r w:rsidR="00013BCB">
        <w:t>n</w:t>
      </w:r>
      <w:r w:rsidRPr="00A32352">
        <w:t xml:space="preserve"> Government Services,</w:t>
      </w:r>
      <w:r w:rsidR="00013BCB">
        <w:t xml:space="preserve"> </w:t>
      </w:r>
      <w:r w:rsidR="00477074">
        <w:t>15 Services for People with Disability (</w:t>
      </w:r>
      <w:r w:rsidRPr="00A32352">
        <w:t>Productivity Commission</w:t>
      </w:r>
      <w:r w:rsidR="00477074">
        <w:t xml:space="preserve">, </w:t>
      </w:r>
      <w:r w:rsidRPr="00A32352">
        <w:t>202</w:t>
      </w:r>
      <w:r w:rsidR="00477074">
        <w:t>1)</w:t>
      </w:r>
      <w:r w:rsidR="000E1682">
        <w:t>.</w:t>
      </w:r>
    </w:p>
    <w:p w14:paraId="5D1AA871" w14:textId="3D42A837" w:rsidR="00185E52" w:rsidRDefault="00965BF8" w:rsidP="000E1682">
      <w:pPr>
        <w:pStyle w:val="Table"/>
        <w:rPr>
          <w:rFonts w:asciiTheme="minorHAnsi" w:hAnsiTheme="minorHAnsi" w:cstheme="minorHAnsi"/>
          <w:sz w:val="20"/>
          <w:szCs w:val="20"/>
        </w:rPr>
      </w:pPr>
      <w:r>
        <w:t xml:space="preserve">Figure </w:t>
      </w:r>
      <w:r w:rsidR="007F664B">
        <w:t>2</w:t>
      </w:r>
      <w:r>
        <w:t xml:space="preserve">: </w:t>
      </w:r>
      <w:r w:rsidRPr="00A93A02">
        <w:t xml:space="preserve">Overview of people used ADEs and open employment, 2009-2019 (Data source: </w:t>
      </w:r>
      <w:proofErr w:type="spellStart"/>
      <w:r w:rsidRPr="00A93A02">
        <w:t>RoGS</w:t>
      </w:r>
      <w:proofErr w:type="spellEnd"/>
      <w:r w:rsidRPr="00A93A02">
        <w:t xml:space="preserve"> 2021)</w:t>
      </w:r>
      <w:r w:rsidR="00D145D4">
        <w:rPr>
          <w:noProof/>
        </w:rPr>
        <w:drawing>
          <wp:inline distT="0" distB="0" distL="0" distR="0" wp14:anchorId="214E158D" wp14:editId="53BAA18A">
            <wp:extent cx="6356350" cy="3775075"/>
            <wp:effectExtent l="0" t="0" r="6350" b="0"/>
            <wp:docPr id="1" name="Chart 1" descr="This is a bar graph showing the number of people using ADEs per year between the years 2009-10 and 2018-19. Between the years 2009-10 and 2012-13 the numbers are relatively stable at around 21,000 people. From 2013-14 the numbers start to slowly decline by approximately 1,000 per annum, until 2017-18 when numbers decline dramatically to 14,141 people in ADEs. The graph also shows that across the same period there is a relatively stable increase in the number of people with an employment restriction who used Employment Support Services.">
              <a:extLst xmlns:a="http://schemas.openxmlformats.org/drawingml/2006/main">
                <a:ext uri="{FF2B5EF4-FFF2-40B4-BE49-F238E27FC236}">
                  <a16:creationId xmlns:a16="http://schemas.microsoft.com/office/drawing/2014/main" id="{446597A1-7750-48F9-A981-AA31FDDC30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DE80911" w14:textId="0897CF2C" w:rsidR="00965BF8" w:rsidRPr="00142C7A" w:rsidRDefault="00965BF8" w:rsidP="00965BF8">
      <w:pPr>
        <w:rPr>
          <w:rFonts w:asciiTheme="minorHAnsi" w:hAnsiTheme="minorHAnsi" w:cstheme="minorHAnsi"/>
          <w:sz w:val="20"/>
          <w:szCs w:val="20"/>
        </w:rPr>
      </w:pPr>
      <w:r w:rsidRPr="00142C7A">
        <w:rPr>
          <w:rFonts w:asciiTheme="minorHAnsi" w:hAnsiTheme="minorHAnsi" w:cstheme="minorHAnsi"/>
          <w:sz w:val="20"/>
          <w:szCs w:val="20"/>
        </w:rPr>
        <w:t>(Note: The ‘potential population’ is the number of people with the potential to require disability support services, including individuals who meet the service eligibility criteria but who do not demand the services. The potential population varies across different services.)</w:t>
      </w:r>
      <w:r w:rsidR="000E1682">
        <w:rPr>
          <w:rFonts w:asciiTheme="minorHAnsi" w:hAnsiTheme="minorHAnsi" w:cstheme="minorHAnsi"/>
          <w:sz w:val="20"/>
          <w:szCs w:val="20"/>
        </w:rPr>
        <w:t>.</w:t>
      </w:r>
    </w:p>
    <w:p w14:paraId="1DB610D8" w14:textId="77777777" w:rsidR="00E457E6" w:rsidRDefault="00E457E6" w:rsidP="00965BF8">
      <w:pPr>
        <w:rPr>
          <w:rFonts w:asciiTheme="minorHAnsi" w:hAnsiTheme="minorHAnsi" w:cstheme="minorHAnsi"/>
          <w:sz w:val="20"/>
          <w:szCs w:val="20"/>
        </w:rPr>
      </w:pPr>
    </w:p>
    <w:p w14:paraId="30AA3B37" w14:textId="6CB15875" w:rsidR="00BB6DBF" w:rsidRDefault="00965BF8" w:rsidP="00E8069C">
      <w:pPr>
        <w:pStyle w:val="Normal4"/>
      </w:pPr>
      <w:r w:rsidRPr="002162F7">
        <w:t>Due to funding changes and NDIS roll out affecting ADEs</w:t>
      </w:r>
      <w:r w:rsidR="00E3350E" w:rsidRPr="002162F7">
        <w:t xml:space="preserve">, </w:t>
      </w:r>
      <w:r w:rsidR="007E732A" w:rsidRPr="002162F7">
        <w:t>t</w:t>
      </w:r>
      <w:r w:rsidRPr="002162F7">
        <w:t>he 2018-19 data reflects a decreasing funding pool of organisations funded via DSS, with organisations now receiving funding via NDIS (for ADE activities) not included here.</w:t>
      </w:r>
      <w:r w:rsidR="00E3350E" w:rsidRPr="002162F7">
        <w:t xml:space="preserve"> According to the Employment Outcomes report (NDIA, 2018), a total of 8,908 NDIS participants worked in ADEs by 30 June 2018. </w:t>
      </w:r>
      <w:r w:rsidR="003A4997" w:rsidRPr="002162F7">
        <w:t>It can then be estimated that roughly 23,000</w:t>
      </w:r>
      <w:r w:rsidR="004B6DFA" w:rsidRPr="002162F7">
        <w:t xml:space="preserve"> </w:t>
      </w:r>
      <w:r w:rsidR="00C4396F" w:rsidRPr="002162F7">
        <w:t>people</w:t>
      </w:r>
      <w:r w:rsidR="003A4997" w:rsidRPr="002162F7">
        <w:t xml:space="preserve"> (</w:t>
      </w:r>
      <w:r w:rsidR="004B6DFA" w:rsidRPr="002162F7">
        <w:t xml:space="preserve">14,141 </w:t>
      </w:r>
      <w:r w:rsidR="00C4396F" w:rsidRPr="002162F7">
        <w:t xml:space="preserve">funded via </w:t>
      </w:r>
      <w:r w:rsidR="004B6DFA" w:rsidRPr="002162F7">
        <w:t xml:space="preserve">DSS and 8,908 </w:t>
      </w:r>
      <w:r w:rsidR="00C4396F" w:rsidRPr="002162F7">
        <w:t>funded via</w:t>
      </w:r>
      <w:r w:rsidR="004B6DFA" w:rsidRPr="002162F7">
        <w:t xml:space="preserve"> NDIS) were in ADEs</w:t>
      </w:r>
      <w:r w:rsidR="001701C7" w:rsidRPr="002162F7">
        <w:t xml:space="preserve"> </w:t>
      </w:r>
      <w:r w:rsidR="00275C04" w:rsidRPr="002162F7">
        <w:t xml:space="preserve">by June 2018. </w:t>
      </w:r>
    </w:p>
    <w:p w14:paraId="04078DD4" w14:textId="30D8A7D4" w:rsidR="002162F7" w:rsidRDefault="002162F7">
      <w:pPr>
        <w:rPr>
          <w:rFonts w:asciiTheme="minorHAnsi" w:eastAsiaTheme="minorEastAsia" w:hAnsiTheme="minorHAnsi" w:cstheme="minorBidi"/>
          <w:color w:val="414042" w:themeColor="text1"/>
          <w:szCs w:val="20"/>
          <w:lang w:val="en-US" w:bidi="ar-SA"/>
        </w:rPr>
      </w:pPr>
      <w:r>
        <w:br w:type="page"/>
      </w:r>
    </w:p>
    <w:p w14:paraId="02AB3122" w14:textId="1167EF43" w:rsidR="002162F7" w:rsidRDefault="002162F7" w:rsidP="00456F23">
      <w:pPr>
        <w:pStyle w:val="Heading2"/>
      </w:pPr>
      <w:r w:rsidRPr="002162F7">
        <w:lastRenderedPageBreak/>
        <w:t xml:space="preserve">Appendix </w:t>
      </w:r>
      <w:r>
        <w:t>3</w:t>
      </w:r>
      <w:r w:rsidRPr="002162F7">
        <w:t>:</w:t>
      </w:r>
      <w:r>
        <w:t xml:space="preserve"> Methodology for desktop review of ade</w:t>
      </w:r>
      <w:r w:rsidR="00456F23">
        <w:rPr>
          <w:caps w:val="0"/>
        </w:rPr>
        <w:t>s</w:t>
      </w:r>
      <w:r w:rsidRPr="002162F7">
        <w:t xml:space="preserve"> </w:t>
      </w:r>
    </w:p>
    <w:p w14:paraId="2F620CDD" w14:textId="4B589CEC" w:rsidR="00D37E03" w:rsidRDefault="00D37E03" w:rsidP="00333F99">
      <w:pPr>
        <w:pStyle w:val="Normal4"/>
      </w:pPr>
      <w:r>
        <w:t xml:space="preserve">The National Disability Services (NDS) maintains the </w:t>
      </w:r>
      <w:proofErr w:type="spellStart"/>
      <w:r>
        <w:t>Buyability</w:t>
      </w:r>
      <w:proofErr w:type="spellEnd"/>
      <w:r>
        <w:t xml:space="preserve"> Directory of ADEs: </w:t>
      </w:r>
      <w:hyperlink r:id="rId40" w:history="1">
        <w:r w:rsidRPr="00DA1B64">
          <w:rPr>
            <w:rStyle w:val="Hyperlink"/>
          </w:rPr>
          <w:t>https://buyability.org.au/directory/</w:t>
        </w:r>
      </w:hyperlink>
      <w:r>
        <w:t>. This is currently the most comprehensive list of ADEs publicly available and is based on ADEs formerly funded by the Department of Social Services under the Australian Disability Enterprise Services program before it ceased. With assistance from NDS, CSI was able to access the</w:t>
      </w:r>
      <w:r w:rsidR="004F1BED">
        <w:t xml:space="preserve"> public</w:t>
      </w:r>
      <w:r>
        <w:t xml:space="preserve"> data on which the website is based</w:t>
      </w:r>
      <w:r w:rsidR="004F1BED">
        <w:t xml:space="preserve"> in an excel format</w:t>
      </w:r>
      <w:r>
        <w:t xml:space="preserve">. </w:t>
      </w:r>
    </w:p>
    <w:p w14:paraId="491AA9E9" w14:textId="74B5D5FC" w:rsidR="002162F7" w:rsidRDefault="00D37E03" w:rsidP="00333F99">
      <w:pPr>
        <w:pStyle w:val="Normal4"/>
      </w:pPr>
      <w:r>
        <w:t xml:space="preserve">The </w:t>
      </w:r>
      <w:proofErr w:type="spellStart"/>
      <w:r>
        <w:t>Buyability</w:t>
      </w:r>
      <w:proofErr w:type="spellEnd"/>
      <w:r>
        <w:t xml:space="preserve"> list was used as a base to undertake a desktop review to compare other data against. </w:t>
      </w:r>
      <w:r w:rsidR="007461CF">
        <w:t xml:space="preserve">The </w:t>
      </w:r>
      <w:proofErr w:type="spellStart"/>
      <w:r w:rsidR="007461CF">
        <w:t>Buyability</w:t>
      </w:r>
      <w:proofErr w:type="spellEnd"/>
      <w:r w:rsidR="007461CF">
        <w:t xml:space="preserve"> list was first cleaned and organised to collate all ADE outlets with their ADE provider, and to code them by size of supported employee workforce. Data was then compared with </w:t>
      </w:r>
      <w:r w:rsidR="00AE2822">
        <w:t xml:space="preserve">the </w:t>
      </w:r>
      <w:r w:rsidR="00C23773">
        <w:t>list of Disability Social Enterprises Signatories co</w:t>
      </w:r>
      <w:r w:rsidR="009319DA">
        <w:t>ordinated by the Endeavour Foundation</w:t>
      </w:r>
      <w:r w:rsidR="009265D9">
        <w:t xml:space="preserve">, which provided </w:t>
      </w:r>
      <w:r w:rsidR="007461CF">
        <w:t>supported employee</w:t>
      </w:r>
      <w:r w:rsidR="004A49DC">
        <w:t xml:space="preserve"> </w:t>
      </w:r>
      <w:r w:rsidR="000E4802">
        <w:t>counts</w:t>
      </w:r>
      <w:r w:rsidR="00E67D47">
        <w:t xml:space="preserve"> for 38 </w:t>
      </w:r>
      <w:r w:rsidR="00A2700B">
        <w:t>ADE</w:t>
      </w:r>
      <w:r w:rsidR="000E4802">
        <w:t xml:space="preserve"> organisations</w:t>
      </w:r>
      <w:r w:rsidR="00CF5D23">
        <w:t xml:space="preserve"> (last updated on 11 October 2022)</w:t>
      </w:r>
      <w:r w:rsidR="001E0BA9">
        <w:t>.</w:t>
      </w:r>
      <w:r w:rsidR="001C4387">
        <w:t xml:space="preserve"> </w:t>
      </w:r>
    </w:p>
    <w:p w14:paraId="7E085CD6" w14:textId="2188F509" w:rsidR="007461CF" w:rsidRDefault="007461CF" w:rsidP="00333F99">
      <w:pPr>
        <w:pStyle w:val="Normal4"/>
      </w:pPr>
      <w:r>
        <w:t>A desktop review then added data from each of the websites</w:t>
      </w:r>
      <w:r w:rsidR="004F1BED">
        <w:t>,</w:t>
      </w:r>
      <w:r>
        <w:t xml:space="preserve"> and related documents, from each ADE provider and/or outlet. This data included, where available:</w:t>
      </w:r>
    </w:p>
    <w:p w14:paraId="7EDF099F" w14:textId="0C81BDAA" w:rsidR="007461CF" w:rsidRDefault="007461CF" w:rsidP="00226424">
      <w:pPr>
        <w:pStyle w:val="dotpoints"/>
      </w:pPr>
      <w:r>
        <w:t>the number of supported employees</w:t>
      </w:r>
    </w:p>
    <w:p w14:paraId="7ABE1165" w14:textId="7523F0B8" w:rsidR="007461CF" w:rsidRDefault="007461CF" w:rsidP="00226424">
      <w:pPr>
        <w:pStyle w:val="dotpoints"/>
      </w:pPr>
      <w:r>
        <w:t>target beneficiaries (employees) when other than people with disability</w:t>
      </w:r>
    </w:p>
    <w:p w14:paraId="7ED6AB97" w14:textId="597EE0EA" w:rsidR="007461CF" w:rsidRDefault="007461CF" w:rsidP="00226424">
      <w:pPr>
        <w:pStyle w:val="dotpoints"/>
      </w:pPr>
      <w:r>
        <w:t>the terminology used by the organisation to describe its ADE activity (for example, was the term ADE still in use, was the term ‘social enterprise’ used, or other?)</w:t>
      </w:r>
    </w:p>
    <w:p w14:paraId="738746F3" w14:textId="353887AD" w:rsidR="007461CF" w:rsidRDefault="007461CF" w:rsidP="00226424">
      <w:pPr>
        <w:pStyle w:val="dotpoints"/>
      </w:pPr>
      <w:r>
        <w:t>pathways to employment, including open employment, identified on the website.</w:t>
      </w:r>
    </w:p>
    <w:p w14:paraId="350B6B8E" w14:textId="77777777" w:rsidR="00DC4BDC" w:rsidRDefault="00DC4BDC" w:rsidP="00CC7E2E">
      <w:pPr>
        <w:pStyle w:val="dotpoints"/>
        <w:numPr>
          <w:ilvl w:val="0"/>
          <w:numId w:val="0"/>
        </w:numPr>
        <w:rPr>
          <w:rStyle w:val="Normal4Char"/>
        </w:rPr>
      </w:pPr>
    </w:p>
    <w:p w14:paraId="6BFD3679" w14:textId="18314406" w:rsidR="007461CF" w:rsidRDefault="007461CF" w:rsidP="00CC7E2E">
      <w:pPr>
        <w:pStyle w:val="dotpoints"/>
        <w:numPr>
          <w:ilvl w:val="0"/>
          <w:numId w:val="0"/>
        </w:numPr>
      </w:pPr>
      <w:r w:rsidRPr="00CC7E2E">
        <w:rPr>
          <w:rStyle w:val="Normal4Char"/>
        </w:rPr>
        <w:t xml:space="preserve">In addition, all ADE outlets/providers were checked for certification as a social enterprise by Social Traders by checking the Social Traders </w:t>
      </w:r>
      <w:hyperlink r:id="rId41" w:history="1">
        <w:r w:rsidRPr="00CC7E2E">
          <w:rPr>
            <w:rStyle w:val="Normal4Char"/>
          </w:rPr>
          <w:t>national directory of certified social enterprises</w:t>
        </w:r>
      </w:hyperlink>
      <w:r>
        <w:t>.</w:t>
      </w:r>
    </w:p>
    <w:p w14:paraId="18702682" w14:textId="3DE44A1F" w:rsidR="007461CF" w:rsidRDefault="007461CF" w:rsidP="00333F99">
      <w:pPr>
        <w:pStyle w:val="Normal4"/>
      </w:pPr>
      <w:r>
        <w:t xml:space="preserve">Finally, ADE providers were also checked on the NDIS </w:t>
      </w:r>
      <w:hyperlink r:id="rId42" w:history="1">
        <w:r w:rsidRPr="007461CF">
          <w:rPr>
            <w:rStyle w:val="Hyperlink"/>
          </w:rPr>
          <w:t>provider finder</w:t>
        </w:r>
      </w:hyperlink>
      <w:r>
        <w:t xml:space="preserve"> to establish the range of NDIS services the ADE providers offered, if any</w:t>
      </w:r>
      <w:r w:rsidR="001B00AB">
        <w:t>,</w:t>
      </w:r>
      <w:r>
        <w:t xml:space="preserve"> in addition to supported employment. </w:t>
      </w:r>
    </w:p>
    <w:p w14:paraId="421622D1" w14:textId="147CCDDD" w:rsidR="004F1BED" w:rsidRDefault="004F1BED" w:rsidP="00333F99">
      <w:pPr>
        <w:pStyle w:val="Normal4"/>
      </w:pPr>
      <w:r>
        <w:t xml:space="preserve">Decisions were then made about the data fields where sufficient data was available to support analysis. Where possible, results were compared across sources (including comparisons with publicly available historical data). </w:t>
      </w:r>
    </w:p>
    <w:p w14:paraId="12F259C0" w14:textId="17EA8051" w:rsidR="004F1BED" w:rsidRPr="002162F7" w:rsidRDefault="004F1BED" w:rsidP="00333F99">
      <w:pPr>
        <w:pStyle w:val="Normal4"/>
      </w:pPr>
      <w:r>
        <w:t>Due to the short timeframe of the project, not all data fields were able to be fully populated. It is the intention of the research team to continue to expand this data set, subject to resources.</w:t>
      </w:r>
    </w:p>
    <w:sectPr w:rsidR="004F1BED" w:rsidRPr="002162F7" w:rsidSect="00A253CA">
      <w:pgSz w:w="11906" w:h="16838"/>
      <w:pgMar w:top="826" w:right="1418" w:bottom="1295" w:left="1418" w:header="850" w:footer="850" w:gutter="0"/>
      <w:cols w:space="113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08851A" w14:textId="77777777" w:rsidR="00AD527F" w:rsidRDefault="00AD527F" w:rsidP="003C0EFA">
      <w:r>
        <w:separator/>
      </w:r>
    </w:p>
  </w:endnote>
  <w:endnote w:type="continuationSeparator" w:id="0">
    <w:p w14:paraId="34EF809B" w14:textId="77777777" w:rsidR="00AD527F" w:rsidRDefault="00AD527F" w:rsidP="003C0EFA">
      <w:r>
        <w:continuationSeparator/>
      </w:r>
    </w:p>
  </w:endnote>
  <w:endnote w:type="continuationNotice" w:id="1">
    <w:p w14:paraId="301F309A" w14:textId="77777777" w:rsidR="00AD527F" w:rsidRDefault="00AD52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6ADDDA2-F5BE-4592-B084-C70FFF68E605}"/>
    <w:embedBold r:id="rId2" w:fontKey="{94D4944F-9852-4C38-A9AD-FD9FBBCB8BD6}"/>
    <w:embedItalic r:id="rId3" w:fontKey="{740B5E50-5D2A-44D8-BB8C-70FAEB8BD287}"/>
    <w:embedBoldItalic r:id="rId4" w:fontKey="{2097E4B7-165A-437D-BDF0-8E6AC46C3074}"/>
  </w:font>
  <w:font w:name="Arial">
    <w:panose1 w:val="020B0604020202020204"/>
    <w:charset w:val="00"/>
    <w:family w:val="swiss"/>
    <w:pitch w:val="variable"/>
    <w:sig w:usb0="E0002EFF" w:usb1="C000785B" w:usb2="00000009" w:usb3="00000000" w:csb0="000001FF" w:csb1="00000000"/>
  </w:font>
  <w:font w:name="Arial Nova Cond">
    <w:charset w:val="00"/>
    <w:family w:val="swiss"/>
    <w:pitch w:val="variable"/>
    <w:sig w:usb0="0000028F" w:usb1="00000002" w:usb2="00000000" w:usb3="00000000" w:csb0="0000019F" w:csb1="00000000"/>
    <w:embedRegular r:id="rId5" w:fontKey="{D1D6F1D3-71AD-43EB-B8A7-E796DFFD777B}"/>
    <w:embedBold r:id="rId6" w:fontKey="{4A91DB11-6F86-4F10-BBFF-7F56D9623CDA}"/>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7" w:fontKey="{6C8815A3-BCE8-4BE4-912D-D9A299B51BEA}"/>
  </w:font>
  <w:font w:name="MS Mincho">
    <w:altName w:val="ＭＳ 明朝"/>
    <w:panose1 w:val="02020609040205080304"/>
    <w:charset w:val="80"/>
    <w:family w:val="modern"/>
    <w:pitch w:val="fixed"/>
    <w:sig w:usb0="E00002FF" w:usb1="6AC7FDFB" w:usb2="08000012" w:usb3="00000000" w:csb0="0002009F" w:csb1="00000000"/>
  </w:font>
  <w:font w:name="Source Sans Pro">
    <w:charset w:val="00"/>
    <w:family w:val="swiss"/>
    <w:pitch w:val="variable"/>
    <w:sig w:usb0="600002F7" w:usb1="02000001" w:usb2="00000000" w:usb3="00000000" w:csb0="0000019F" w:csb1="00000000"/>
    <w:embedRegular r:id="rId8" w:fontKey="{CF32C610-1B19-4BAE-9E16-527E5BA80D70}"/>
  </w:font>
  <w:font w:name="Calibri Light">
    <w:panose1 w:val="020F0302020204030204"/>
    <w:charset w:val="00"/>
    <w:family w:val="swiss"/>
    <w:pitch w:val="variable"/>
    <w:sig w:usb0="E4002EFF" w:usb1="C000247B" w:usb2="00000009" w:usb3="00000000" w:csb0="000001FF" w:csb1="00000000"/>
    <w:embedRegular r:id="rId9" w:fontKey="{DF361B67-63B3-4DDB-A5BB-4D7FD1550686}"/>
  </w:font>
  <w:font w:name="Open Sans">
    <w:panose1 w:val="020B0606030504020204"/>
    <w:charset w:val="00"/>
    <w:family w:val="swiss"/>
    <w:pitch w:val="variable"/>
    <w:sig w:usb0="E00002EF" w:usb1="4000205B" w:usb2="00000028" w:usb3="00000000" w:csb0="0000019F" w:csb1="00000000"/>
    <w:embedRegular r:id="rId10" w:fontKey="{82C41298-EC21-4949-B4E3-86AF8DC80CDB}"/>
    <w:embedBoldItalic r:id="rId11" w:fontKey="{BD899961-29A3-4A0A-B443-ABDB79628B82}"/>
  </w:font>
  <w:font w:name="Arial Nova Cond Light">
    <w:charset w:val="00"/>
    <w:family w:val="swiss"/>
    <w:pitch w:val="variable"/>
    <w:sig w:usb0="0000028F" w:usb1="00000002" w:usb2="00000000" w:usb3="00000000" w:csb0="0000019F" w:csb1="00000000"/>
    <w:embedRegular r:id="rId12" w:fontKey="{E7B4E62C-B1C9-4165-AEFD-57B4B4F2A461}"/>
    <w:embedItalic r:id="rId13" w:fontKey="{E9569D5E-0235-4EC6-B3C0-A813B44D144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2662795"/>
      <w:docPartObj>
        <w:docPartGallery w:val="Page Numbers (Bottom of Page)"/>
        <w:docPartUnique/>
      </w:docPartObj>
    </w:sdtPr>
    <w:sdtEndPr>
      <w:rPr>
        <w:noProof/>
      </w:rPr>
    </w:sdtEndPr>
    <w:sdtContent>
      <w:p w14:paraId="0C8606CF" w14:textId="37D37A19" w:rsidR="00386FAD" w:rsidRDefault="00386FA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DCB60E0" w14:textId="77777777" w:rsidR="00386FAD" w:rsidRDefault="00386F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35E9BE" w14:textId="77777777" w:rsidR="00AD527F" w:rsidRDefault="00AD527F" w:rsidP="003C0EFA">
      <w:r>
        <w:separator/>
      </w:r>
    </w:p>
  </w:footnote>
  <w:footnote w:type="continuationSeparator" w:id="0">
    <w:p w14:paraId="610C951E" w14:textId="77777777" w:rsidR="00AD527F" w:rsidRDefault="00AD527F" w:rsidP="003C0EFA">
      <w:r>
        <w:continuationSeparator/>
      </w:r>
    </w:p>
  </w:footnote>
  <w:footnote w:type="continuationNotice" w:id="1">
    <w:p w14:paraId="2B7398D1" w14:textId="77777777" w:rsidR="00AD527F" w:rsidRDefault="00AD527F"/>
  </w:footnote>
  <w:footnote w:id="2">
    <w:p w14:paraId="6B9B38A7" w14:textId="0FC2E6CA" w:rsidR="00137A7B" w:rsidRPr="00137A7B" w:rsidRDefault="00137A7B" w:rsidP="00226424">
      <w:pPr>
        <w:pStyle w:val="dotpoints"/>
        <w:numPr>
          <w:ilvl w:val="0"/>
          <w:numId w:val="0"/>
        </w:numPr>
        <w:ind w:left="-142"/>
      </w:pPr>
      <w:r w:rsidRPr="00137A7B">
        <w:rPr>
          <w:rStyle w:val="FootnoteReference"/>
          <w:sz w:val="20"/>
          <w:szCs w:val="20"/>
        </w:rPr>
        <w:footnoteRef/>
      </w:r>
      <w:r w:rsidRPr="00137A7B">
        <w:t xml:space="preserve"> DSS </w:t>
      </w:r>
      <w:r>
        <w:t xml:space="preserve">was </w:t>
      </w:r>
      <w:r w:rsidRPr="00137A7B">
        <w:t xml:space="preserve">reported </w:t>
      </w:r>
      <w:r>
        <w:t>as starting to</w:t>
      </w:r>
      <w:r w:rsidRPr="00137A7B">
        <w:t xml:space="preserve"> collect annual data on a range of disability services funded by DSS including supported employment services/ADEs, since 2018. However, this data feeds into the RoGs and no data </w:t>
      </w:r>
      <w:r>
        <w:t xml:space="preserve">is </w:t>
      </w:r>
      <w:r w:rsidRPr="00137A7B">
        <w:t>available on the DSS website</w:t>
      </w:r>
      <w:r>
        <w:t xml:space="preserve">. </w:t>
      </w:r>
      <w:r w:rsidRPr="00137A7B">
        <w:t>The RoGS published in 2021 has data on ‘Users of supported employment services/ADEs aged 15-64 years (by sex); from 2010 to 2019</w:t>
      </w:r>
      <w:r>
        <w:t>’</w:t>
      </w:r>
      <w:r w:rsidRPr="00137A7B">
        <w:t xml:space="preserve"> (Table 15A.58</w:t>
      </w:r>
      <w:r>
        <w:t xml:space="preserve">). However, NDIS roll out affects data in </w:t>
      </w:r>
      <w:r w:rsidR="00274FB5">
        <w:t xml:space="preserve">the </w:t>
      </w:r>
      <w:r>
        <w:t>later years</w:t>
      </w:r>
      <w:r w:rsidR="00274FB5">
        <w:t xml:space="preserve"> of this data set</w:t>
      </w:r>
      <w:r>
        <w:t>.</w:t>
      </w:r>
      <w:r w:rsidR="00274FB5">
        <w:t xml:space="preserve"> See Appendix 2.</w:t>
      </w:r>
    </w:p>
    <w:p w14:paraId="47612438" w14:textId="3CD96085" w:rsidR="00137A7B" w:rsidRPr="00137A7B" w:rsidRDefault="00137A7B">
      <w:pPr>
        <w:pStyle w:val="FootnoteText"/>
        <w:rPr>
          <w:lang w:val="en-AU"/>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E1366"/>
    <w:multiLevelType w:val="hybridMultilevel"/>
    <w:tmpl w:val="7D94F3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3B7DF3"/>
    <w:multiLevelType w:val="hybridMultilevel"/>
    <w:tmpl w:val="46EE9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CB10FA3"/>
    <w:multiLevelType w:val="hybridMultilevel"/>
    <w:tmpl w:val="73E6CAB0"/>
    <w:lvl w:ilvl="0" w:tplc="0D10869C">
      <w:start w:val="15"/>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442B7F"/>
    <w:multiLevelType w:val="multilevel"/>
    <w:tmpl w:val="837A80A6"/>
    <w:lvl w:ilvl="0">
      <w:start w:val="1"/>
      <w:numFmt w:val="decimal"/>
      <w:pStyle w:val="NumberedList1"/>
      <w:lvlText w:val="%1)"/>
      <w:lvlJc w:val="left"/>
      <w:pPr>
        <w:tabs>
          <w:tab w:val="num" w:pos="850"/>
        </w:tabs>
        <w:ind w:left="850" w:hanging="425"/>
      </w:pPr>
    </w:lvl>
    <w:lvl w:ilvl="1">
      <w:start w:val="1"/>
      <w:numFmt w:val="decimal"/>
      <w:pStyle w:val="NumberedList11"/>
      <w:lvlText w:val="%2)"/>
      <w:lvlJc w:val="left"/>
      <w:pPr>
        <w:tabs>
          <w:tab w:val="num" w:pos="850"/>
        </w:tabs>
        <w:ind w:left="850" w:hanging="425"/>
      </w:pPr>
    </w:lvl>
    <w:lvl w:ilvl="2">
      <w:start w:val="1"/>
      <w:numFmt w:val="decimal"/>
      <w:pStyle w:val="NumberedList12"/>
      <w:lvlText w:val="%3)"/>
      <w:lvlJc w:val="left"/>
      <w:pPr>
        <w:tabs>
          <w:tab w:val="num" w:pos="1276"/>
        </w:tabs>
        <w:ind w:left="1276" w:hanging="426"/>
      </w:pPr>
    </w:lvl>
    <w:lvl w:ilvl="3">
      <w:start w:val="1"/>
      <w:numFmt w:val="decimal"/>
      <w:pStyle w:val="NumberedList13"/>
      <w:lvlText w:val="%4)"/>
      <w:lvlJc w:val="left"/>
      <w:pPr>
        <w:tabs>
          <w:tab w:val="num" w:pos="1701"/>
        </w:tabs>
        <w:ind w:left="1701" w:hanging="425"/>
      </w:pPr>
    </w:lvl>
    <w:lvl w:ilvl="4">
      <w:start w:val="1"/>
      <w:numFmt w:val="decimal"/>
      <w:pStyle w:val="NumberedList14"/>
      <w:lvlText w:val="%5)"/>
      <w:lvlJc w:val="left"/>
      <w:pPr>
        <w:tabs>
          <w:tab w:val="num" w:pos="2126"/>
        </w:tabs>
        <w:ind w:left="2126" w:hanging="425"/>
      </w:pPr>
    </w:lvl>
    <w:lvl w:ilvl="5">
      <w:start w:val="1"/>
      <w:numFmt w:val="decimal"/>
      <w:pStyle w:val="NumberedList15"/>
      <w:lvlText w:val="%6)"/>
      <w:lvlJc w:val="left"/>
      <w:pPr>
        <w:tabs>
          <w:tab w:val="num" w:pos="2551"/>
        </w:tabs>
        <w:ind w:left="2551" w:hanging="425"/>
      </w:pPr>
    </w:lvl>
    <w:lvl w:ilvl="6">
      <w:start w:val="1"/>
      <w:numFmt w:val="decimal"/>
      <w:pStyle w:val="NumberedList16"/>
      <w:lvlText w:val="%7)"/>
      <w:lvlJc w:val="left"/>
      <w:pPr>
        <w:tabs>
          <w:tab w:val="num" w:pos="2976"/>
        </w:tabs>
        <w:ind w:left="2976" w:hanging="425"/>
      </w:pPr>
    </w:lvl>
    <w:lvl w:ilvl="7">
      <w:start w:val="1"/>
      <w:numFmt w:val="decimal"/>
      <w:pStyle w:val="NumberedList17"/>
      <w:lvlText w:val="%8)"/>
      <w:lvlJc w:val="left"/>
      <w:pPr>
        <w:tabs>
          <w:tab w:val="num" w:pos="3402"/>
        </w:tabs>
        <w:ind w:left="3402" w:hanging="426"/>
      </w:pPr>
    </w:lvl>
    <w:lvl w:ilvl="8">
      <w:start w:val="1"/>
      <w:numFmt w:val="decimal"/>
      <w:pStyle w:val="NumberedList18"/>
      <w:lvlText w:val="%9)"/>
      <w:lvlJc w:val="left"/>
      <w:pPr>
        <w:tabs>
          <w:tab w:val="num" w:pos="3827"/>
        </w:tabs>
        <w:ind w:left="3827" w:hanging="425"/>
      </w:pPr>
    </w:lvl>
  </w:abstractNum>
  <w:abstractNum w:abstractNumId="4" w15:restartNumberingAfterBreak="0">
    <w:nsid w:val="14344CAD"/>
    <w:multiLevelType w:val="hybridMultilevel"/>
    <w:tmpl w:val="BBC4C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8582896"/>
    <w:multiLevelType w:val="hybridMultilevel"/>
    <w:tmpl w:val="9384B9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0A64F6"/>
    <w:multiLevelType w:val="hybridMultilevel"/>
    <w:tmpl w:val="EA729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6734AFC"/>
    <w:multiLevelType w:val="hybridMultilevel"/>
    <w:tmpl w:val="C8842B3E"/>
    <w:lvl w:ilvl="0" w:tplc="745EA83A">
      <w:numFmt w:val="bullet"/>
      <w:lvlText w:val="–"/>
      <w:lvlJc w:val="left"/>
      <w:pPr>
        <w:ind w:left="726" w:hanging="360"/>
      </w:pPr>
      <w:rPr>
        <w:rFonts w:ascii="Calibri" w:eastAsiaTheme="minorHAnsi" w:hAnsi="Calibri" w:cs="Calibri" w:hint="default"/>
      </w:rPr>
    </w:lvl>
    <w:lvl w:ilvl="1" w:tplc="0C090003" w:tentative="1">
      <w:start w:val="1"/>
      <w:numFmt w:val="bullet"/>
      <w:lvlText w:val="o"/>
      <w:lvlJc w:val="left"/>
      <w:pPr>
        <w:ind w:left="1446" w:hanging="360"/>
      </w:pPr>
      <w:rPr>
        <w:rFonts w:ascii="Courier New" w:hAnsi="Courier New" w:cs="Courier New" w:hint="default"/>
      </w:rPr>
    </w:lvl>
    <w:lvl w:ilvl="2" w:tplc="0C090005" w:tentative="1">
      <w:start w:val="1"/>
      <w:numFmt w:val="bullet"/>
      <w:lvlText w:val=""/>
      <w:lvlJc w:val="left"/>
      <w:pPr>
        <w:ind w:left="2166" w:hanging="360"/>
      </w:pPr>
      <w:rPr>
        <w:rFonts w:ascii="Wingdings" w:hAnsi="Wingdings" w:hint="default"/>
      </w:rPr>
    </w:lvl>
    <w:lvl w:ilvl="3" w:tplc="0C090001" w:tentative="1">
      <w:start w:val="1"/>
      <w:numFmt w:val="bullet"/>
      <w:lvlText w:val=""/>
      <w:lvlJc w:val="left"/>
      <w:pPr>
        <w:ind w:left="2886" w:hanging="360"/>
      </w:pPr>
      <w:rPr>
        <w:rFonts w:ascii="Symbol" w:hAnsi="Symbol" w:hint="default"/>
      </w:rPr>
    </w:lvl>
    <w:lvl w:ilvl="4" w:tplc="0C090003" w:tentative="1">
      <w:start w:val="1"/>
      <w:numFmt w:val="bullet"/>
      <w:lvlText w:val="o"/>
      <w:lvlJc w:val="left"/>
      <w:pPr>
        <w:ind w:left="3606" w:hanging="360"/>
      </w:pPr>
      <w:rPr>
        <w:rFonts w:ascii="Courier New" w:hAnsi="Courier New" w:cs="Courier New" w:hint="default"/>
      </w:rPr>
    </w:lvl>
    <w:lvl w:ilvl="5" w:tplc="0C090005" w:tentative="1">
      <w:start w:val="1"/>
      <w:numFmt w:val="bullet"/>
      <w:lvlText w:val=""/>
      <w:lvlJc w:val="left"/>
      <w:pPr>
        <w:ind w:left="4326" w:hanging="360"/>
      </w:pPr>
      <w:rPr>
        <w:rFonts w:ascii="Wingdings" w:hAnsi="Wingdings" w:hint="default"/>
      </w:rPr>
    </w:lvl>
    <w:lvl w:ilvl="6" w:tplc="0C090001" w:tentative="1">
      <w:start w:val="1"/>
      <w:numFmt w:val="bullet"/>
      <w:lvlText w:val=""/>
      <w:lvlJc w:val="left"/>
      <w:pPr>
        <w:ind w:left="5046" w:hanging="360"/>
      </w:pPr>
      <w:rPr>
        <w:rFonts w:ascii="Symbol" w:hAnsi="Symbol" w:hint="default"/>
      </w:rPr>
    </w:lvl>
    <w:lvl w:ilvl="7" w:tplc="0C090003" w:tentative="1">
      <w:start w:val="1"/>
      <w:numFmt w:val="bullet"/>
      <w:lvlText w:val="o"/>
      <w:lvlJc w:val="left"/>
      <w:pPr>
        <w:ind w:left="5766" w:hanging="360"/>
      </w:pPr>
      <w:rPr>
        <w:rFonts w:ascii="Courier New" w:hAnsi="Courier New" w:cs="Courier New" w:hint="default"/>
      </w:rPr>
    </w:lvl>
    <w:lvl w:ilvl="8" w:tplc="0C090005" w:tentative="1">
      <w:start w:val="1"/>
      <w:numFmt w:val="bullet"/>
      <w:lvlText w:val=""/>
      <w:lvlJc w:val="left"/>
      <w:pPr>
        <w:ind w:left="6486" w:hanging="360"/>
      </w:pPr>
      <w:rPr>
        <w:rFonts w:ascii="Wingdings" w:hAnsi="Wingdings" w:hint="default"/>
      </w:rPr>
    </w:lvl>
  </w:abstractNum>
  <w:abstractNum w:abstractNumId="8" w15:restartNumberingAfterBreak="0">
    <w:nsid w:val="31AC432F"/>
    <w:multiLevelType w:val="hybridMultilevel"/>
    <w:tmpl w:val="87425AB0"/>
    <w:lvl w:ilvl="0" w:tplc="8728AC0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9152AE1"/>
    <w:multiLevelType w:val="hybridMultilevel"/>
    <w:tmpl w:val="83A27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C4F5FDC"/>
    <w:multiLevelType w:val="hybridMultilevel"/>
    <w:tmpl w:val="B158EA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01E6FB3"/>
    <w:multiLevelType w:val="hybridMultilevel"/>
    <w:tmpl w:val="DCC29CBC"/>
    <w:lvl w:ilvl="0" w:tplc="C9540E9A">
      <w:start w:val="1"/>
      <w:numFmt w:val="bullet"/>
      <w:pStyle w:val="Bullet1"/>
      <w:lvlText w:val="»"/>
      <w:lvlJc w:val="left"/>
      <w:pPr>
        <w:ind w:left="740" w:hanging="360"/>
      </w:pPr>
      <w:rPr>
        <w:rFonts w:ascii="Times New Roman" w:hAnsi="Times New Roman" w:hint="default"/>
        <w:sz w:val="21"/>
      </w:rPr>
    </w:lvl>
    <w:lvl w:ilvl="1" w:tplc="0C090003" w:tentative="1">
      <w:start w:val="1"/>
      <w:numFmt w:val="bullet"/>
      <w:lvlText w:val="o"/>
      <w:lvlJc w:val="left"/>
      <w:pPr>
        <w:ind w:left="1460" w:hanging="360"/>
      </w:pPr>
      <w:rPr>
        <w:rFonts w:ascii="Courier New" w:hAnsi="Courier New" w:cs="Courier New" w:hint="default"/>
      </w:rPr>
    </w:lvl>
    <w:lvl w:ilvl="2" w:tplc="0C090005" w:tentative="1">
      <w:start w:val="1"/>
      <w:numFmt w:val="bullet"/>
      <w:lvlText w:val=""/>
      <w:lvlJc w:val="left"/>
      <w:pPr>
        <w:ind w:left="2180" w:hanging="360"/>
      </w:pPr>
      <w:rPr>
        <w:rFonts w:ascii="Wingdings" w:hAnsi="Wingdings" w:hint="default"/>
      </w:rPr>
    </w:lvl>
    <w:lvl w:ilvl="3" w:tplc="0C090001" w:tentative="1">
      <w:start w:val="1"/>
      <w:numFmt w:val="bullet"/>
      <w:lvlText w:val=""/>
      <w:lvlJc w:val="left"/>
      <w:pPr>
        <w:ind w:left="2900" w:hanging="360"/>
      </w:pPr>
      <w:rPr>
        <w:rFonts w:ascii="Symbol" w:hAnsi="Symbol" w:hint="default"/>
      </w:rPr>
    </w:lvl>
    <w:lvl w:ilvl="4" w:tplc="0C090003" w:tentative="1">
      <w:start w:val="1"/>
      <w:numFmt w:val="bullet"/>
      <w:lvlText w:val="o"/>
      <w:lvlJc w:val="left"/>
      <w:pPr>
        <w:ind w:left="3620" w:hanging="360"/>
      </w:pPr>
      <w:rPr>
        <w:rFonts w:ascii="Courier New" w:hAnsi="Courier New" w:cs="Courier New" w:hint="default"/>
      </w:rPr>
    </w:lvl>
    <w:lvl w:ilvl="5" w:tplc="0C090005" w:tentative="1">
      <w:start w:val="1"/>
      <w:numFmt w:val="bullet"/>
      <w:lvlText w:val=""/>
      <w:lvlJc w:val="left"/>
      <w:pPr>
        <w:ind w:left="4340" w:hanging="360"/>
      </w:pPr>
      <w:rPr>
        <w:rFonts w:ascii="Wingdings" w:hAnsi="Wingdings" w:hint="default"/>
      </w:rPr>
    </w:lvl>
    <w:lvl w:ilvl="6" w:tplc="0C090001" w:tentative="1">
      <w:start w:val="1"/>
      <w:numFmt w:val="bullet"/>
      <w:lvlText w:val=""/>
      <w:lvlJc w:val="left"/>
      <w:pPr>
        <w:ind w:left="5060" w:hanging="360"/>
      </w:pPr>
      <w:rPr>
        <w:rFonts w:ascii="Symbol" w:hAnsi="Symbol" w:hint="default"/>
      </w:rPr>
    </w:lvl>
    <w:lvl w:ilvl="7" w:tplc="0C090003" w:tentative="1">
      <w:start w:val="1"/>
      <w:numFmt w:val="bullet"/>
      <w:lvlText w:val="o"/>
      <w:lvlJc w:val="left"/>
      <w:pPr>
        <w:ind w:left="5780" w:hanging="360"/>
      </w:pPr>
      <w:rPr>
        <w:rFonts w:ascii="Courier New" w:hAnsi="Courier New" w:cs="Courier New" w:hint="default"/>
      </w:rPr>
    </w:lvl>
    <w:lvl w:ilvl="8" w:tplc="0C090005" w:tentative="1">
      <w:start w:val="1"/>
      <w:numFmt w:val="bullet"/>
      <w:lvlText w:val=""/>
      <w:lvlJc w:val="left"/>
      <w:pPr>
        <w:ind w:left="6500" w:hanging="360"/>
      </w:pPr>
      <w:rPr>
        <w:rFonts w:ascii="Wingdings" w:hAnsi="Wingdings" w:hint="default"/>
      </w:rPr>
    </w:lvl>
  </w:abstractNum>
  <w:abstractNum w:abstractNumId="12" w15:restartNumberingAfterBreak="0">
    <w:nsid w:val="4B181E17"/>
    <w:multiLevelType w:val="hybridMultilevel"/>
    <w:tmpl w:val="2F0C4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6FA59C1"/>
    <w:multiLevelType w:val="hybridMultilevel"/>
    <w:tmpl w:val="9FB44F3A"/>
    <w:lvl w:ilvl="0" w:tplc="D8F608F8">
      <w:start w:val="1"/>
      <w:numFmt w:val="bullet"/>
      <w:pStyle w:val="Tabledot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FFC6E53"/>
    <w:multiLevelType w:val="hybridMultilevel"/>
    <w:tmpl w:val="D96A66B4"/>
    <w:lvl w:ilvl="0" w:tplc="75E8A4F4">
      <w:start w:val="1"/>
      <w:numFmt w:val="bullet"/>
      <w:pStyle w:val="dotpoin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27B22A9"/>
    <w:multiLevelType w:val="hybridMultilevel"/>
    <w:tmpl w:val="BEE4AF8A"/>
    <w:lvl w:ilvl="0" w:tplc="91502AEC">
      <w:start w:val="1"/>
      <w:numFmt w:val="decimal"/>
      <w:pStyle w:val="numberedpoints"/>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11"/>
  </w:num>
  <w:num w:numId="2">
    <w:abstractNumId w:val="3"/>
  </w:num>
  <w:num w:numId="3">
    <w:abstractNumId w:val="2"/>
  </w:num>
  <w:num w:numId="4">
    <w:abstractNumId w:val="7"/>
  </w:num>
  <w:num w:numId="5">
    <w:abstractNumId w:val="8"/>
  </w:num>
  <w:num w:numId="6">
    <w:abstractNumId w:val="14"/>
  </w:num>
  <w:num w:numId="7">
    <w:abstractNumId w:val="12"/>
  </w:num>
  <w:num w:numId="8">
    <w:abstractNumId w:val="5"/>
  </w:num>
  <w:num w:numId="9">
    <w:abstractNumId w:val="4"/>
  </w:num>
  <w:num w:numId="10">
    <w:abstractNumId w:val="15"/>
  </w:num>
  <w:num w:numId="11">
    <w:abstractNumId w:val="9"/>
  </w:num>
  <w:num w:numId="12">
    <w:abstractNumId w:val="0"/>
  </w:num>
  <w:num w:numId="13">
    <w:abstractNumId w:val="13"/>
  </w:num>
  <w:num w:numId="14">
    <w:abstractNumId w:val="6"/>
  </w:num>
  <w:num w:numId="15">
    <w:abstractNumId w:val="1"/>
  </w:num>
  <w:num w:numId="16">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embedTrueTypeFonts/>
  <w:proofState w:spelling="clean" w:grammar="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233F"/>
    <w:rsid w:val="00000D55"/>
    <w:rsid w:val="00001854"/>
    <w:rsid w:val="000023DD"/>
    <w:rsid w:val="0000277F"/>
    <w:rsid w:val="00004C68"/>
    <w:rsid w:val="00004D94"/>
    <w:rsid w:val="0000502E"/>
    <w:rsid w:val="000056F9"/>
    <w:rsid w:val="00005C75"/>
    <w:rsid w:val="0000622C"/>
    <w:rsid w:val="0000648A"/>
    <w:rsid w:val="0000688E"/>
    <w:rsid w:val="0000696F"/>
    <w:rsid w:val="00007480"/>
    <w:rsid w:val="00007780"/>
    <w:rsid w:val="00010A29"/>
    <w:rsid w:val="00013454"/>
    <w:rsid w:val="00013B43"/>
    <w:rsid w:val="00013BCB"/>
    <w:rsid w:val="000143D3"/>
    <w:rsid w:val="00014D02"/>
    <w:rsid w:val="00016358"/>
    <w:rsid w:val="00017A6B"/>
    <w:rsid w:val="00017B5C"/>
    <w:rsid w:val="00017B91"/>
    <w:rsid w:val="00020F82"/>
    <w:rsid w:val="0002115B"/>
    <w:rsid w:val="00021C90"/>
    <w:rsid w:val="00022D87"/>
    <w:rsid w:val="000236E6"/>
    <w:rsid w:val="00023868"/>
    <w:rsid w:val="00024BCE"/>
    <w:rsid w:val="0002501D"/>
    <w:rsid w:val="00026DD6"/>
    <w:rsid w:val="00026DFB"/>
    <w:rsid w:val="00032B27"/>
    <w:rsid w:val="00032E55"/>
    <w:rsid w:val="00034E88"/>
    <w:rsid w:val="0003529A"/>
    <w:rsid w:val="00035332"/>
    <w:rsid w:val="0003562F"/>
    <w:rsid w:val="000357A0"/>
    <w:rsid w:val="00037389"/>
    <w:rsid w:val="0003784D"/>
    <w:rsid w:val="000378FF"/>
    <w:rsid w:val="000410D3"/>
    <w:rsid w:val="00043555"/>
    <w:rsid w:val="000446EE"/>
    <w:rsid w:val="00044DC6"/>
    <w:rsid w:val="00044E04"/>
    <w:rsid w:val="0004533C"/>
    <w:rsid w:val="000460EF"/>
    <w:rsid w:val="00047196"/>
    <w:rsid w:val="00050036"/>
    <w:rsid w:val="00050433"/>
    <w:rsid w:val="00050741"/>
    <w:rsid w:val="000512BC"/>
    <w:rsid w:val="000521D5"/>
    <w:rsid w:val="00053964"/>
    <w:rsid w:val="00053C36"/>
    <w:rsid w:val="000605DE"/>
    <w:rsid w:val="00060958"/>
    <w:rsid w:val="00061175"/>
    <w:rsid w:val="00061839"/>
    <w:rsid w:val="00061A99"/>
    <w:rsid w:val="00061C65"/>
    <w:rsid w:val="00061D0C"/>
    <w:rsid w:val="00062ED0"/>
    <w:rsid w:val="00063F0D"/>
    <w:rsid w:val="000657A5"/>
    <w:rsid w:val="00065912"/>
    <w:rsid w:val="000660B8"/>
    <w:rsid w:val="00066341"/>
    <w:rsid w:val="0007057F"/>
    <w:rsid w:val="000708F6"/>
    <w:rsid w:val="00070C76"/>
    <w:rsid w:val="00071BF6"/>
    <w:rsid w:val="00072D34"/>
    <w:rsid w:val="0007319A"/>
    <w:rsid w:val="00073CB1"/>
    <w:rsid w:val="000753CE"/>
    <w:rsid w:val="00075CB1"/>
    <w:rsid w:val="000760EB"/>
    <w:rsid w:val="000761C9"/>
    <w:rsid w:val="000763D5"/>
    <w:rsid w:val="0007704E"/>
    <w:rsid w:val="000775A1"/>
    <w:rsid w:val="0008182D"/>
    <w:rsid w:val="00081B23"/>
    <w:rsid w:val="0008390D"/>
    <w:rsid w:val="00083C45"/>
    <w:rsid w:val="000843CE"/>
    <w:rsid w:val="0008440E"/>
    <w:rsid w:val="00084CCD"/>
    <w:rsid w:val="00086A5C"/>
    <w:rsid w:val="00087695"/>
    <w:rsid w:val="00087F05"/>
    <w:rsid w:val="0009130E"/>
    <w:rsid w:val="00091C19"/>
    <w:rsid w:val="00091CB3"/>
    <w:rsid w:val="00092E0C"/>
    <w:rsid w:val="000930E8"/>
    <w:rsid w:val="000931BB"/>
    <w:rsid w:val="000934AA"/>
    <w:rsid w:val="00093FAA"/>
    <w:rsid w:val="00094A17"/>
    <w:rsid w:val="00095294"/>
    <w:rsid w:val="00097D80"/>
    <w:rsid w:val="000A0D28"/>
    <w:rsid w:val="000A2EA2"/>
    <w:rsid w:val="000A7FBC"/>
    <w:rsid w:val="000B0F94"/>
    <w:rsid w:val="000B19ED"/>
    <w:rsid w:val="000B20FD"/>
    <w:rsid w:val="000B2499"/>
    <w:rsid w:val="000B3EE8"/>
    <w:rsid w:val="000B4ACC"/>
    <w:rsid w:val="000B4FC2"/>
    <w:rsid w:val="000B57A7"/>
    <w:rsid w:val="000B57B0"/>
    <w:rsid w:val="000B6B66"/>
    <w:rsid w:val="000B7196"/>
    <w:rsid w:val="000B7399"/>
    <w:rsid w:val="000B7B58"/>
    <w:rsid w:val="000B7EFD"/>
    <w:rsid w:val="000C11B8"/>
    <w:rsid w:val="000C11C0"/>
    <w:rsid w:val="000C13E4"/>
    <w:rsid w:val="000C15F5"/>
    <w:rsid w:val="000C3B94"/>
    <w:rsid w:val="000C6CAA"/>
    <w:rsid w:val="000D0815"/>
    <w:rsid w:val="000D2956"/>
    <w:rsid w:val="000D5428"/>
    <w:rsid w:val="000D5B37"/>
    <w:rsid w:val="000D63A9"/>
    <w:rsid w:val="000D6648"/>
    <w:rsid w:val="000D6A33"/>
    <w:rsid w:val="000D6D25"/>
    <w:rsid w:val="000D724B"/>
    <w:rsid w:val="000D7D14"/>
    <w:rsid w:val="000D7FE5"/>
    <w:rsid w:val="000E1590"/>
    <w:rsid w:val="000E1682"/>
    <w:rsid w:val="000E30F1"/>
    <w:rsid w:val="000E34A0"/>
    <w:rsid w:val="000E3554"/>
    <w:rsid w:val="000E3929"/>
    <w:rsid w:val="000E3EE0"/>
    <w:rsid w:val="000E3F32"/>
    <w:rsid w:val="000E4802"/>
    <w:rsid w:val="000E5CF4"/>
    <w:rsid w:val="000E6F38"/>
    <w:rsid w:val="000E7632"/>
    <w:rsid w:val="000F1434"/>
    <w:rsid w:val="000F18E6"/>
    <w:rsid w:val="000F1A2E"/>
    <w:rsid w:val="000F2152"/>
    <w:rsid w:val="000F23DE"/>
    <w:rsid w:val="000F28AD"/>
    <w:rsid w:val="000F32D0"/>
    <w:rsid w:val="000F36EE"/>
    <w:rsid w:val="000F5041"/>
    <w:rsid w:val="000F54D7"/>
    <w:rsid w:val="000F6ADD"/>
    <w:rsid w:val="00101625"/>
    <w:rsid w:val="00101CB7"/>
    <w:rsid w:val="00101F63"/>
    <w:rsid w:val="00102086"/>
    <w:rsid w:val="0010327A"/>
    <w:rsid w:val="00103A6F"/>
    <w:rsid w:val="00105C98"/>
    <w:rsid w:val="001100CA"/>
    <w:rsid w:val="0011214C"/>
    <w:rsid w:val="001122CB"/>
    <w:rsid w:val="0011558F"/>
    <w:rsid w:val="001155AD"/>
    <w:rsid w:val="00115D89"/>
    <w:rsid w:val="00116CA7"/>
    <w:rsid w:val="00116F68"/>
    <w:rsid w:val="0011777C"/>
    <w:rsid w:val="00120214"/>
    <w:rsid w:val="00120585"/>
    <w:rsid w:val="001205E4"/>
    <w:rsid w:val="001217CE"/>
    <w:rsid w:val="0012287E"/>
    <w:rsid w:val="00122966"/>
    <w:rsid w:val="001233EE"/>
    <w:rsid w:val="00123A6B"/>
    <w:rsid w:val="00123B82"/>
    <w:rsid w:val="00125DE4"/>
    <w:rsid w:val="00126253"/>
    <w:rsid w:val="00127A6C"/>
    <w:rsid w:val="001300E4"/>
    <w:rsid w:val="001306AA"/>
    <w:rsid w:val="00131822"/>
    <w:rsid w:val="00131A01"/>
    <w:rsid w:val="00131AFB"/>
    <w:rsid w:val="00131B0B"/>
    <w:rsid w:val="00131B9B"/>
    <w:rsid w:val="00131D49"/>
    <w:rsid w:val="00131F2B"/>
    <w:rsid w:val="00134011"/>
    <w:rsid w:val="0013479C"/>
    <w:rsid w:val="00135203"/>
    <w:rsid w:val="00136E2C"/>
    <w:rsid w:val="001373B2"/>
    <w:rsid w:val="00137A4A"/>
    <w:rsid w:val="00137A7B"/>
    <w:rsid w:val="00140115"/>
    <w:rsid w:val="0014073C"/>
    <w:rsid w:val="00140906"/>
    <w:rsid w:val="00141513"/>
    <w:rsid w:val="0014185D"/>
    <w:rsid w:val="001418E3"/>
    <w:rsid w:val="00142169"/>
    <w:rsid w:val="0014273E"/>
    <w:rsid w:val="00142C7A"/>
    <w:rsid w:val="00143733"/>
    <w:rsid w:val="001440D1"/>
    <w:rsid w:val="00144256"/>
    <w:rsid w:val="001445FA"/>
    <w:rsid w:val="0014470F"/>
    <w:rsid w:val="001468D0"/>
    <w:rsid w:val="00147A1A"/>
    <w:rsid w:val="00150575"/>
    <w:rsid w:val="00150ABC"/>
    <w:rsid w:val="00150CC2"/>
    <w:rsid w:val="00151BC6"/>
    <w:rsid w:val="001520CC"/>
    <w:rsid w:val="00153210"/>
    <w:rsid w:val="00153805"/>
    <w:rsid w:val="00154F5A"/>
    <w:rsid w:val="001562FF"/>
    <w:rsid w:val="0015660A"/>
    <w:rsid w:val="00157C5D"/>
    <w:rsid w:val="00157D2D"/>
    <w:rsid w:val="00160231"/>
    <w:rsid w:val="00160382"/>
    <w:rsid w:val="001611A8"/>
    <w:rsid w:val="00161750"/>
    <w:rsid w:val="00161A9B"/>
    <w:rsid w:val="00162263"/>
    <w:rsid w:val="001625FE"/>
    <w:rsid w:val="0016405C"/>
    <w:rsid w:val="00164A53"/>
    <w:rsid w:val="00166D3B"/>
    <w:rsid w:val="00167860"/>
    <w:rsid w:val="001701C7"/>
    <w:rsid w:val="00170AE0"/>
    <w:rsid w:val="00172626"/>
    <w:rsid w:val="0017392E"/>
    <w:rsid w:val="00173C30"/>
    <w:rsid w:val="00173EFB"/>
    <w:rsid w:val="001742CA"/>
    <w:rsid w:val="00174D7E"/>
    <w:rsid w:val="00175D1B"/>
    <w:rsid w:val="00176694"/>
    <w:rsid w:val="001767DE"/>
    <w:rsid w:val="00176D86"/>
    <w:rsid w:val="0017761F"/>
    <w:rsid w:val="00181445"/>
    <w:rsid w:val="00181578"/>
    <w:rsid w:val="00181A8E"/>
    <w:rsid w:val="00181F97"/>
    <w:rsid w:val="00182372"/>
    <w:rsid w:val="0018253F"/>
    <w:rsid w:val="001829F1"/>
    <w:rsid w:val="001834B4"/>
    <w:rsid w:val="00183A3D"/>
    <w:rsid w:val="00183F1B"/>
    <w:rsid w:val="001840C9"/>
    <w:rsid w:val="0018428D"/>
    <w:rsid w:val="00184995"/>
    <w:rsid w:val="00185E52"/>
    <w:rsid w:val="0018695B"/>
    <w:rsid w:val="00186A4D"/>
    <w:rsid w:val="00196785"/>
    <w:rsid w:val="00197239"/>
    <w:rsid w:val="001A07A4"/>
    <w:rsid w:val="001A0E76"/>
    <w:rsid w:val="001A1605"/>
    <w:rsid w:val="001A1616"/>
    <w:rsid w:val="001A177F"/>
    <w:rsid w:val="001A1D33"/>
    <w:rsid w:val="001A2B33"/>
    <w:rsid w:val="001A3547"/>
    <w:rsid w:val="001A3755"/>
    <w:rsid w:val="001A4720"/>
    <w:rsid w:val="001A5177"/>
    <w:rsid w:val="001A5814"/>
    <w:rsid w:val="001A719A"/>
    <w:rsid w:val="001A7EB1"/>
    <w:rsid w:val="001B00AB"/>
    <w:rsid w:val="001B10CB"/>
    <w:rsid w:val="001B1EEB"/>
    <w:rsid w:val="001B3772"/>
    <w:rsid w:val="001B420F"/>
    <w:rsid w:val="001B4F5B"/>
    <w:rsid w:val="001B58A4"/>
    <w:rsid w:val="001B5D9E"/>
    <w:rsid w:val="001B5EB8"/>
    <w:rsid w:val="001B619C"/>
    <w:rsid w:val="001B64C8"/>
    <w:rsid w:val="001B662C"/>
    <w:rsid w:val="001B6B07"/>
    <w:rsid w:val="001B6D56"/>
    <w:rsid w:val="001B6DFC"/>
    <w:rsid w:val="001B71D7"/>
    <w:rsid w:val="001B78A6"/>
    <w:rsid w:val="001C03A2"/>
    <w:rsid w:val="001C1EC5"/>
    <w:rsid w:val="001C210B"/>
    <w:rsid w:val="001C2892"/>
    <w:rsid w:val="001C2AC3"/>
    <w:rsid w:val="001C2F84"/>
    <w:rsid w:val="001C329E"/>
    <w:rsid w:val="001C3366"/>
    <w:rsid w:val="001C3845"/>
    <w:rsid w:val="001C3B1E"/>
    <w:rsid w:val="001C3E7C"/>
    <w:rsid w:val="001C4387"/>
    <w:rsid w:val="001C48CD"/>
    <w:rsid w:val="001C682F"/>
    <w:rsid w:val="001C69E0"/>
    <w:rsid w:val="001C6B0C"/>
    <w:rsid w:val="001D0C71"/>
    <w:rsid w:val="001D24E2"/>
    <w:rsid w:val="001D3647"/>
    <w:rsid w:val="001D389C"/>
    <w:rsid w:val="001D3988"/>
    <w:rsid w:val="001D4371"/>
    <w:rsid w:val="001D563E"/>
    <w:rsid w:val="001D6791"/>
    <w:rsid w:val="001D78EF"/>
    <w:rsid w:val="001D7A8A"/>
    <w:rsid w:val="001E0865"/>
    <w:rsid w:val="001E0BA9"/>
    <w:rsid w:val="001E0DA8"/>
    <w:rsid w:val="001E1002"/>
    <w:rsid w:val="001E1B61"/>
    <w:rsid w:val="001E2641"/>
    <w:rsid w:val="001E2965"/>
    <w:rsid w:val="001E2C6E"/>
    <w:rsid w:val="001E37A6"/>
    <w:rsid w:val="001E3B58"/>
    <w:rsid w:val="001E40C3"/>
    <w:rsid w:val="001E411F"/>
    <w:rsid w:val="001E48B0"/>
    <w:rsid w:val="001E4A57"/>
    <w:rsid w:val="001E4F9E"/>
    <w:rsid w:val="001E5F17"/>
    <w:rsid w:val="001E6567"/>
    <w:rsid w:val="001E701E"/>
    <w:rsid w:val="001E7173"/>
    <w:rsid w:val="001E765C"/>
    <w:rsid w:val="001E7FD5"/>
    <w:rsid w:val="001F102E"/>
    <w:rsid w:val="001F2123"/>
    <w:rsid w:val="001F3145"/>
    <w:rsid w:val="001F365C"/>
    <w:rsid w:val="001F3E5F"/>
    <w:rsid w:val="001F4054"/>
    <w:rsid w:val="001F428F"/>
    <w:rsid w:val="001F49AD"/>
    <w:rsid w:val="001F4E08"/>
    <w:rsid w:val="001F56B9"/>
    <w:rsid w:val="001F6314"/>
    <w:rsid w:val="001F64C1"/>
    <w:rsid w:val="001F7116"/>
    <w:rsid w:val="00200919"/>
    <w:rsid w:val="00200D93"/>
    <w:rsid w:val="00201191"/>
    <w:rsid w:val="002011C9"/>
    <w:rsid w:val="00201E5E"/>
    <w:rsid w:val="0020414E"/>
    <w:rsid w:val="00205468"/>
    <w:rsid w:val="0020689E"/>
    <w:rsid w:val="00206C0C"/>
    <w:rsid w:val="0020738C"/>
    <w:rsid w:val="0021001B"/>
    <w:rsid w:val="00210A40"/>
    <w:rsid w:val="00211BC0"/>
    <w:rsid w:val="002128AB"/>
    <w:rsid w:val="0021381B"/>
    <w:rsid w:val="00213D12"/>
    <w:rsid w:val="00215531"/>
    <w:rsid w:val="00215E8D"/>
    <w:rsid w:val="002162F7"/>
    <w:rsid w:val="00220BBB"/>
    <w:rsid w:val="00221F9B"/>
    <w:rsid w:val="002229C5"/>
    <w:rsid w:val="002231D7"/>
    <w:rsid w:val="00224B65"/>
    <w:rsid w:val="00225847"/>
    <w:rsid w:val="00225BF5"/>
    <w:rsid w:val="0022630A"/>
    <w:rsid w:val="00226424"/>
    <w:rsid w:val="00226995"/>
    <w:rsid w:val="00227577"/>
    <w:rsid w:val="002301C1"/>
    <w:rsid w:val="00233039"/>
    <w:rsid w:val="002333B9"/>
    <w:rsid w:val="0023513F"/>
    <w:rsid w:val="00235665"/>
    <w:rsid w:val="00240C1D"/>
    <w:rsid w:val="00241ECD"/>
    <w:rsid w:val="00242493"/>
    <w:rsid w:val="002430EC"/>
    <w:rsid w:val="00243C96"/>
    <w:rsid w:val="002444DE"/>
    <w:rsid w:val="00245421"/>
    <w:rsid w:val="00247262"/>
    <w:rsid w:val="002473D5"/>
    <w:rsid w:val="00250183"/>
    <w:rsid w:val="00250DF4"/>
    <w:rsid w:val="00251306"/>
    <w:rsid w:val="00251FAF"/>
    <w:rsid w:val="002532B3"/>
    <w:rsid w:val="00254589"/>
    <w:rsid w:val="002547B7"/>
    <w:rsid w:val="00254A6A"/>
    <w:rsid w:val="00254AC1"/>
    <w:rsid w:val="0025631F"/>
    <w:rsid w:val="002571F9"/>
    <w:rsid w:val="00257637"/>
    <w:rsid w:val="002604AF"/>
    <w:rsid w:val="002609F3"/>
    <w:rsid w:val="00261A65"/>
    <w:rsid w:val="00261BCB"/>
    <w:rsid w:val="002625FA"/>
    <w:rsid w:val="00263367"/>
    <w:rsid w:val="00264533"/>
    <w:rsid w:val="002710C7"/>
    <w:rsid w:val="0027140E"/>
    <w:rsid w:val="00272C8D"/>
    <w:rsid w:val="00272FF5"/>
    <w:rsid w:val="00274E15"/>
    <w:rsid w:val="00274FB5"/>
    <w:rsid w:val="0027534E"/>
    <w:rsid w:val="002754C2"/>
    <w:rsid w:val="00275C04"/>
    <w:rsid w:val="00276197"/>
    <w:rsid w:val="00276B1D"/>
    <w:rsid w:val="00276F3B"/>
    <w:rsid w:val="00276F83"/>
    <w:rsid w:val="002779A7"/>
    <w:rsid w:val="00277BA4"/>
    <w:rsid w:val="00277C9B"/>
    <w:rsid w:val="0028205E"/>
    <w:rsid w:val="00283EA1"/>
    <w:rsid w:val="00284C8A"/>
    <w:rsid w:val="00284EE0"/>
    <w:rsid w:val="002850DA"/>
    <w:rsid w:val="002851A8"/>
    <w:rsid w:val="00285B57"/>
    <w:rsid w:val="00286371"/>
    <w:rsid w:val="00286AAE"/>
    <w:rsid w:val="00286BCE"/>
    <w:rsid w:val="00290BF0"/>
    <w:rsid w:val="00291066"/>
    <w:rsid w:val="00292F26"/>
    <w:rsid w:val="00293350"/>
    <w:rsid w:val="00293CAA"/>
    <w:rsid w:val="00294788"/>
    <w:rsid w:val="002948EB"/>
    <w:rsid w:val="002953CE"/>
    <w:rsid w:val="002A0141"/>
    <w:rsid w:val="002A0D46"/>
    <w:rsid w:val="002A313A"/>
    <w:rsid w:val="002A31F1"/>
    <w:rsid w:val="002A33E8"/>
    <w:rsid w:val="002A3AE1"/>
    <w:rsid w:val="002A42D9"/>
    <w:rsid w:val="002B02DB"/>
    <w:rsid w:val="002B05AA"/>
    <w:rsid w:val="002B0A42"/>
    <w:rsid w:val="002B0A98"/>
    <w:rsid w:val="002B0AD1"/>
    <w:rsid w:val="002B0C8A"/>
    <w:rsid w:val="002B0D0A"/>
    <w:rsid w:val="002B1C71"/>
    <w:rsid w:val="002B2C0C"/>
    <w:rsid w:val="002B5654"/>
    <w:rsid w:val="002B578F"/>
    <w:rsid w:val="002B5BAC"/>
    <w:rsid w:val="002B718A"/>
    <w:rsid w:val="002B7840"/>
    <w:rsid w:val="002B785A"/>
    <w:rsid w:val="002B7E66"/>
    <w:rsid w:val="002C1B56"/>
    <w:rsid w:val="002C1C07"/>
    <w:rsid w:val="002C3F32"/>
    <w:rsid w:val="002C5DBA"/>
    <w:rsid w:val="002C5DDE"/>
    <w:rsid w:val="002C604B"/>
    <w:rsid w:val="002C6927"/>
    <w:rsid w:val="002C6D5C"/>
    <w:rsid w:val="002C7D69"/>
    <w:rsid w:val="002D0E43"/>
    <w:rsid w:val="002D1702"/>
    <w:rsid w:val="002D2088"/>
    <w:rsid w:val="002D500E"/>
    <w:rsid w:val="002D71BA"/>
    <w:rsid w:val="002D7591"/>
    <w:rsid w:val="002D7D6C"/>
    <w:rsid w:val="002E1A32"/>
    <w:rsid w:val="002E1FEC"/>
    <w:rsid w:val="002E3B02"/>
    <w:rsid w:val="002E3EF6"/>
    <w:rsid w:val="002E4148"/>
    <w:rsid w:val="002E6056"/>
    <w:rsid w:val="002F0166"/>
    <w:rsid w:val="002F1366"/>
    <w:rsid w:val="002F235A"/>
    <w:rsid w:val="002F3013"/>
    <w:rsid w:val="002F46C2"/>
    <w:rsid w:val="002F4873"/>
    <w:rsid w:val="002F6556"/>
    <w:rsid w:val="00301063"/>
    <w:rsid w:val="0030129D"/>
    <w:rsid w:val="00301979"/>
    <w:rsid w:val="00301DF4"/>
    <w:rsid w:val="00302504"/>
    <w:rsid w:val="003025A4"/>
    <w:rsid w:val="003029A6"/>
    <w:rsid w:val="00303109"/>
    <w:rsid w:val="00305287"/>
    <w:rsid w:val="00305C64"/>
    <w:rsid w:val="00306600"/>
    <w:rsid w:val="0030666A"/>
    <w:rsid w:val="00307596"/>
    <w:rsid w:val="00311B61"/>
    <w:rsid w:val="00311D0A"/>
    <w:rsid w:val="00311D1D"/>
    <w:rsid w:val="0031237B"/>
    <w:rsid w:val="00312A04"/>
    <w:rsid w:val="00312ACA"/>
    <w:rsid w:val="00312D5B"/>
    <w:rsid w:val="00313737"/>
    <w:rsid w:val="00313FBD"/>
    <w:rsid w:val="00314027"/>
    <w:rsid w:val="003141C1"/>
    <w:rsid w:val="003141D9"/>
    <w:rsid w:val="00314966"/>
    <w:rsid w:val="00314B80"/>
    <w:rsid w:val="00315DC2"/>
    <w:rsid w:val="0031657D"/>
    <w:rsid w:val="00320FB3"/>
    <w:rsid w:val="003225D9"/>
    <w:rsid w:val="00322A72"/>
    <w:rsid w:val="00323664"/>
    <w:rsid w:val="0032377B"/>
    <w:rsid w:val="0032479A"/>
    <w:rsid w:val="00325EC6"/>
    <w:rsid w:val="00326441"/>
    <w:rsid w:val="003267CA"/>
    <w:rsid w:val="0032792D"/>
    <w:rsid w:val="0033163D"/>
    <w:rsid w:val="00331AE8"/>
    <w:rsid w:val="00332346"/>
    <w:rsid w:val="00332DF3"/>
    <w:rsid w:val="00333D35"/>
    <w:rsid w:val="00333F99"/>
    <w:rsid w:val="00334782"/>
    <w:rsid w:val="003347B0"/>
    <w:rsid w:val="00334C92"/>
    <w:rsid w:val="00334EF3"/>
    <w:rsid w:val="00335072"/>
    <w:rsid w:val="00335160"/>
    <w:rsid w:val="003353EA"/>
    <w:rsid w:val="00336A8B"/>
    <w:rsid w:val="003372CA"/>
    <w:rsid w:val="00337E4A"/>
    <w:rsid w:val="003401F3"/>
    <w:rsid w:val="003407C5"/>
    <w:rsid w:val="00340A58"/>
    <w:rsid w:val="00340C86"/>
    <w:rsid w:val="00341047"/>
    <w:rsid w:val="003412D9"/>
    <w:rsid w:val="00343488"/>
    <w:rsid w:val="00343E04"/>
    <w:rsid w:val="00344EF9"/>
    <w:rsid w:val="00347BD9"/>
    <w:rsid w:val="003512FB"/>
    <w:rsid w:val="003517CF"/>
    <w:rsid w:val="0035191B"/>
    <w:rsid w:val="003520B9"/>
    <w:rsid w:val="00353227"/>
    <w:rsid w:val="003535E6"/>
    <w:rsid w:val="00354291"/>
    <w:rsid w:val="0035434F"/>
    <w:rsid w:val="00356148"/>
    <w:rsid w:val="00360696"/>
    <w:rsid w:val="00360941"/>
    <w:rsid w:val="00360D51"/>
    <w:rsid w:val="00363D93"/>
    <w:rsid w:val="00363DAD"/>
    <w:rsid w:val="0036400D"/>
    <w:rsid w:val="00364D27"/>
    <w:rsid w:val="00364DF2"/>
    <w:rsid w:val="003663CD"/>
    <w:rsid w:val="003668D2"/>
    <w:rsid w:val="00366CEB"/>
    <w:rsid w:val="00370854"/>
    <w:rsid w:val="00370B88"/>
    <w:rsid w:val="00373056"/>
    <w:rsid w:val="0037308E"/>
    <w:rsid w:val="00373AF4"/>
    <w:rsid w:val="0037534B"/>
    <w:rsid w:val="0037596E"/>
    <w:rsid w:val="003764E4"/>
    <w:rsid w:val="0037673C"/>
    <w:rsid w:val="00376D05"/>
    <w:rsid w:val="003802D7"/>
    <w:rsid w:val="0038057A"/>
    <w:rsid w:val="003819BA"/>
    <w:rsid w:val="00383398"/>
    <w:rsid w:val="00383AE8"/>
    <w:rsid w:val="00384DF6"/>
    <w:rsid w:val="00384EAB"/>
    <w:rsid w:val="00385E68"/>
    <w:rsid w:val="0038689F"/>
    <w:rsid w:val="00386ED3"/>
    <w:rsid w:val="00386FAD"/>
    <w:rsid w:val="00387BE6"/>
    <w:rsid w:val="00390F2A"/>
    <w:rsid w:val="00391025"/>
    <w:rsid w:val="003910BA"/>
    <w:rsid w:val="003914B1"/>
    <w:rsid w:val="0039227B"/>
    <w:rsid w:val="003931FE"/>
    <w:rsid w:val="00393EF2"/>
    <w:rsid w:val="00393FD2"/>
    <w:rsid w:val="00394729"/>
    <w:rsid w:val="00394793"/>
    <w:rsid w:val="00395A14"/>
    <w:rsid w:val="0039631F"/>
    <w:rsid w:val="00396524"/>
    <w:rsid w:val="00397D13"/>
    <w:rsid w:val="003A0CDD"/>
    <w:rsid w:val="003A11EE"/>
    <w:rsid w:val="003A3917"/>
    <w:rsid w:val="003A409E"/>
    <w:rsid w:val="003A40C5"/>
    <w:rsid w:val="003A4113"/>
    <w:rsid w:val="003A4219"/>
    <w:rsid w:val="003A4997"/>
    <w:rsid w:val="003A563C"/>
    <w:rsid w:val="003A5A82"/>
    <w:rsid w:val="003A5C4A"/>
    <w:rsid w:val="003A6546"/>
    <w:rsid w:val="003A7AD5"/>
    <w:rsid w:val="003B165A"/>
    <w:rsid w:val="003B2CD8"/>
    <w:rsid w:val="003B37ED"/>
    <w:rsid w:val="003B3EFD"/>
    <w:rsid w:val="003B4404"/>
    <w:rsid w:val="003B45F3"/>
    <w:rsid w:val="003B55B5"/>
    <w:rsid w:val="003B7A70"/>
    <w:rsid w:val="003C0EFA"/>
    <w:rsid w:val="003C1FD4"/>
    <w:rsid w:val="003C2D06"/>
    <w:rsid w:val="003C387E"/>
    <w:rsid w:val="003C49E0"/>
    <w:rsid w:val="003C4CCA"/>
    <w:rsid w:val="003C53F7"/>
    <w:rsid w:val="003C688B"/>
    <w:rsid w:val="003C6F79"/>
    <w:rsid w:val="003C7452"/>
    <w:rsid w:val="003C785E"/>
    <w:rsid w:val="003D08DC"/>
    <w:rsid w:val="003D0B83"/>
    <w:rsid w:val="003D0E0E"/>
    <w:rsid w:val="003D0F19"/>
    <w:rsid w:val="003D3D3A"/>
    <w:rsid w:val="003D4B14"/>
    <w:rsid w:val="003D4F47"/>
    <w:rsid w:val="003D54B8"/>
    <w:rsid w:val="003D578E"/>
    <w:rsid w:val="003D5B70"/>
    <w:rsid w:val="003D6289"/>
    <w:rsid w:val="003D66A3"/>
    <w:rsid w:val="003D797B"/>
    <w:rsid w:val="003E0607"/>
    <w:rsid w:val="003E0B10"/>
    <w:rsid w:val="003E0F75"/>
    <w:rsid w:val="003E2428"/>
    <w:rsid w:val="003E2EA3"/>
    <w:rsid w:val="003E3D30"/>
    <w:rsid w:val="003E4F51"/>
    <w:rsid w:val="003E6168"/>
    <w:rsid w:val="003E64B3"/>
    <w:rsid w:val="003E66BE"/>
    <w:rsid w:val="003E6CA3"/>
    <w:rsid w:val="003E70A2"/>
    <w:rsid w:val="003E7B1E"/>
    <w:rsid w:val="003F39C1"/>
    <w:rsid w:val="003F3C6A"/>
    <w:rsid w:val="003F6330"/>
    <w:rsid w:val="003F6499"/>
    <w:rsid w:val="003F6EED"/>
    <w:rsid w:val="003F7DE5"/>
    <w:rsid w:val="004009C0"/>
    <w:rsid w:val="004013AC"/>
    <w:rsid w:val="004015B4"/>
    <w:rsid w:val="00402F1C"/>
    <w:rsid w:val="00403568"/>
    <w:rsid w:val="00404ABD"/>
    <w:rsid w:val="00405456"/>
    <w:rsid w:val="00405710"/>
    <w:rsid w:val="00406447"/>
    <w:rsid w:val="00406AC3"/>
    <w:rsid w:val="00407132"/>
    <w:rsid w:val="0041139D"/>
    <w:rsid w:val="00412063"/>
    <w:rsid w:val="0041222D"/>
    <w:rsid w:val="004130ED"/>
    <w:rsid w:val="004139AA"/>
    <w:rsid w:val="00413D27"/>
    <w:rsid w:val="004142A1"/>
    <w:rsid w:val="00415169"/>
    <w:rsid w:val="004152DA"/>
    <w:rsid w:val="004158B6"/>
    <w:rsid w:val="00415B66"/>
    <w:rsid w:val="004168C0"/>
    <w:rsid w:val="00417529"/>
    <w:rsid w:val="00417B33"/>
    <w:rsid w:val="00417F44"/>
    <w:rsid w:val="0042088F"/>
    <w:rsid w:val="00422096"/>
    <w:rsid w:val="004220A9"/>
    <w:rsid w:val="004238FF"/>
    <w:rsid w:val="00424662"/>
    <w:rsid w:val="004258C5"/>
    <w:rsid w:val="00425B11"/>
    <w:rsid w:val="004266CC"/>
    <w:rsid w:val="00427FCE"/>
    <w:rsid w:val="004302AA"/>
    <w:rsid w:val="00430306"/>
    <w:rsid w:val="0043062D"/>
    <w:rsid w:val="00431147"/>
    <w:rsid w:val="00435196"/>
    <w:rsid w:val="00435A8B"/>
    <w:rsid w:val="00436926"/>
    <w:rsid w:val="00437CDE"/>
    <w:rsid w:val="00440576"/>
    <w:rsid w:val="0044261C"/>
    <w:rsid w:val="00445633"/>
    <w:rsid w:val="004459DD"/>
    <w:rsid w:val="00445BE3"/>
    <w:rsid w:val="0044774E"/>
    <w:rsid w:val="00447E41"/>
    <w:rsid w:val="00450250"/>
    <w:rsid w:val="00451286"/>
    <w:rsid w:val="004520CA"/>
    <w:rsid w:val="004521E2"/>
    <w:rsid w:val="004540B7"/>
    <w:rsid w:val="004542AB"/>
    <w:rsid w:val="0045537E"/>
    <w:rsid w:val="00456F23"/>
    <w:rsid w:val="004606C5"/>
    <w:rsid w:val="0046291C"/>
    <w:rsid w:val="00462A27"/>
    <w:rsid w:val="0046313A"/>
    <w:rsid w:val="00463765"/>
    <w:rsid w:val="00463804"/>
    <w:rsid w:val="00463A74"/>
    <w:rsid w:val="004649F7"/>
    <w:rsid w:val="00464E67"/>
    <w:rsid w:val="004656E2"/>
    <w:rsid w:val="00466ADE"/>
    <w:rsid w:val="004709FF"/>
    <w:rsid w:val="00470E91"/>
    <w:rsid w:val="00472048"/>
    <w:rsid w:val="00473049"/>
    <w:rsid w:val="00474163"/>
    <w:rsid w:val="004744EF"/>
    <w:rsid w:val="00474681"/>
    <w:rsid w:val="00474C15"/>
    <w:rsid w:val="00475563"/>
    <w:rsid w:val="0047571E"/>
    <w:rsid w:val="00477074"/>
    <w:rsid w:val="004777F7"/>
    <w:rsid w:val="00477F7D"/>
    <w:rsid w:val="004811AE"/>
    <w:rsid w:val="004824DE"/>
    <w:rsid w:val="00483251"/>
    <w:rsid w:val="004833A1"/>
    <w:rsid w:val="00483ED0"/>
    <w:rsid w:val="00484A4F"/>
    <w:rsid w:val="00484DE4"/>
    <w:rsid w:val="00485162"/>
    <w:rsid w:val="00485E9F"/>
    <w:rsid w:val="004862BF"/>
    <w:rsid w:val="004863EC"/>
    <w:rsid w:val="00487C58"/>
    <w:rsid w:val="0049133D"/>
    <w:rsid w:val="004918C8"/>
    <w:rsid w:val="00492509"/>
    <w:rsid w:val="00496427"/>
    <w:rsid w:val="00496834"/>
    <w:rsid w:val="004978C9"/>
    <w:rsid w:val="004A0700"/>
    <w:rsid w:val="004A08C2"/>
    <w:rsid w:val="004A094C"/>
    <w:rsid w:val="004A0E68"/>
    <w:rsid w:val="004A14CC"/>
    <w:rsid w:val="004A1862"/>
    <w:rsid w:val="004A1905"/>
    <w:rsid w:val="004A1D85"/>
    <w:rsid w:val="004A2461"/>
    <w:rsid w:val="004A2F19"/>
    <w:rsid w:val="004A49DC"/>
    <w:rsid w:val="004A51DC"/>
    <w:rsid w:val="004A5EB8"/>
    <w:rsid w:val="004A695C"/>
    <w:rsid w:val="004A73A2"/>
    <w:rsid w:val="004B0DF7"/>
    <w:rsid w:val="004B1B6B"/>
    <w:rsid w:val="004B2ECC"/>
    <w:rsid w:val="004B35AB"/>
    <w:rsid w:val="004B3B58"/>
    <w:rsid w:val="004B422B"/>
    <w:rsid w:val="004B5091"/>
    <w:rsid w:val="004B67F3"/>
    <w:rsid w:val="004B6DFA"/>
    <w:rsid w:val="004B7300"/>
    <w:rsid w:val="004C1461"/>
    <w:rsid w:val="004C1B1D"/>
    <w:rsid w:val="004C26FE"/>
    <w:rsid w:val="004C2BA3"/>
    <w:rsid w:val="004C371E"/>
    <w:rsid w:val="004C3C5D"/>
    <w:rsid w:val="004C4009"/>
    <w:rsid w:val="004C4183"/>
    <w:rsid w:val="004C4B88"/>
    <w:rsid w:val="004C50DB"/>
    <w:rsid w:val="004C5D89"/>
    <w:rsid w:val="004C6C66"/>
    <w:rsid w:val="004D08C1"/>
    <w:rsid w:val="004D1E9C"/>
    <w:rsid w:val="004D1ECB"/>
    <w:rsid w:val="004D2074"/>
    <w:rsid w:val="004D25E9"/>
    <w:rsid w:val="004D2A72"/>
    <w:rsid w:val="004D314C"/>
    <w:rsid w:val="004D499B"/>
    <w:rsid w:val="004D5610"/>
    <w:rsid w:val="004D58FE"/>
    <w:rsid w:val="004D6D5D"/>
    <w:rsid w:val="004D7879"/>
    <w:rsid w:val="004D7DA9"/>
    <w:rsid w:val="004E2031"/>
    <w:rsid w:val="004E36A8"/>
    <w:rsid w:val="004E4D3F"/>
    <w:rsid w:val="004E51F5"/>
    <w:rsid w:val="004E535C"/>
    <w:rsid w:val="004E62B9"/>
    <w:rsid w:val="004E6C12"/>
    <w:rsid w:val="004F042A"/>
    <w:rsid w:val="004F0604"/>
    <w:rsid w:val="004F1382"/>
    <w:rsid w:val="004F1BED"/>
    <w:rsid w:val="004F276E"/>
    <w:rsid w:val="004F3F3F"/>
    <w:rsid w:val="004F40FD"/>
    <w:rsid w:val="004F52D1"/>
    <w:rsid w:val="004F6BDB"/>
    <w:rsid w:val="004F7058"/>
    <w:rsid w:val="004F73F7"/>
    <w:rsid w:val="00500272"/>
    <w:rsid w:val="00500381"/>
    <w:rsid w:val="00500A8A"/>
    <w:rsid w:val="00501188"/>
    <w:rsid w:val="00501E3C"/>
    <w:rsid w:val="00504175"/>
    <w:rsid w:val="0050607A"/>
    <w:rsid w:val="00506925"/>
    <w:rsid w:val="005069F7"/>
    <w:rsid w:val="00507136"/>
    <w:rsid w:val="00507221"/>
    <w:rsid w:val="005076F5"/>
    <w:rsid w:val="00510148"/>
    <w:rsid w:val="005103F8"/>
    <w:rsid w:val="00510573"/>
    <w:rsid w:val="00510A99"/>
    <w:rsid w:val="0051212C"/>
    <w:rsid w:val="0051282B"/>
    <w:rsid w:val="00513646"/>
    <w:rsid w:val="0051376E"/>
    <w:rsid w:val="00513797"/>
    <w:rsid w:val="00514B8F"/>
    <w:rsid w:val="00516755"/>
    <w:rsid w:val="00516939"/>
    <w:rsid w:val="005171FD"/>
    <w:rsid w:val="00517DC9"/>
    <w:rsid w:val="005203F5"/>
    <w:rsid w:val="005209A0"/>
    <w:rsid w:val="005216D8"/>
    <w:rsid w:val="00524489"/>
    <w:rsid w:val="00524791"/>
    <w:rsid w:val="00524A0B"/>
    <w:rsid w:val="005251DE"/>
    <w:rsid w:val="0052676A"/>
    <w:rsid w:val="005275E2"/>
    <w:rsid w:val="00527F86"/>
    <w:rsid w:val="00530451"/>
    <w:rsid w:val="00530CE2"/>
    <w:rsid w:val="00531314"/>
    <w:rsid w:val="00531F48"/>
    <w:rsid w:val="00533847"/>
    <w:rsid w:val="005338AE"/>
    <w:rsid w:val="0053453C"/>
    <w:rsid w:val="00535681"/>
    <w:rsid w:val="00536377"/>
    <w:rsid w:val="005364E5"/>
    <w:rsid w:val="0053759A"/>
    <w:rsid w:val="005400E7"/>
    <w:rsid w:val="00540431"/>
    <w:rsid w:val="00540C1D"/>
    <w:rsid w:val="00541247"/>
    <w:rsid w:val="00541946"/>
    <w:rsid w:val="005427B8"/>
    <w:rsid w:val="005429E6"/>
    <w:rsid w:val="005429F5"/>
    <w:rsid w:val="0054313B"/>
    <w:rsid w:val="00543387"/>
    <w:rsid w:val="005437D7"/>
    <w:rsid w:val="005444A0"/>
    <w:rsid w:val="00544679"/>
    <w:rsid w:val="00544F7E"/>
    <w:rsid w:val="00545F13"/>
    <w:rsid w:val="00546D3C"/>
    <w:rsid w:val="00550041"/>
    <w:rsid w:val="005503A6"/>
    <w:rsid w:val="0055310B"/>
    <w:rsid w:val="00553119"/>
    <w:rsid w:val="00554D62"/>
    <w:rsid w:val="00554E74"/>
    <w:rsid w:val="00555A20"/>
    <w:rsid w:val="00556B5B"/>
    <w:rsid w:val="0055754B"/>
    <w:rsid w:val="005575DA"/>
    <w:rsid w:val="0056200E"/>
    <w:rsid w:val="00563C5B"/>
    <w:rsid w:val="0056433F"/>
    <w:rsid w:val="00564BB9"/>
    <w:rsid w:val="00565524"/>
    <w:rsid w:val="00566206"/>
    <w:rsid w:val="00566515"/>
    <w:rsid w:val="00567F60"/>
    <w:rsid w:val="005700FD"/>
    <w:rsid w:val="00570833"/>
    <w:rsid w:val="00570AC6"/>
    <w:rsid w:val="00570F07"/>
    <w:rsid w:val="005716E7"/>
    <w:rsid w:val="00571AB7"/>
    <w:rsid w:val="00575176"/>
    <w:rsid w:val="00576847"/>
    <w:rsid w:val="005775F2"/>
    <w:rsid w:val="00577D47"/>
    <w:rsid w:val="0058132D"/>
    <w:rsid w:val="005813A2"/>
    <w:rsid w:val="00583B9C"/>
    <w:rsid w:val="00583E32"/>
    <w:rsid w:val="00585968"/>
    <w:rsid w:val="005859FC"/>
    <w:rsid w:val="005865BC"/>
    <w:rsid w:val="00586808"/>
    <w:rsid w:val="00586B79"/>
    <w:rsid w:val="005873A9"/>
    <w:rsid w:val="00587E58"/>
    <w:rsid w:val="00590946"/>
    <w:rsid w:val="00591147"/>
    <w:rsid w:val="005911DE"/>
    <w:rsid w:val="0059165D"/>
    <w:rsid w:val="00592FEB"/>
    <w:rsid w:val="00595B07"/>
    <w:rsid w:val="005A009E"/>
    <w:rsid w:val="005A0B55"/>
    <w:rsid w:val="005A13EA"/>
    <w:rsid w:val="005A45B9"/>
    <w:rsid w:val="005A4B06"/>
    <w:rsid w:val="005A4BE1"/>
    <w:rsid w:val="005A5A83"/>
    <w:rsid w:val="005A5BE3"/>
    <w:rsid w:val="005A6516"/>
    <w:rsid w:val="005A715B"/>
    <w:rsid w:val="005A79EA"/>
    <w:rsid w:val="005A7CF7"/>
    <w:rsid w:val="005A7F55"/>
    <w:rsid w:val="005B182B"/>
    <w:rsid w:val="005B25E0"/>
    <w:rsid w:val="005B2885"/>
    <w:rsid w:val="005B35B6"/>
    <w:rsid w:val="005B4429"/>
    <w:rsid w:val="005B51A9"/>
    <w:rsid w:val="005B581E"/>
    <w:rsid w:val="005B63BE"/>
    <w:rsid w:val="005C0840"/>
    <w:rsid w:val="005C17D6"/>
    <w:rsid w:val="005C17E1"/>
    <w:rsid w:val="005C243E"/>
    <w:rsid w:val="005C28D7"/>
    <w:rsid w:val="005C34F1"/>
    <w:rsid w:val="005C3F76"/>
    <w:rsid w:val="005C5581"/>
    <w:rsid w:val="005C6720"/>
    <w:rsid w:val="005C6DC8"/>
    <w:rsid w:val="005D07CD"/>
    <w:rsid w:val="005D138A"/>
    <w:rsid w:val="005D165F"/>
    <w:rsid w:val="005D20F9"/>
    <w:rsid w:val="005D2614"/>
    <w:rsid w:val="005D27BF"/>
    <w:rsid w:val="005D3B35"/>
    <w:rsid w:val="005D3C2E"/>
    <w:rsid w:val="005D4361"/>
    <w:rsid w:val="005D5AE4"/>
    <w:rsid w:val="005D739A"/>
    <w:rsid w:val="005D7B42"/>
    <w:rsid w:val="005E0291"/>
    <w:rsid w:val="005E073D"/>
    <w:rsid w:val="005E3942"/>
    <w:rsid w:val="005E3FBD"/>
    <w:rsid w:val="005E44F2"/>
    <w:rsid w:val="005E4FC4"/>
    <w:rsid w:val="005E5C90"/>
    <w:rsid w:val="005F02DC"/>
    <w:rsid w:val="005F1202"/>
    <w:rsid w:val="005F226B"/>
    <w:rsid w:val="005F248E"/>
    <w:rsid w:val="005F3DD5"/>
    <w:rsid w:val="005F4561"/>
    <w:rsid w:val="005F4C46"/>
    <w:rsid w:val="005F52D8"/>
    <w:rsid w:val="005F592B"/>
    <w:rsid w:val="005F5CEC"/>
    <w:rsid w:val="006002AF"/>
    <w:rsid w:val="0060136D"/>
    <w:rsid w:val="006025E3"/>
    <w:rsid w:val="00602E42"/>
    <w:rsid w:val="00604472"/>
    <w:rsid w:val="00605370"/>
    <w:rsid w:val="006060FD"/>
    <w:rsid w:val="00607771"/>
    <w:rsid w:val="00610044"/>
    <w:rsid w:val="00610C89"/>
    <w:rsid w:val="00610CC1"/>
    <w:rsid w:val="00610D95"/>
    <w:rsid w:val="006116F6"/>
    <w:rsid w:val="00611BB7"/>
    <w:rsid w:val="00611FDA"/>
    <w:rsid w:val="00613819"/>
    <w:rsid w:val="0061395F"/>
    <w:rsid w:val="00614CFC"/>
    <w:rsid w:val="006150E5"/>
    <w:rsid w:val="006168D0"/>
    <w:rsid w:val="00617CB8"/>
    <w:rsid w:val="00617CE5"/>
    <w:rsid w:val="006202E3"/>
    <w:rsid w:val="00620375"/>
    <w:rsid w:val="006207ED"/>
    <w:rsid w:val="00621269"/>
    <w:rsid w:val="006223DA"/>
    <w:rsid w:val="00622664"/>
    <w:rsid w:val="00622C64"/>
    <w:rsid w:val="00622FEF"/>
    <w:rsid w:val="00623C8F"/>
    <w:rsid w:val="00624412"/>
    <w:rsid w:val="00624A76"/>
    <w:rsid w:val="006250EC"/>
    <w:rsid w:val="006254FC"/>
    <w:rsid w:val="00625B5B"/>
    <w:rsid w:val="00625F89"/>
    <w:rsid w:val="00626BF6"/>
    <w:rsid w:val="00627321"/>
    <w:rsid w:val="00627420"/>
    <w:rsid w:val="0062785F"/>
    <w:rsid w:val="00627AB2"/>
    <w:rsid w:val="00627FFB"/>
    <w:rsid w:val="0063146C"/>
    <w:rsid w:val="00632097"/>
    <w:rsid w:val="00632A38"/>
    <w:rsid w:val="0063366B"/>
    <w:rsid w:val="00633978"/>
    <w:rsid w:val="00633C98"/>
    <w:rsid w:val="00635149"/>
    <w:rsid w:val="0063531A"/>
    <w:rsid w:val="006356AB"/>
    <w:rsid w:val="00636720"/>
    <w:rsid w:val="00636A71"/>
    <w:rsid w:val="00637047"/>
    <w:rsid w:val="0064054A"/>
    <w:rsid w:val="00640A5E"/>
    <w:rsid w:val="00640DB2"/>
    <w:rsid w:val="006423F4"/>
    <w:rsid w:val="00642995"/>
    <w:rsid w:val="00642F64"/>
    <w:rsid w:val="0064312C"/>
    <w:rsid w:val="00643DF7"/>
    <w:rsid w:val="006443C4"/>
    <w:rsid w:val="00645743"/>
    <w:rsid w:val="00645798"/>
    <w:rsid w:val="006459FD"/>
    <w:rsid w:val="00645EF9"/>
    <w:rsid w:val="00646689"/>
    <w:rsid w:val="006471CF"/>
    <w:rsid w:val="00647AD3"/>
    <w:rsid w:val="00647E4B"/>
    <w:rsid w:val="0065020D"/>
    <w:rsid w:val="006507A6"/>
    <w:rsid w:val="00650E65"/>
    <w:rsid w:val="006521A9"/>
    <w:rsid w:val="00653C1A"/>
    <w:rsid w:val="00655727"/>
    <w:rsid w:val="0065665B"/>
    <w:rsid w:val="00656DD1"/>
    <w:rsid w:val="00657422"/>
    <w:rsid w:val="0066119E"/>
    <w:rsid w:val="006624CD"/>
    <w:rsid w:val="00663971"/>
    <w:rsid w:val="00663BA7"/>
    <w:rsid w:val="00664734"/>
    <w:rsid w:val="00664FEC"/>
    <w:rsid w:val="00665452"/>
    <w:rsid w:val="00667EC4"/>
    <w:rsid w:val="00671135"/>
    <w:rsid w:val="006714E6"/>
    <w:rsid w:val="00672224"/>
    <w:rsid w:val="00673184"/>
    <w:rsid w:val="00674E7C"/>
    <w:rsid w:val="00675057"/>
    <w:rsid w:val="00676150"/>
    <w:rsid w:val="00676534"/>
    <w:rsid w:val="00676718"/>
    <w:rsid w:val="00680F1C"/>
    <w:rsid w:val="006812B1"/>
    <w:rsid w:val="0068575D"/>
    <w:rsid w:val="00685B9C"/>
    <w:rsid w:val="00687C2D"/>
    <w:rsid w:val="006900E6"/>
    <w:rsid w:val="00690358"/>
    <w:rsid w:val="00690FCD"/>
    <w:rsid w:val="00691E9A"/>
    <w:rsid w:val="00691EDE"/>
    <w:rsid w:val="006936C9"/>
    <w:rsid w:val="00693B7C"/>
    <w:rsid w:val="0069571D"/>
    <w:rsid w:val="00695B15"/>
    <w:rsid w:val="00697B0C"/>
    <w:rsid w:val="006A0461"/>
    <w:rsid w:val="006A08C2"/>
    <w:rsid w:val="006A16CF"/>
    <w:rsid w:val="006A1A68"/>
    <w:rsid w:val="006A1B2A"/>
    <w:rsid w:val="006A22EC"/>
    <w:rsid w:val="006A25B6"/>
    <w:rsid w:val="006A2723"/>
    <w:rsid w:val="006A2C16"/>
    <w:rsid w:val="006A39ED"/>
    <w:rsid w:val="006A4CB6"/>
    <w:rsid w:val="006A5BF4"/>
    <w:rsid w:val="006A7669"/>
    <w:rsid w:val="006A79A8"/>
    <w:rsid w:val="006B0234"/>
    <w:rsid w:val="006B0D2F"/>
    <w:rsid w:val="006B0DFE"/>
    <w:rsid w:val="006B13E6"/>
    <w:rsid w:val="006B2AD9"/>
    <w:rsid w:val="006B31BC"/>
    <w:rsid w:val="006B3D08"/>
    <w:rsid w:val="006B5A19"/>
    <w:rsid w:val="006B747F"/>
    <w:rsid w:val="006C1924"/>
    <w:rsid w:val="006C1A14"/>
    <w:rsid w:val="006C1CF6"/>
    <w:rsid w:val="006C20FA"/>
    <w:rsid w:val="006C263D"/>
    <w:rsid w:val="006C349B"/>
    <w:rsid w:val="006C486D"/>
    <w:rsid w:val="006C4BD7"/>
    <w:rsid w:val="006C4BE9"/>
    <w:rsid w:val="006C626B"/>
    <w:rsid w:val="006C63B6"/>
    <w:rsid w:val="006C70FC"/>
    <w:rsid w:val="006C780E"/>
    <w:rsid w:val="006C78BF"/>
    <w:rsid w:val="006D0C37"/>
    <w:rsid w:val="006D1038"/>
    <w:rsid w:val="006D35AA"/>
    <w:rsid w:val="006D37C0"/>
    <w:rsid w:val="006D3C8A"/>
    <w:rsid w:val="006D42F3"/>
    <w:rsid w:val="006D5B71"/>
    <w:rsid w:val="006D65D9"/>
    <w:rsid w:val="006D7317"/>
    <w:rsid w:val="006E03F4"/>
    <w:rsid w:val="006E0737"/>
    <w:rsid w:val="006E1A4A"/>
    <w:rsid w:val="006E2615"/>
    <w:rsid w:val="006E28B4"/>
    <w:rsid w:val="006E2D57"/>
    <w:rsid w:val="006E3AA7"/>
    <w:rsid w:val="006E6CF5"/>
    <w:rsid w:val="006E7269"/>
    <w:rsid w:val="006F1984"/>
    <w:rsid w:val="006F2638"/>
    <w:rsid w:val="006F2B53"/>
    <w:rsid w:val="006F34A7"/>
    <w:rsid w:val="006F3E46"/>
    <w:rsid w:val="006F3F5F"/>
    <w:rsid w:val="006F4E79"/>
    <w:rsid w:val="006F5133"/>
    <w:rsid w:val="006F577A"/>
    <w:rsid w:val="006F5819"/>
    <w:rsid w:val="00700ECE"/>
    <w:rsid w:val="00700F66"/>
    <w:rsid w:val="00701DAE"/>
    <w:rsid w:val="0070281F"/>
    <w:rsid w:val="00702D53"/>
    <w:rsid w:val="007045B8"/>
    <w:rsid w:val="00704D9E"/>
    <w:rsid w:val="00704FB5"/>
    <w:rsid w:val="0070579E"/>
    <w:rsid w:val="00705AB6"/>
    <w:rsid w:val="00706973"/>
    <w:rsid w:val="00707F9E"/>
    <w:rsid w:val="00710905"/>
    <w:rsid w:val="00710D6C"/>
    <w:rsid w:val="00712343"/>
    <w:rsid w:val="00712B49"/>
    <w:rsid w:val="00712BC1"/>
    <w:rsid w:val="0071355F"/>
    <w:rsid w:val="0071456B"/>
    <w:rsid w:val="00714600"/>
    <w:rsid w:val="00715168"/>
    <w:rsid w:val="00715199"/>
    <w:rsid w:val="0071590A"/>
    <w:rsid w:val="007167F1"/>
    <w:rsid w:val="00717378"/>
    <w:rsid w:val="00717972"/>
    <w:rsid w:val="007204C7"/>
    <w:rsid w:val="00720585"/>
    <w:rsid w:val="00722990"/>
    <w:rsid w:val="0072354E"/>
    <w:rsid w:val="00724478"/>
    <w:rsid w:val="0072542E"/>
    <w:rsid w:val="00725497"/>
    <w:rsid w:val="00725D1A"/>
    <w:rsid w:val="00726387"/>
    <w:rsid w:val="00726A7B"/>
    <w:rsid w:val="007273BD"/>
    <w:rsid w:val="0073028A"/>
    <w:rsid w:val="00730F9D"/>
    <w:rsid w:val="007311AD"/>
    <w:rsid w:val="00731508"/>
    <w:rsid w:val="00731D42"/>
    <w:rsid w:val="00731E16"/>
    <w:rsid w:val="00731F9D"/>
    <w:rsid w:val="00732CD8"/>
    <w:rsid w:val="00733405"/>
    <w:rsid w:val="007335D0"/>
    <w:rsid w:val="00734550"/>
    <w:rsid w:val="00734814"/>
    <w:rsid w:val="00735D1A"/>
    <w:rsid w:val="00736232"/>
    <w:rsid w:val="00736818"/>
    <w:rsid w:val="007369A3"/>
    <w:rsid w:val="00737191"/>
    <w:rsid w:val="00740D27"/>
    <w:rsid w:val="00741715"/>
    <w:rsid w:val="00741D08"/>
    <w:rsid w:val="00741F21"/>
    <w:rsid w:val="00742248"/>
    <w:rsid w:val="00742802"/>
    <w:rsid w:val="00745447"/>
    <w:rsid w:val="00745DB9"/>
    <w:rsid w:val="007461CF"/>
    <w:rsid w:val="0074691A"/>
    <w:rsid w:val="00747876"/>
    <w:rsid w:val="00747EB7"/>
    <w:rsid w:val="0075156C"/>
    <w:rsid w:val="007530E5"/>
    <w:rsid w:val="00753749"/>
    <w:rsid w:val="0075529B"/>
    <w:rsid w:val="00755A73"/>
    <w:rsid w:val="00755A93"/>
    <w:rsid w:val="007562E9"/>
    <w:rsid w:val="00757EE9"/>
    <w:rsid w:val="007601BF"/>
    <w:rsid w:val="00761AF5"/>
    <w:rsid w:val="00762CDB"/>
    <w:rsid w:val="00763003"/>
    <w:rsid w:val="00763452"/>
    <w:rsid w:val="00763CEF"/>
    <w:rsid w:val="00764722"/>
    <w:rsid w:val="00765D11"/>
    <w:rsid w:val="00766E12"/>
    <w:rsid w:val="0077035B"/>
    <w:rsid w:val="007708B2"/>
    <w:rsid w:val="00770A81"/>
    <w:rsid w:val="007719F5"/>
    <w:rsid w:val="00773D01"/>
    <w:rsid w:val="007742AB"/>
    <w:rsid w:val="00775066"/>
    <w:rsid w:val="00775A30"/>
    <w:rsid w:val="00776A77"/>
    <w:rsid w:val="0077782D"/>
    <w:rsid w:val="007803D0"/>
    <w:rsid w:val="0078061C"/>
    <w:rsid w:val="00780E80"/>
    <w:rsid w:val="00781758"/>
    <w:rsid w:val="00781856"/>
    <w:rsid w:val="00781863"/>
    <w:rsid w:val="00782753"/>
    <w:rsid w:val="00782761"/>
    <w:rsid w:val="00782D1E"/>
    <w:rsid w:val="00782E93"/>
    <w:rsid w:val="007832E4"/>
    <w:rsid w:val="00784518"/>
    <w:rsid w:val="0078455D"/>
    <w:rsid w:val="00784634"/>
    <w:rsid w:val="00784E88"/>
    <w:rsid w:val="007862D8"/>
    <w:rsid w:val="00786B8E"/>
    <w:rsid w:val="00787B1F"/>
    <w:rsid w:val="00790028"/>
    <w:rsid w:val="0079046D"/>
    <w:rsid w:val="00791DB4"/>
    <w:rsid w:val="00793540"/>
    <w:rsid w:val="00794632"/>
    <w:rsid w:val="00794650"/>
    <w:rsid w:val="00794B35"/>
    <w:rsid w:val="0079513A"/>
    <w:rsid w:val="00795A7C"/>
    <w:rsid w:val="00795C7F"/>
    <w:rsid w:val="0079754C"/>
    <w:rsid w:val="007A2921"/>
    <w:rsid w:val="007A3108"/>
    <w:rsid w:val="007A3F07"/>
    <w:rsid w:val="007A4885"/>
    <w:rsid w:val="007A563E"/>
    <w:rsid w:val="007A67EE"/>
    <w:rsid w:val="007B19EE"/>
    <w:rsid w:val="007B2F19"/>
    <w:rsid w:val="007B4E76"/>
    <w:rsid w:val="007B60A3"/>
    <w:rsid w:val="007B667C"/>
    <w:rsid w:val="007B69AE"/>
    <w:rsid w:val="007B70CA"/>
    <w:rsid w:val="007B7BFC"/>
    <w:rsid w:val="007C093F"/>
    <w:rsid w:val="007C1B0C"/>
    <w:rsid w:val="007C431D"/>
    <w:rsid w:val="007C4E1B"/>
    <w:rsid w:val="007C5634"/>
    <w:rsid w:val="007C6740"/>
    <w:rsid w:val="007D0B31"/>
    <w:rsid w:val="007D2421"/>
    <w:rsid w:val="007D245A"/>
    <w:rsid w:val="007D32D9"/>
    <w:rsid w:val="007D3EBB"/>
    <w:rsid w:val="007D3F24"/>
    <w:rsid w:val="007D55E3"/>
    <w:rsid w:val="007D5936"/>
    <w:rsid w:val="007D73FE"/>
    <w:rsid w:val="007D7F1D"/>
    <w:rsid w:val="007E1D62"/>
    <w:rsid w:val="007E2432"/>
    <w:rsid w:val="007E2D23"/>
    <w:rsid w:val="007E2DA2"/>
    <w:rsid w:val="007E315A"/>
    <w:rsid w:val="007E3160"/>
    <w:rsid w:val="007E3982"/>
    <w:rsid w:val="007E5C2F"/>
    <w:rsid w:val="007E732A"/>
    <w:rsid w:val="007F0E4F"/>
    <w:rsid w:val="007F2A29"/>
    <w:rsid w:val="007F3DB4"/>
    <w:rsid w:val="007F4C80"/>
    <w:rsid w:val="007F4CFC"/>
    <w:rsid w:val="007F65A7"/>
    <w:rsid w:val="007F65CD"/>
    <w:rsid w:val="007F664B"/>
    <w:rsid w:val="007F67F5"/>
    <w:rsid w:val="007F6C36"/>
    <w:rsid w:val="00800527"/>
    <w:rsid w:val="008009E7"/>
    <w:rsid w:val="00801400"/>
    <w:rsid w:val="0080177E"/>
    <w:rsid w:val="008024FA"/>
    <w:rsid w:val="008035FA"/>
    <w:rsid w:val="00804089"/>
    <w:rsid w:val="008045D4"/>
    <w:rsid w:val="008073EE"/>
    <w:rsid w:val="008112C0"/>
    <w:rsid w:val="00813679"/>
    <w:rsid w:val="00814B2F"/>
    <w:rsid w:val="00816777"/>
    <w:rsid w:val="00816D7B"/>
    <w:rsid w:val="00817A6C"/>
    <w:rsid w:val="00817D2E"/>
    <w:rsid w:val="008211BC"/>
    <w:rsid w:val="0082147B"/>
    <w:rsid w:val="00821E03"/>
    <w:rsid w:val="0082294B"/>
    <w:rsid w:val="0082336F"/>
    <w:rsid w:val="00823B97"/>
    <w:rsid w:val="00824CCA"/>
    <w:rsid w:val="008260DD"/>
    <w:rsid w:val="008262E2"/>
    <w:rsid w:val="008270E4"/>
    <w:rsid w:val="008301AC"/>
    <w:rsid w:val="00830375"/>
    <w:rsid w:val="00831065"/>
    <w:rsid w:val="00831E03"/>
    <w:rsid w:val="00831F20"/>
    <w:rsid w:val="00832870"/>
    <w:rsid w:val="00832C11"/>
    <w:rsid w:val="008349AD"/>
    <w:rsid w:val="00835D7F"/>
    <w:rsid w:val="008368D8"/>
    <w:rsid w:val="00836D83"/>
    <w:rsid w:val="0084029B"/>
    <w:rsid w:val="008403E7"/>
    <w:rsid w:val="008405DC"/>
    <w:rsid w:val="00841059"/>
    <w:rsid w:val="00841CA3"/>
    <w:rsid w:val="00844D33"/>
    <w:rsid w:val="00846743"/>
    <w:rsid w:val="008508F5"/>
    <w:rsid w:val="00850C52"/>
    <w:rsid w:val="00852790"/>
    <w:rsid w:val="00852CB7"/>
    <w:rsid w:val="00853BB0"/>
    <w:rsid w:val="00854930"/>
    <w:rsid w:val="00860B34"/>
    <w:rsid w:val="00860BC3"/>
    <w:rsid w:val="00861CE2"/>
    <w:rsid w:val="008627D4"/>
    <w:rsid w:val="00862CCC"/>
    <w:rsid w:val="0086361A"/>
    <w:rsid w:val="00863884"/>
    <w:rsid w:val="00864F5D"/>
    <w:rsid w:val="00865143"/>
    <w:rsid w:val="00865D2D"/>
    <w:rsid w:val="008661EF"/>
    <w:rsid w:val="008666CF"/>
    <w:rsid w:val="0086757C"/>
    <w:rsid w:val="0087025C"/>
    <w:rsid w:val="0087025F"/>
    <w:rsid w:val="0087194A"/>
    <w:rsid w:val="00872B73"/>
    <w:rsid w:val="00873014"/>
    <w:rsid w:val="008749BB"/>
    <w:rsid w:val="00874E78"/>
    <w:rsid w:val="008754F0"/>
    <w:rsid w:val="008770AB"/>
    <w:rsid w:val="0087740E"/>
    <w:rsid w:val="00877EF0"/>
    <w:rsid w:val="008801BA"/>
    <w:rsid w:val="00880C71"/>
    <w:rsid w:val="00881196"/>
    <w:rsid w:val="008811BA"/>
    <w:rsid w:val="008815B1"/>
    <w:rsid w:val="00881CA3"/>
    <w:rsid w:val="00882B67"/>
    <w:rsid w:val="00883A75"/>
    <w:rsid w:val="00883CC9"/>
    <w:rsid w:val="00883DDE"/>
    <w:rsid w:val="00884CF9"/>
    <w:rsid w:val="008851CE"/>
    <w:rsid w:val="008870E8"/>
    <w:rsid w:val="00887450"/>
    <w:rsid w:val="00890838"/>
    <w:rsid w:val="00892481"/>
    <w:rsid w:val="0089291B"/>
    <w:rsid w:val="00892A3F"/>
    <w:rsid w:val="00892BE4"/>
    <w:rsid w:val="0089336A"/>
    <w:rsid w:val="00893E32"/>
    <w:rsid w:val="0089405B"/>
    <w:rsid w:val="008940AF"/>
    <w:rsid w:val="008947F5"/>
    <w:rsid w:val="00894830"/>
    <w:rsid w:val="00894DDA"/>
    <w:rsid w:val="00895FFA"/>
    <w:rsid w:val="00896049"/>
    <w:rsid w:val="00897279"/>
    <w:rsid w:val="00897884"/>
    <w:rsid w:val="008A04A8"/>
    <w:rsid w:val="008A1DF9"/>
    <w:rsid w:val="008A1E5E"/>
    <w:rsid w:val="008A355F"/>
    <w:rsid w:val="008A3768"/>
    <w:rsid w:val="008A394C"/>
    <w:rsid w:val="008A4416"/>
    <w:rsid w:val="008A5924"/>
    <w:rsid w:val="008A5A85"/>
    <w:rsid w:val="008A6FD9"/>
    <w:rsid w:val="008B13B1"/>
    <w:rsid w:val="008B2A6C"/>
    <w:rsid w:val="008B2AD5"/>
    <w:rsid w:val="008B345F"/>
    <w:rsid w:val="008B4041"/>
    <w:rsid w:val="008B41F2"/>
    <w:rsid w:val="008B4C62"/>
    <w:rsid w:val="008B4E73"/>
    <w:rsid w:val="008B5246"/>
    <w:rsid w:val="008B5D83"/>
    <w:rsid w:val="008B7A46"/>
    <w:rsid w:val="008B7B6B"/>
    <w:rsid w:val="008B7D01"/>
    <w:rsid w:val="008C021C"/>
    <w:rsid w:val="008C1292"/>
    <w:rsid w:val="008C233F"/>
    <w:rsid w:val="008C2B51"/>
    <w:rsid w:val="008C2E0E"/>
    <w:rsid w:val="008C3159"/>
    <w:rsid w:val="008C39BF"/>
    <w:rsid w:val="008C4545"/>
    <w:rsid w:val="008C52F2"/>
    <w:rsid w:val="008C57CB"/>
    <w:rsid w:val="008C7334"/>
    <w:rsid w:val="008D1129"/>
    <w:rsid w:val="008D17FD"/>
    <w:rsid w:val="008D2CCC"/>
    <w:rsid w:val="008D373E"/>
    <w:rsid w:val="008D45DD"/>
    <w:rsid w:val="008D5272"/>
    <w:rsid w:val="008D534D"/>
    <w:rsid w:val="008D53D4"/>
    <w:rsid w:val="008D65AE"/>
    <w:rsid w:val="008D6927"/>
    <w:rsid w:val="008D6D69"/>
    <w:rsid w:val="008D7203"/>
    <w:rsid w:val="008D7862"/>
    <w:rsid w:val="008D79E7"/>
    <w:rsid w:val="008E02E4"/>
    <w:rsid w:val="008E1397"/>
    <w:rsid w:val="008E2349"/>
    <w:rsid w:val="008E43FD"/>
    <w:rsid w:val="008E4458"/>
    <w:rsid w:val="008E5A64"/>
    <w:rsid w:val="008E5FA1"/>
    <w:rsid w:val="008E6AC4"/>
    <w:rsid w:val="008E748E"/>
    <w:rsid w:val="008F0799"/>
    <w:rsid w:val="008F13F4"/>
    <w:rsid w:val="008F621A"/>
    <w:rsid w:val="008F68BE"/>
    <w:rsid w:val="008F726B"/>
    <w:rsid w:val="008F7860"/>
    <w:rsid w:val="009007D0"/>
    <w:rsid w:val="00900BE8"/>
    <w:rsid w:val="00901B80"/>
    <w:rsid w:val="0090487D"/>
    <w:rsid w:val="0090556F"/>
    <w:rsid w:val="009056F7"/>
    <w:rsid w:val="00906216"/>
    <w:rsid w:val="00907CAC"/>
    <w:rsid w:val="009103B5"/>
    <w:rsid w:val="00910880"/>
    <w:rsid w:val="009108B3"/>
    <w:rsid w:val="00912195"/>
    <w:rsid w:val="00913674"/>
    <w:rsid w:val="00913BBE"/>
    <w:rsid w:val="00913C5B"/>
    <w:rsid w:val="0091575C"/>
    <w:rsid w:val="0091788F"/>
    <w:rsid w:val="00920584"/>
    <w:rsid w:val="009206A9"/>
    <w:rsid w:val="00920894"/>
    <w:rsid w:val="00921178"/>
    <w:rsid w:val="0092168F"/>
    <w:rsid w:val="00921730"/>
    <w:rsid w:val="00922033"/>
    <w:rsid w:val="00922A31"/>
    <w:rsid w:val="00923212"/>
    <w:rsid w:val="0092337D"/>
    <w:rsid w:val="009234A6"/>
    <w:rsid w:val="009236DF"/>
    <w:rsid w:val="0092427D"/>
    <w:rsid w:val="00924A40"/>
    <w:rsid w:val="009258EA"/>
    <w:rsid w:val="009265D9"/>
    <w:rsid w:val="00926EF7"/>
    <w:rsid w:val="00927A3F"/>
    <w:rsid w:val="00930278"/>
    <w:rsid w:val="009319DA"/>
    <w:rsid w:val="00932424"/>
    <w:rsid w:val="00933BE2"/>
    <w:rsid w:val="0093501E"/>
    <w:rsid w:val="00935EC2"/>
    <w:rsid w:val="009368FA"/>
    <w:rsid w:val="00936EB5"/>
    <w:rsid w:val="00936EC5"/>
    <w:rsid w:val="00936EF9"/>
    <w:rsid w:val="0093795F"/>
    <w:rsid w:val="00940053"/>
    <w:rsid w:val="0094180A"/>
    <w:rsid w:val="00941F42"/>
    <w:rsid w:val="009422A1"/>
    <w:rsid w:val="00942DA6"/>
    <w:rsid w:val="009436D3"/>
    <w:rsid w:val="009446B6"/>
    <w:rsid w:val="00944CE0"/>
    <w:rsid w:val="009456BC"/>
    <w:rsid w:val="009456C9"/>
    <w:rsid w:val="00945B21"/>
    <w:rsid w:val="009464F7"/>
    <w:rsid w:val="009468C9"/>
    <w:rsid w:val="00947953"/>
    <w:rsid w:val="0095089C"/>
    <w:rsid w:val="009512E2"/>
    <w:rsid w:val="0095149C"/>
    <w:rsid w:val="009519D1"/>
    <w:rsid w:val="0095255C"/>
    <w:rsid w:val="00952B2E"/>
    <w:rsid w:val="00952BA6"/>
    <w:rsid w:val="0095346D"/>
    <w:rsid w:val="00955E39"/>
    <w:rsid w:val="00956867"/>
    <w:rsid w:val="009579AD"/>
    <w:rsid w:val="00957C64"/>
    <w:rsid w:val="00961046"/>
    <w:rsid w:val="009617F9"/>
    <w:rsid w:val="00962757"/>
    <w:rsid w:val="00965BF8"/>
    <w:rsid w:val="00966331"/>
    <w:rsid w:val="00966855"/>
    <w:rsid w:val="00967395"/>
    <w:rsid w:val="00967A72"/>
    <w:rsid w:val="00970279"/>
    <w:rsid w:val="009707F2"/>
    <w:rsid w:val="00972E04"/>
    <w:rsid w:val="00973A80"/>
    <w:rsid w:val="00974930"/>
    <w:rsid w:val="00974E19"/>
    <w:rsid w:val="00975205"/>
    <w:rsid w:val="009770E5"/>
    <w:rsid w:val="009774D9"/>
    <w:rsid w:val="009803CC"/>
    <w:rsid w:val="009806B9"/>
    <w:rsid w:val="00980BC3"/>
    <w:rsid w:val="0098102C"/>
    <w:rsid w:val="00981660"/>
    <w:rsid w:val="00981F5C"/>
    <w:rsid w:val="00982E90"/>
    <w:rsid w:val="009855B7"/>
    <w:rsid w:val="00985796"/>
    <w:rsid w:val="00987683"/>
    <w:rsid w:val="00987687"/>
    <w:rsid w:val="00990895"/>
    <w:rsid w:val="00991562"/>
    <w:rsid w:val="00991C63"/>
    <w:rsid w:val="00991F05"/>
    <w:rsid w:val="00993549"/>
    <w:rsid w:val="00993C5A"/>
    <w:rsid w:val="00994A36"/>
    <w:rsid w:val="00994F38"/>
    <w:rsid w:val="0099533B"/>
    <w:rsid w:val="00996754"/>
    <w:rsid w:val="00996A07"/>
    <w:rsid w:val="00996D34"/>
    <w:rsid w:val="00996F61"/>
    <w:rsid w:val="00997D70"/>
    <w:rsid w:val="009A0218"/>
    <w:rsid w:val="009A24AB"/>
    <w:rsid w:val="009A266D"/>
    <w:rsid w:val="009A2C00"/>
    <w:rsid w:val="009A3BD6"/>
    <w:rsid w:val="009A3D92"/>
    <w:rsid w:val="009A431A"/>
    <w:rsid w:val="009A4856"/>
    <w:rsid w:val="009A4A6F"/>
    <w:rsid w:val="009A52A5"/>
    <w:rsid w:val="009A6156"/>
    <w:rsid w:val="009A68AE"/>
    <w:rsid w:val="009A7765"/>
    <w:rsid w:val="009B0618"/>
    <w:rsid w:val="009B0F1D"/>
    <w:rsid w:val="009B23E9"/>
    <w:rsid w:val="009B34DC"/>
    <w:rsid w:val="009B37F0"/>
    <w:rsid w:val="009B3B73"/>
    <w:rsid w:val="009B408A"/>
    <w:rsid w:val="009B6DA6"/>
    <w:rsid w:val="009B748E"/>
    <w:rsid w:val="009B7BA8"/>
    <w:rsid w:val="009C0B6E"/>
    <w:rsid w:val="009C0CF6"/>
    <w:rsid w:val="009C1D64"/>
    <w:rsid w:val="009C22C6"/>
    <w:rsid w:val="009C4AFB"/>
    <w:rsid w:val="009C56A1"/>
    <w:rsid w:val="009C5F7D"/>
    <w:rsid w:val="009C6DF5"/>
    <w:rsid w:val="009C6EFD"/>
    <w:rsid w:val="009C7569"/>
    <w:rsid w:val="009C7750"/>
    <w:rsid w:val="009D19D8"/>
    <w:rsid w:val="009D1F1D"/>
    <w:rsid w:val="009D2015"/>
    <w:rsid w:val="009D3767"/>
    <w:rsid w:val="009D3844"/>
    <w:rsid w:val="009D3A68"/>
    <w:rsid w:val="009D3CE5"/>
    <w:rsid w:val="009D42D3"/>
    <w:rsid w:val="009D52EC"/>
    <w:rsid w:val="009D6358"/>
    <w:rsid w:val="009D73AC"/>
    <w:rsid w:val="009E020F"/>
    <w:rsid w:val="009E0C85"/>
    <w:rsid w:val="009E3265"/>
    <w:rsid w:val="009E349A"/>
    <w:rsid w:val="009E34E8"/>
    <w:rsid w:val="009E3952"/>
    <w:rsid w:val="009E407C"/>
    <w:rsid w:val="009E49D4"/>
    <w:rsid w:val="009E4AA9"/>
    <w:rsid w:val="009E533B"/>
    <w:rsid w:val="009E5636"/>
    <w:rsid w:val="009E6ED1"/>
    <w:rsid w:val="009E7308"/>
    <w:rsid w:val="009E745F"/>
    <w:rsid w:val="009E7566"/>
    <w:rsid w:val="009E7E38"/>
    <w:rsid w:val="009F0BD1"/>
    <w:rsid w:val="009F0D2F"/>
    <w:rsid w:val="009F1359"/>
    <w:rsid w:val="009F2834"/>
    <w:rsid w:val="009F4412"/>
    <w:rsid w:val="009F5EFF"/>
    <w:rsid w:val="009F6D9C"/>
    <w:rsid w:val="009F6FF9"/>
    <w:rsid w:val="009F7116"/>
    <w:rsid w:val="009F768A"/>
    <w:rsid w:val="00A00485"/>
    <w:rsid w:val="00A013A8"/>
    <w:rsid w:val="00A01E13"/>
    <w:rsid w:val="00A01F35"/>
    <w:rsid w:val="00A025E6"/>
    <w:rsid w:val="00A0387A"/>
    <w:rsid w:val="00A04762"/>
    <w:rsid w:val="00A04B41"/>
    <w:rsid w:val="00A04CA1"/>
    <w:rsid w:val="00A050DC"/>
    <w:rsid w:val="00A058CE"/>
    <w:rsid w:val="00A105DD"/>
    <w:rsid w:val="00A116F1"/>
    <w:rsid w:val="00A11860"/>
    <w:rsid w:val="00A12485"/>
    <w:rsid w:val="00A13C41"/>
    <w:rsid w:val="00A146A9"/>
    <w:rsid w:val="00A14B00"/>
    <w:rsid w:val="00A15223"/>
    <w:rsid w:val="00A15BBF"/>
    <w:rsid w:val="00A15C5F"/>
    <w:rsid w:val="00A1642B"/>
    <w:rsid w:val="00A167D4"/>
    <w:rsid w:val="00A174EE"/>
    <w:rsid w:val="00A201DC"/>
    <w:rsid w:val="00A2045D"/>
    <w:rsid w:val="00A2080F"/>
    <w:rsid w:val="00A20875"/>
    <w:rsid w:val="00A211B2"/>
    <w:rsid w:val="00A212E7"/>
    <w:rsid w:val="00A21924"/>
    <w:rsid w:val="00A21A21"/>
    <w:rsid w:val="00A21D0B"/>
    <w:rsid w:val="00A21E92"/>
    <w:rsid w:val="00A221D7"/>
    <w:rsid w:val="00A23068"/>
    <w:rsid w:val="00A252FB"/>
    <w:rsid w:val="00A25345"/>
    <w:rsid w:val="00A253CA"/>
    <w:rsid w:val="00A256E4"/>
    <w:rsid w:val="00A25F2D"/>
    <w:rsid w:val="00A26319"/>
    <w:rsid w:val="00A26B70"/>
    <w:rsid w:val="00A2700B"/>
    <w:rsid w:val="00A2735B"/>
    <w:rsid w:val="00A3090D"/>
    <w:rsid w:val="00A30D7E"/>
    <w:rsid w:val="00A3119B"/>
    <w:rsid w:val="00A318BE"/>
    <w:rsid w:val="00A32352"/>
    <w:rsid w:val="00A33125"/>
    <w:rsid w:val="00A3399F"/>
    <w:rsid w:val="00A33A6F"/>
    <w:rsid w:val="00A33C51"/>
    <w:rsid w:val="00A35296"/>
    <w:rsid w:val="00A354EC"/>
    <w:rsid w:val="00A3552C"/>
    <w:rsid w:val="00A35F08"/>
    <w:rsid w:val="00A36C2A"/>
    <w:rsid w:val="00A37BC3"/>
    <w:rsid w:val="00A40091"/>
    <w:rsid w:val="00A40242"/>
    <w:rsid w:val="00A4084D"/>
    <w:rsid w:val="00A42995"/>
    <w:rsid w:val="00A45910"/>
    <w:rsid w:val="00A45F7C"/>
    <w:rsid w:val="00A46B3E"/>
    <w:rsid w:val="00A46C8E"/>
    <w:rsid w:val="00A46E47"/>
    <w:rsid w:val="00A46FF6"/>
    <w:rsid w:val="00A502FA"/>
    <w:rsid w:val="00A51AC7"/>
    <w:rsid w:val="00A51BE2"/>
    <w:rsid w:val="00A52897"/>
    <w:rsid w:val="00A529DB"/>
    <w:rsid w:val="00A52F8D"/>
    <w:rsid w:val="00A53BA6"/>
    <w:rsid w:val="00A543EE"/>
    <w:rsid w:val="00A55F81"/>
    <w:rsid w:val="00A56943"/>
    <w:rsid w:val="00A579DA"/>
    <w:rsid w:val="00A60923"/>
    <w:rsid w:val="00A61341"/>
    <w:rsid w:val="00A62935"/>
    <w:rsid w:val="00A62E35"/>
    <w:rsid w:val="00A62E52"/>
    <w:rsid w:val="00A63C11"/>
    <w:rsid w:val="00A64167"/>
    <w:rsid w:val="00A65793"/>
    <w:rsid w:val="00A66C56"/>
    <w:rsid w:val="00A6717B"/>
    <w:rsid w:val="00A671C7"/>
    <w:rsid w:val="00A67282"/>
    <w:rsid w:val="00A678D0"/>
    <w:rsid w:val="00A70232"/>
    <w:rsid w:val="00A71AFD"/>
    <w:rsid w:val="00A71EED"/>
    <w:rsid w:val="00A74B41"/>
    <w:rsid w:val="00A755C0"/>
    <w:rsid w:val="00A75C6C"/>
    <w:rsid w:val="00A80272"/>
    <w:rsid w:val="00A821B0"/>
    <w:rsid w:val="00A8284E"/>
    <w:rsid w:val="00A8423B"/>
    <w:rsid w:val="00A85843"/>
    <w:rsid w:val="00A85D8A"/>
    <w:rsid w:val="00A86408"/>
    <w:rsid w:val="00A8691E"/>
    <w:rsid w:val="00A904CC"/>
    <w:rsid w:val="00A918E3"/>
    <w:rsid w:val="00A91F9F"/>
    <w:rsid w:val="00A92B1E"/>
    <w:rsid w:val="00A93C24"/>
    <w:rsid w:val="00A9447A"/>
    <w:rsid w:val="00A946DE"/>
    <w:rsid w:val="00A949CC"/>
    <w:rsid w:val="00A949EE"/>
    <w:rsid w:val="00A94E20"/>
    <w:rsid w:val="00A95462"/>
    <w:rsid w:val="00A9587B"/>
    <w:rsid w:val="00A9597A"/>
    <w:rsid w:val="00A97512"/>
    <w:rsid w:val="00AA0000"/>
    <w:rsid w:val="00AA00DB"/>
    <w:rsid w:val="00AA0701"/>
    <w:rsid w:val="00AA1F99"/>
    <w:rsid w:val="00AA24B8"/>
    <w:rsid w:val="00AA581A"/>
    <w:rsid w:val="00AA7748"/>
    <w:rsid w:val="00AA7F9E"/>
    <w:rsid w:val="00AB038E"/>
    <w:rsid w:val="00AB0C8A"/>
    <w:rsid w:val="00AB10B0"/>
    <w:rsid w:val="00AB18EC"/>
    <w:rsid w:val="00AB2683"/>
    <w:rsid w:val="00AB26A4"/>
    <w:rsid w:val="00AB326A"/>
    <w:rsid w:val="00AB509C"/>
    <w:rsid w:val="00AB51E6"/>
    <w:rsid w:val="00AB5D82"/>
    <w:rsid w:val="00AB681B"/>
    <w:rsid w:val="00AB7FC1"/>
    <w:rsid w:val="00AC13BF"/>
    <w:rsid w:val="00AC219C"/>
    <w:rsid w:val="00AC260A"/>
    <w:rsid w:val="00AC2739"/>
    <w:rsid w:val="00AC2D10"/>
    <w:rsid w:val="00AC2F10"/>
    <w:rsid w:val="00AC3019"/>
    <w:rsid w:val="00AC39CF"/>
    <w:rsid w:val="00AC3BE2"/>
    <w:rsid w:val="00AC4267"/>
    <w:rsid w:val="00AC45CB"/>
    <w:rsid w:val="00AC77C1"/>
    <w:rsid w:val="00AC7CB4"/>
    <w:rsid w:val="00AD2E45"/>
    <w:rsid w:val="00AD3B1B"/>
    <w:rsid w:val="00AD45FE"/>
    <w:rsid w:val="00AD5185"/>
    <w:rsid w:val="00AD527F"/>
    <w:rsid w:val="00AD6709"/>
    <w:rsid w:val="00AD673E"/>
    <w:rsid w:val="00AD6A5C"/>
    <w:rsid w:val="00AD74D0"/>
    <w:rsid w:val="00AE088D"/>
    <w:rsid w:val="00AE0A43"/>
    <w:rsid w:val="00AE0F0D"/>
    <w:rsid w:val="00AE1187"/>
    <w:rsid w:val="00AE14A9"/>
    <w:rsid w:val="00AE23A1"/>
    <w:rsid w:val="00AE24E5"/>
    <w:rsid w:val="00AE2822"/>
    <w:rsid w:val="00AE285D"/>
    <w:rsid w:val="00AE2D88"/>
    <w:rsid w:val="00AE2FE4"/>
    <w:rsid w:val="00AE33EE"/>
    <w:rsid w:val="00AE43E0"/>
    <w:rsid w:val="00AE5A78"/>
    <w:rsid w:val="00AE6CF3"/>
    <w:rsid w:val="00AE6F1C"/>
    <w:rsid w:val="00AE7EDE"/>
    <w:rsid w:val="00AF1322"/>
    <w:rsid w:val="00AF158F"/>
    <w:rsid w:val="00AF257C"/>
    <w:rsid w:val="00AF2FB9"/>
    <w:rsid w:val="00AF42E4"/>
    <w:rsid w:val="00AF543C"/>
    <w:rsid w:val="00AF6380"/>
    <w:rsid w:val="00AF6501"/>
    <w:rsid w:val="00AF6EC6"/>
    <w:rsid w:val="00AF6F88"/>
    <w:rsid w:val="00AF7CDA"/>
    <w:rsid w:val="00B0140C"/>
    <w:rsid w:val="00B0180D"/>
    <w:rsid w:val="00B022CF"/>
    <w:rsid w:val="00B039E1"/>
    <w:rsid w:val="00B03A8C"/>
    <w:rsid w:val="00B057D1"/>
    <w:rsid w:val="00B062A4"/>
    <w:rsid w:val="00B0672A"/>
    <w:rsid w:val="00B07655"/>
    <w:rsid w:val="00B115C1"/>
    <w:rsid w:val="00B12917"/>
    <w:rsid w:val="00B17223"/>
    <w:rsid w:val="00B17AEA"/>
    <w:rsid w:val="00B17F67"/>
    <w:rsid w:val="00B20980"/>
    <w:rsid w:val="00B212C9"/>
    <w:rsid w:val="00B222D8"/>
    <w:rsid w:val="00B223B1"/>
    <w:rsid w:val="00B22882"/>
    <w:rsid w:val="00B268CE"/>
    <w:rsid w:val="00B273C3"/>
    <w:rsid w:val="00B27624"/>
    <w:rsid w:val="00B308A4"/>
    <w:rsid w:val="00B321A9"/>
    <w:rsid w:val="00B34543"/>
    <w:rsid w:val="00B34EC8"/>
    <w:rsid w:val="00B3506C"/>
    <w:rsid w:val="00B35EAD"/>
    <w:rsid w:val="00B360CD"/>
    <w:rsid w:val="00B3652F"/>
    <w:rsid w:val="00B3791F"/>
    <w:rsid w:val="00B406E1"/>
    <w:rsid w:val="00B411BF"/>
    <w:rsid w:val="00B41E2F"/>
    <w:rsid w:val="00B42CE0"/>
    <w:rsid w:val="00B4305C"/>
    <w:rsid w:val="00B43277"/>
    <w:rsid w:val="00B44CAB"/>
    <w:rsid w:val="00B4669C"/>
    <w:rsid w:val="00B46A74"/>
    <w:rsid w:val="00B46F95"/>
    <w:rsid w:val="00B47531"/>
    <w:rsid w:val="00B479DC"/>
    <w:rsid w:val="00B5184D"/>
    <w:rsid w:val="00B51EF4"/>
    <w:rsid w:val="00B52054"/>
    <w:rsid w:val="00B5233E"/>
    <w:rsid w:val="00B53724"/>
    <w:rsid w:val="00B5391B"/>
    <w:rsid w:val="00B53B37"/>
    <w:rsid w:val="00B53F52"/>
    <w:rsid w:val="00B54273"/>
    <w:rsid w:val="00B550B9"/>
    <w:rsid w:val="00B55194"/>
    <w:rsid w:val="00B5664C"/>
    <w:rsid w:val="00B56F8F"/>
    <w:rsid w:val="00B57585"/>
    <w:rsid w:val="00B60522"/>
    <w:rsid w:val="00B6094E"/>
    <w:rsid w:val="00B6169E"/>
    <w:rsid w:val="00B61B08"/>
    <w:rsid w:val="00B61E0E"/>
    <w:rsid w:val="00B6202A"/>
    <w:rsid w:val="00B62676"/>
    <w:rsid w:val="00B630C0"/>
    <w:rsid w:val="00B640F7"/>
    <w:rsid w:val="00B64873"/>
    <w:rsid w:val="00B6497E"/>
    <w:rsid w:val="00B64B60"/>
    <w:rsid w:val="00B64F16"/>
    <w:rsid w:val="00B668FD"/>
    <w:rsid w:val="00B66CB7"/>
    <w:rsid w:val="00B67BA0"/>
    <w:rsid w:val="00B70BFE"/>
    <w:rsid w:val="00B7154C"/>
    <w:rsid w:val="00B71F5F"/>
    <w:rsid w:val="00B72397"/>
    <w:rsid w:val="00B73ABC"/>
    <w:rsid w:val="00B74C6E"/>
    <w:rsid w:val="00B750F9"/>
    <w:rsid w:val="00B76F25"/>
    <w:rsid w:val="00B83DBC"/>
    <w:rsid w:val="00B852EA"/>
    <w:rsid w:val="00B879D4"/>
    <w:rsid w:val="00B9046D"/>
    <w:rsid w:val="00B9129C"/>
    <w:rsid w:val="00B91C2A"/>
    <w:rsid w:val="00B92955"/>
    <w:rsid w:val="00B92E04"/>
    <w:rsid w:val="00B93EC7"/>
    <w:rsid w:val="00B94A90"/>
    <w:rsid w:val="00B9575C"/>
    <w:rsid w:val="00B959A0"/>
    <w:rsid w:val="00B968A1"/>
    <w:rsid w:val="00B96C04"/>
    <w:rsid w:val="00B96CAA"/>
    <w:rsid w:val="00B96D54"/>
    <w:rsid w:val="00B97EC6"/>
    <w:rsid w:val="00BA3022"/>
    <w:rsid w:val="00BA312E"/>
    <w:rsid w:val="00BA3DDA"/>
    <w:rsid w:val="00BA4595"/>
    <w:rsid w:val="00BA580F"/>
    <w:rsid w:val="00BA6887"/>
    <w:rsid w:val="00BA7709"/>
    <w:rsid w:val="00BB0294"/>
    <w:rsid w:val="00BB12C4"/>
    <w:rsid w:val="00BB17C6"/>
    <w:rsid w:val="00BB2185"/>
    <w:rsid w:val="00BB2CBB"/>
    <w:rsid w:val="00BB301D"/>
    <w:rsid w:val="00BB3528"/>
    <w:rsid w:val="00BB5F2B"/>
    <w:rsid w:val="00BB629F"/>
    <w:rsid w:val="00BB6DBF"/>
    <w:rsid w:val="00BC0140"/>
    <w:rsid w:val="00BC216E"/>
    <w:rsid w:val="00BC23F6"/>
    <w:rsid w:val="00BC24C1"/>
    <w:rsid w:val="00BC26B3"/>
    <w:rsid w:val="00BC3EF5"/>
    <w:rsid w:val="00BC408B"/>
    <w:rsid w:val="00BC472A"/>
    <w:rsid w:val="00BC4B8A"/>
    <w:rsid w:val="00BC6D3F"/>
    <w:rsid w:val="00BC784A"/>
    <w:rsid w:val="00BD137D"/>
    <w:rsid w:val="00BD1CEE"/>
    <w:rsid w:val="00BD1EF7"/>
    <w:rsid w:val="00BD3B31"/>
    <w:rsid w:val="00BD4301"/>
    <w:rsid w:val="00BD4A00"/>
    <w:rsid w:val="00BD4EFA"/>
    <w:rsid w:val="00BD4FF6"/>
    <w:rsid w:val="00BD651E"/>
    <w:rsid w:val="00BD6921"/>
    <w:rsid w:val="00BD78CA"/>
    <w:rsid w:val="00BE095F"/>
    <w:rsid w:val="00BE16B5"/>
    <w:rsid w:val="00BE2C40"/>
    <w:rsid w:val="00BE4463"/>
    <w:rsid w:val="00BE4545"/>
    <w:rsid w:val="00BE7638"/>
    <w:rsid w:val="00BE7B79"/>
    <w:rsid w:val="00BE7D46"/>
    <w:rsid w:val="00BF013A"/>
    <w:rsid w:val="00BF0685"/>
    <w:rsid w:val="00BF4A17"/>
    <w:rsid w:val="00BF6B32"/>
    <w:rsid w:val="00BF6C40"/>
    <w:rsid w:val="00C00000"/>
    <w:rsid w:val="00C0008B"/>
    <w:rsid w:val="00C0386A"/>
    <w:rsid w:val="00C04061"/>
    <w:rsid w:val="00C04BA4"/>
    <w:rsid w:val="00C054A6"/>
    <w:rsid w:val="00C056EB"/>
    <w:rsid w:val="00C0598E"/>
    <w:rsid w:val="00C07645"/>
    <w:rsid w:val="00C115D6"/>
    <w:rsid w:val="00C1196B"/>
    <w:rsid w:val="00C12247"/>
    <w:rsid w:val="00C12EDF"/>
    <w:rsid w:val="00C142FA"/>
    <w:rsid w:val="00C14EF9"/>
    <w:rsid w:val="00C176C6"/>
    <w:rsid w:val="00C17F9F"/>
    <w:rsid w:val="00C20202"/>
    <w:rsid w:val="00C2035C"/>
    <w:rsid w:val="00C20ABE"/>
    <w:rsid w:val="00C20ABF"/>
    <w:rsid w:val="00C20F5E"/>
    <w:rsid w:val="00C21034"/>
    <w:rsid w:val="00C21355"/>
    <w:rsid w:val="00C22671"/>
    <w:rsid w:val="00C2288B"/>
    <w:rsid w:val="00C234CD"/>
    <w:rsid w:val="00C23773"/>
    <w:rsid w:val="00C23B21"/>
    <w:rsid w:val="00C23F86"/>
    <w:rsid w:val="00C249C9"/>
    <w:rsid w:val="00C25714"/>
    <w:rsid w:val="00C2602B"/>
    <w:rsid w:val="00C26DC0"/>
    <w:rsid w:val="00C30758"/>
    <w:rsid w:val="00C31896"/>
    <w:rsid w:val="00C33297"/>
    <w:rsid w:val="00C34445"/>
    <w:rsid w:val="00C3450A"/>
    <w:rsid w:val="00C3487F"/>
    <w:rsid w:val="00C3598C"/>
    <w:rsid w:val="00C35A8C"/>
    <w:rsid w:val="00C36579"/>
    <w:rsid w:val="00C36D80"/>
    <w:rsid w:val="00C36F3B"/>
    <w:rsid w:val="00C40022"/>
    <w:rsid w:val="00C4015C"/>
    <w:rsid w:val="00C4024F"/>
    <w:rsid w:val="00C40D28"/>
    <w:rsid w:val="00C411AC"/>
    <w:rsid w:val="00C4171C"/>
    <w:rsid w:val="00C424EF"/>
    <w:rsid w:val="00C432AC"/>
    <w:rsid w:val="00C4396F"/>
    <w:rsid w:val="00C43E06"/>
    <w:rsid w:val="00C44506"/>
    <w:rsid w:val="00C45A62"/>
    <w:rsid w:val="00C45EAC"/>
    <w:rsid w:val="00C4683C"/>
    <w:rsid w:val="00C46877"/>
    <w:rsid w:val="00C470FB"/>
    <w:rsid w:val="00C51104"/>
    <w:rsid w:val="00C53EBC"/>
    <w:rsid w:val="00C602A3"/>
    <w:rsid w:val="00C60E15"/>
    <w:rsid w:val="00C616FA"/>
    <w:rsid w:val="00C62019"/>
    <w:rsid w:val="00C62281"/>
    <w:rsid w:val="00C63596"/>
    <w:rsid w:val="00C637F8"/>
    <w:rsid w:val="00C64B98"/>
    <w:rsid w:val="00C64DE7"/>
    <w:rsid w:val="00C64EEE"/>
    <w:rsid w:val="00C658AD"/>
    <w:rsid w:val="00C679BA"/>
    <w:rsid w:val="00C70718"/>
    <w:rsid w:val="00C70878"/>
    <w:rsid w:val="00C712EF"/>
    <w:rsid w:val="00C729AD"/>
    <w:rsid w:val="00C72AF7"/>
    <w:rsid w:val="00C736CB"/>
    <w:rsid w:val="00C75845"/>
    <w:rsid w:val="00C76836"/>
    <w:rsid w:val="00C77949"/>
    <w:rsid w:val="00C800C2"/>
    <w:rsid w:val="00C83206"/>
    <w:rsid w:val="00C8397C"/>
    <w:rsid w:val="00C867D1"/>
    <w:rsid w:val="00C8694C"/>
    <w:rsid w:val="00C906A0"/>
    <w:rsid w:val="00C90F69"/>
    <w:rsid w:val="00C91354"/>
    <w:rsid w:val="00C92575"/>
    <w:rsid w:val="00C9379D"/>
    <w:rsid w:val="00C938DC"/>
    <w:rsid w:val="00C94461"/>
    <w:rsid w:val="00C94850"/>
    <w:rsid w:val="00C95997"/>
    <w:rsid w:val="00C95B53"/>
    <w:rsid w:val="00C964CB"/>
    <w:rsid w:val="00C9675B"/>
    <w:rsid w:val="00C97209"/>
    <w:rsid w:val="00C97EC2"/>
    <w:rsid w:val="00CA0D27"/>
    <w:rsid w:val="00CA0FAB"/>
    <w:rsid w:val="00CA10F0"/>
    <w:rsid w:val="00CA1BED"/>
    <w:rsid w:val="00CA2B6F"/>
    <w:rsid w:val="00CA2BE9"/>
    <w:rsid w:val="00CA31DD"/>
    <w:rsid w:val="00CA3A3B"/>
    <w:rsid w:val="00CA463A"/>
    <w:rsid w:val="00CA509E"/>
    <w:rsid w:val="00CA644F"/>
    <w:rsid w:val="00CA70B9"/>
    <w:rsid w:val="00CA7605"/>
    <w:rsid w:val="00CA7FCB"/>
    <w:rsid w:val="00CB0279"/>
    <w:rsid w:val="00CB0310"/>
    <w:rsid w:val="00CB0B4E"/>
    <w:rsid w:val="00CB1676"/>
    <w:rsid w:val="00CB1937"/>
    <w:rsid w:val="00CB1AE9"/>
    <w:rsid w:val="00CB2742"/>
    <w:rsid w:val="00CB4401"/>
    <w:rsid w:val="00CB743D"/>
    <w:rsid w:val="00CC0524"/>
    <w:rsid w:val="00CC100D"/>
    <w:rsid w:val="00CC124B"/>
    <w:rsid w:val="00CC136F"/>
    <w:rsid w:val="00CC1878"/>
    <w:rsid w:val="00CC203D"/>
    <w:rsid w:val="00CC2984"/>
    <w:rsid w:val="00CC3C16"/>
    <w:rsid w:val="00CC4609"/>
    <w:rsid w:val="00CC6FF9"/>
    <w:rsid w:val="00CC7E2E"/>
    <w:rsid w:val="00CD0743"/>
    <w:rsid w:val="00CD0944"/>
    <w:rsid w:val="00CD0B7C"/>
    <w:rsid w:val="00CD27A8"/>
    <w:rsid w:val="00CD2CC6"/>
    <w:rsid w:val="00CD42BD"/>
    <w:rsid w:val="00CD527C"/>
    <w:rsid w:val="00CD5917"/>
    <w:rsid w:val="00CD5D6F"/>
    <w:rsid w:val="00CD6D91"/>
    <w:rsid w:val="00CE0019"/>
    <w:rsid w:val="00CE00B3"/>
    <w:rsid w:val="00CE0636"/>
    <w:rsid w:val="00CE1EF1"/>
    <w:rsid w:val="00CE39A2"/>
    <w:rsid w:val="00CE57EB"/>
    <w:rsid w:val="00CE58A9"/>
    <w:rsid w:val="00CE5B7E"/>
    <w:rsid w:val="00CE5B9B"/>
    <w:rsid w:val="00CE6644"/>
    <w:rsid w:val="00CE703E"/>
    <w:rsid w:val="00CE7083"/>
    <w:rsid w:val="00CE75FF"/>
    <w:rsid w:val="00CE7D01"/>
    <w:rsid w:val="00CF14FB"/>
    <w:rsid w:val="00CF171C"/>
    <w:rsid w:val="00CF32F6"/>
    <w:rsid w:val="00CF3356"/>
    <w:rsid w:val="00CF4551"/>
    <w:rsid w:val="00CF5D23"/>
    <w:rsid w:val="00CF6DCA"/>
    <w:rsid w:val="00CF7390"/>
    <w:rsid w:val="00CF76B3"/>
    <w:rsid w:val="00CF7BED"/>
    <w:rsid w:val="00D00FF4"/>
    <w:rsid w:val="00D0219F"/>
    <w:rsid w:val="00D03525"/>
    <w:rsid w:val="00D03ACE"/>
    <w:rsid w:val="00D04AB5"/>
    <w:rsid w:val="00D05442"/>
    <w:rsid w:val="00D062EB"/>
    <w:rsid w:val="00D0735B"/>
    <w:rsid w:val="00D106B5"/>
    <w:rsid w:val="00D11865"/>
    <w:rsid w:val="00D12128"/>
    <w:rsid w:val="00D1273D"/>
    <w:rsid w:val="00D132E1"/>
    <w:rsid w:val="00D145D4"/>
    <w:rsid w:val="00D148F6"/>
    <w:rsid w:val="00D14B66"/>
    <w:rsid w:val="00D14C2C"/>
    <w:rsid w:val="00D15821"/>
    <w:rsid w:val="00D15899"/>
    <w:rsid w:val="00D16310"/>
    <w:rsid w:val="00D17162"/>
    <w:rsid w:val="00D1785B"/>
    <w:rsid w:val="00D17D64"/>
    <w:rsid w:val="00D20A6D"/>
    <w:rsid w:val="00D21364"/>
    <w:rsid w:val="00D21719"/>
    <w:rsid w:val="00D21868"/>
    <w:rsid w:val="00D22236"/>
    <w:rsid w:val="00D22A86"/>
    <w:rsid w:val="00D254A8"/>
    <w:rsid w:val="00D26A2B"/>
    <w:rsid w:val="00D2759B"/>
    <w:rsid w:val="00D3084D"/>
    <w:rsid w:val="00D324FC"/>
    <w:rsid w:val="00D3259B"/>
    <w:rsid w:val="00D332C8"/>
    <w:rsid w:val="00D33A95"/>
    <w:rsid w:val="00D375E6"/>
    <w:rsid w:val="00D37E03"/>
    <w:rsid w:val="00D419BB"/>
    <w:rsid w:val="00D443AA"/>
    <w:rsid w:val="00D454B1"/>
    <w:rsid w:val="00D4596C"/>
    <w:rsid w:val="00D46537"/>
    <w:rsid w:val="00D46C83"/>
    <w:rsid w:val="00D46DFD"/>
    <w:rsid w:val="00D46E9B"/>
    <w:rsid w:val="00D476BD"/>
    <w:rsid w:val="00D4773F"/>
    <w:rsid w:val="00D5031A"/>
    <w:rsid w:val="00D5106D"/>
    <w:rsid w:val="00D51E4A"/>
    <w:rsid w:val="00D53271"/>
    <w:rsid w:val="00D54786"/>
    <w:rsid w:val="00D54FE4"/>
    <w:rsid w:val="00D55309"/>
    <w:rsid w:val="00D55836"/>
    <w:rsid w:val="00D55C29"/>
    <w:rsid w:val="00D60496"/>
    <w:rsid w:val="00D60704"/>
    <w:rsid w:val="00D60D8A"/>
    <w:rsid w:val="00D6102B"/>
    <w:rsid w:val="00D62D42"/>
    <w:rsid w:val="00D63EBF"/>
    <w:rsid w:val="00D63F47"/>
    <w:rsid w:val="00D641CF"/>
    <w:rsid w:val="00D64D99"/>
    <w:rsid w:val="00D65B48"/>
    <w:rsid w:val="00D66B91"/>
    <w:rsid w:val="00D700FD"/>
    <w:rsid w:val="00D70548"/>
    <w:rsid w:val="00D727C6"/>
    <w:rsid w:val="00D72E80"/>
    <w:rsid w:val="00D73A1F"/>
    <w:rsid w:val="00D73FED"/>
    <w:rsid w:val="00D74021"/>
    <w:rsid w:val="00D748C2"/>
    <w:rsid w:val="00D748F3"/>
    <w:rsid w:val="00D74CF8"/>
    <w:rsid w:val="00D75AA0"/>
    <w:rsid w:val="00D76625"/>
    <w:rsid w:val="00D77800"/>
    <w:rsid w:val="00D77DDC"/>
    <w:rsid w:val="00D80DBF"/>
    <w:rsid w:val="00D80F14"/>
    <w:rsid w:val="00D8211F"/>
    <w:rsid w:val="00D82A2C"/>
    <w:rsid w:val="00D82E1B"/>
    <w:rsid w:val="00D82FEF"/>
    <w:rsid w:val="00D830F5"/>
    <w:rsid w:val="00D83CE3"/>
    <w:rsid w:val="00D83D74"/>
    <w:rsid w:val="00D86989"/>
    <w:rsid w:val="00D8778B"/>
    <w:rsid w:val="00D9210E"/>
    <w:rsid w:val="00D92521"/>
    <w:rsid w:val="00D926AC"/>
    <w:rsid w:val="00D92951"/>
    <w:rsid w:val="00D92D79"/>
    <w:rsid w:val="00D944CB"/>
    <w:rsid w:val="00D94619"/>
    <w:rsid w:val="00D94B2A"/>
    <w:rsid w:val="00DA1F51"/>
    <w:rsid w:val="00DA36E8"/>
    <w:rsid w:val="00DA41DF"/>
    <w:rsid w:val="00DA6EB5"/>
    <w:rsid w:val="00DB16C0"/>
    <w:rsid w:val="00DB2273"/>
    <w:rsid w:val="00DB2DB2"/>
    <w:rsid w:val="00DB3379"/>
    <w:rsid w:val="00DB4307"/>
    <w:rsid w:val="00DB49AF"/>
    <w:rsid w:val="00DB66E8"/>
    <w:rsid w:val="00DB6701"/>
    <w:rsid w:val="00DB6823"/>
    <w:rsid w:val="00DB6DAA"/>
    <w:rsid w:val="00DC0F3C"/>
    <w:rsid w:val="00DC18DE"/>
    <w:rsid w:val="00DC1AB8"/>
    <w:rsid w:val="00DC270B"/>
    <w:rsid w:val="00DC3A75"/>
    <w:rsid w:val="00DC4BDC"/>
    <w:rsid w:val="00DC5B84"/>
    <w:rsid w:val="00DC5B9B"/>
    <w:rsid w:val="00DC629B"/>
    <w:rsid w:val="00DC6BAF"/>
    <w:rsid w:val="00DC6FD8"/>
    <w:rsid w:val="00DC70FC"/>
    <w:rsid w:val="00DD04A6"/>
    <w:rsid w:val="00DD0A13"/>
    <w:rsid w:val="00DD1810"/>
    <w:rsid w:val="00DD1BE8"/>
    <w:rsid w:val="00DD1C78"/>
    <w:rsid w:val="00DD23C8"/>
    <w:rsid w:val="00DD2C2A"/>
    <w:rsid w:val="00DD2CF6"/>
    <w:rsid w:val="00DD32E6"/>
    <w:rsid w:val="00DD3C8D"/>
    <w:rsid w:val="00DD56EC"/>
    <w:rsid w:val="00DD7B94"/>
    <w:rsid w:val="00DE2D20"/>
    <w:rsid w:val="00DE2DDD"/>
    <w:rsid w:val="00DE3127"/>
    <w:rsid w:val="00DE52F6"/>
    <w:rsid w:val="00DE566B"/>
    <w:rsid w:val="00DE6C34"/>
    <w:rsid w:val="00DE6C3F"/>
    <w:rsid w:val="00DE6D43"/>
    <w:rsid w:val="00DE7674"/>
    <w:rsid w:val="00DF07CB"/>
    <w:rsid w:val="00DF25C2"/>
    <w:rsid w:val="00DF52D4"/>
    <w:rsid w:val="00DF5633"/>
    <w:rsid w:val="00DF5A66"/>
    <w:rsid w:val="00DF7570"/>
    <w:rsid w:val="00E00856"/>
    <w:rsid w:val="00E0128C"/>
    <w:rsid w:val="00E02B1A"/>
    <w:rsid w:val="00E041BB"/>
    <w:rsid w:val="00E0429D"/>
    <w:rsid w:val="00E04343"/>
    <w:rsid w:val="00E05D07"/>
    <w:rsid w:val="00E05ED4"/>
    <w:rsid w:val="00E060F4"/>
    <w:rsid w:val="00E06B56"/>
    <w:rsid w:val="00E07473"/>
    <w:rsid w:val="00E10C4E"/>
    <w:rsid w:val="00E10FC2"/>
    <w:rsid w:val="00E119B6"/>
    <w:rsid w:val="00E12A60"/>
    <w:rsid w:val="00E13293"/>
    <w:rsid w:val="00E13776"/>
    <w:rsid w:val="00E14454"/>
    <w:rsid w:val="00E14B70"/>
    <w:rsid w:val="00E151F0"/>
    <w:rsid w:val="00E16463"/>
    <w:rsid w:val="00E177F5"/>
    <w:rsid w:val="00E20E5B"/>
    <w:rsid w:val="00E21AE8"/>
    <w:rsid w:val="00E222CD"/>
    <w:rsid w:val="00E22407"/>
    <w:rsid w:val="00E24678"/>
    <w:rsid w:val="00E2686C"/>
    <w:rsid w:val="00E27BC4"/>
    <w:rsid w:val="00E27EED"/>
    <w:rsid w:val="00E3051B"/>
    <w:rsid w:val="00E32480"/>
    <w:rsid w:val="00E332C4"/>
    <w:rsid w:val="00E3350E"/>
    <w:rsid w:val="00E33AB5"/>
    <w:rsid w:val="00E34530"/>
    <w:rsid w:val="00E3512E"/>
    <w:rsid w:val="00E359C0"/>
    <w:rsid w:val="00E35D9B"/>
    <w:rsid w:val="00E361FF"/>
    <w:rsid w:val="00E400C8"/>
    <w:rsid w:val="00E406BB"/>
    <w:rsid w:val="00E410E3"/>
    <w:rsid w:val="00E41A9B"/>
    <w:rsid w:val="00E41AFF"/>
    <w:rsid w:val="00E42C83"/>
    <w:rsid w:val="00E43812"/>
    <w:rsid w:val="00E438C7"/>
    <w:rsid w:val="00E43EE9"/>
    <w:rsid w:val="00E443BC"/>
    <w:rsid w:val="00E44B5C"/>
    <w:rsid w:val="00E457E6"/>
    <w:rsid w:val="00E460B2"/>
    <w:rsid w:val="00E461E7"/>
    <w:rsid w:val="00E46EEA"/>
    <w:rsid w:val="00E52BB0"/>
    <w:rsid w:val="00E54742"/>
    <w:rsid w:val="00E553A0"/>
    <w:rsid w:val="00E554E3"/>
    <w:rsid w:val="00E55E81"/>
    <w:rsid w:val="00E566AE"/>
    <w:rsid w:val="00E57070"/>
    <w:rsid w:val="00E573D9"/>
    <w:rsid w:val="00E57F7D"/>
    <w:rsid w:val="00E60817"/>
    <w:rsid w:val="00E6119C"/>
    <w:rsid w:val="00E61D96"/>
    <w:rsid w:val="00E62863"/>
    <w:rsid w:val="00E635FB"/>
    <w:rsid w:val="00E63682"/>
    <w:rsid w:val="00E63774"/>
    <w:rsid w:val="00E63A4E"/>
    <w:rsid w:val="00E63DD0"/>
    <w:rsid w:val="00E64FA5"/>
    <w:rsid w:val="00E6598D"/>
    <w:rsid w:val="00E65B62"/>
    <w:rsid w:val="00E6643A"/>
    <w:rsid w:val="00E664C0"/>
    <w:rsid w:val="00E66CE1"/>
    <w:rsid w:val="00E67665"/>
    <w:rsid w:val="00E67D47"/>
    <w:rsid w:val="00E71710"/>
    <w:rsid w:val="00E71947"/>
    <w:rsid w:val="00E72760"/>
    <w:rsid w:val="00E734C5"/>
    <w:rsid w:val="00E73677"/>
    <w:rsid w:val="00E73E7E"/>
    <w:rsid w:val="00E74F54"/>
    <w:rsid w:val="00E760BC"/>
    <w:rsid w:val="00E778A3"/>
    <w:rsid w:val="00E80185"/>
    <w:rsid w:val="00E80698"/>
    <w:rsid w:val="00E8069C"/>
    <w:rsid w:val="00E80F33"/>
    <w:rsid w:val="00E82E21"/>
    <w:rsid w:val="00E83406"/>
    <w:rsid w:val="00E83CC2"/>
    <w:rsid w:val="00E84EAD"/>
    <w:rsid w:val="00E86D0E"/>
    <w:rsid w:val="00E86FDE"/>
    <w:rsid w:val="00E8753D"/>
    <w:rsid w:val="00E8763B"/>
    <w:rsid w:val="00E8768E"/>
    <w:rsid w:val="00E90AD7"/>
    <w:rsid w:val="00E90B41"/>
    <w:rsid w:val="00E913B7"/>
    <w:rsid w:val="00E91DAD"/>
    <w:rsid w:val="00E92148"/>
    <w:rsid w:val="00E92597"/>
    <w:rsid w:val="00E93146"/>
    <w:rsid w:val="00E93F00"/>
    <w:rsid w:val="00E949B4"/>
    <w:rsid w:val="00E979F3"/>
    <w:rsid w:val="00EA07B1"/>
    <w:rsid w:val="00EA1074"/>
    <w:rsid w:val="00EA2CFD"/>
    <w:rsid w:val="00EA2DF8"/>
    <w:rsid w:val="00EA4130"/>
    <w:rsid w:val="00EA4295"/>
    <w:rsid w:val="00EA5A0F"/>
    <w:rsid w:val="00EA6353"/>
    <w:rsid w:val="00EA765C"/>
    <w:rsid w:val="00EB0576"/>
    <w:rsid w:val="00EB1FD8"/>
    <w:rsid w:val="00EB32CE"/>
    <w:rsid w:val="00EB3462"/>
    <w:rsid w:val="00EB519F"/>
    <w:rsid w:val="00EB5B00"/>
    <w:rsid w:val="00EB5FDF"/>
    <w:rsid w:val="00EB6131"/>
    <w:rsid w:val="00EB6A5B"/>
    <w:rsid w:val="00EB77DE"/>
    <w:rsid w:val="00EB7D4D"/>
    <w:rsid w:val="00EC15A9"/>
    <w:rsid w:val="00EC1E23"/>
    <w:rsid w:val="00EC2F54"/>
    <w:rsid w:val="00EC429A"/>
    <w:rsid w:val="00EC5032"/>
    <w:rsid w:val="00EC6405"/>
    <w:rsid w:val="00EC6BDB"/>
    <w:rsid w:val="00EC7CC3"/>
    <w:rsid w:val="00EC7E12"/>
    <w:rsid w:val="00ED04A7"/>
    <w:rsid w:val="00ED2004"/>
    <w:rsid w:val="00ED32E0"/>
    <w:rsid w:val="00ED3745"/>
    <w:rsid w:val="00ED4275"/>
    <w:rsid w:val="00ED511D"/>
    <w:rsid w:val="00ED53FF"/>
    <w:rsid w:val="00ED73F6"/>
    <w:rsid w:val="00ED7CF0"/>
    <w:rsid w:val="00ED7FA2"/>
    <w:rsid w:val="00EE01CB"/>
    <w:rsid w:val="00EE16AD"/>
    <w:rsid w:val="00EE25CB"/>
    <w:rsid w:val="00EE26DE"/>
    <w:rsid w:val="00EE2BE1"/>
    <w:rsid w:val="00EE4489"/>
    <w:rsid w:val="00EE497F"/>
    <w:rsid w:val="00EE4C06"/>
    <w:rsid w:val="00EE51AD"/>
    <w:rsid w:val="00EE5A05"/>
    <w:rsid w:val="00EE650F"/>
    <w:rsid w:val="00EE67DD"/>
    <w:rsid w:val="00EE69CD"/>
    <w:rsid w:val="00EE75F1"/>
    <w:rsid w:val="00EE7A63"/>
    <w:rsid w:val="00EF0CB8"/>
    <w:rsid w:val="00EF174F"/>
    <w:rsid w:val="00EF2D57"/>
    <w:rsid w:val="00EF34AF"/>
    <w:rsid w:val="00EF428A"/>
    <w:rsid w:val="00EF4719"/>
    <w:rsid w:val="00EF4E68"/>
    <w:rsid w:val="00EF5320"/>
    <w:rsid w:val="00EF55FB"/>
    <w:rsid w:val="00EF5673"/>
    <w:rsid w:val="00EF6534"/>
    <w:rsid w:val="00EF67DA"/>
    <w:rsid w:val="00EF7461"/>
    <w:rsid w:val="00F01255"/>
    <w:rsid w:val="00F02709"/>
    <w:rsid w:val="00F02B58"/>
    <w:rsid w:val="00F036D3"/>
    <w:rsid w:val="00F037CD"/>
    <w:rsid w:val="00F03970"/>
    <w:rsid w:val="00F04187"/>
    <w:rsid w:val="00F049DE"/>
    <w:rsid w:val="00F0690C"/>
    <w:rsid w:val="00F06F79"/>
    <w:rsid w:val="00F0748D"/>
    <w:rsid w:val="00F078E9"/>
    <w:rsid w:val="00F07FAC"/>
    <w:rsid w:val="00F10018"/>
    <w:rsid w:val="00F100E7"/>
    <w:rsid w:val="00F10D7F"/>
    <w:rsid w:val="00F11371"/>
    <w:rsid w:val="00F12B1E"/>
    <w:rsid w:val="00F12F6B"/>
    <w:rsid w:val="00F130BC"/>
    <w:rsid w:val="00F14D79"/>
    <w:rsid w:val="00F15D73"/>
    <w:rsid w:val="00F177D7"/>
    <w:rsid w:val="00F21165"/>
    <w:rsid w:val="00F220BA"/>
    <w:rsid w:val="00F22AE0"/>
    <w:rsid w:val="00F24395"/>
    <w:rsid w:val="00F24B92"/>
    <w:rsid w:val="00F24C0D"/>
    <w:rsid w:val="00F24D81"/>
    <w:rsid w:val="00F258BA"/>
    <w:rsid w:val="00F2602B"/>
    <w:rsid w:val="00F32997"/>
    <w:rsid w:val="00F32AB2"/>
    <w:rsid w:val="00F336E5"/>
    <w:rsid w:val="00F33765"/>
    <w:rsid w:val="00F3380E"/>
    <w:rsid w:val="00F3406A"/>
    <w:rsid w:val="00F35B67"/>
    <w:rsid w:val="00F35CD7"/>
    <w:rsid w:val="00F363D0"/>
    <w:rsid w:val="00F40782"/>
    <w:rsid w:val="00F41788"/>
    <w:rsid w:val="00F41C82"/>
    <w:rsid w:val="00F4212D"/>
    <w:rsid w:val="00F443D5"/>
    <w:rsid w:val="00F44401"/>
    <w:rsid w:val="00F45196"/>
    <w:rsid w:val="00F47479"/>
    <w:rsid w:val="00F50674"/>
    <w:rsid w:val="00F524F5"/>
    <w:rsid w:val="00F531F5"/>
    <w:rsid w:val="00F53328"/>
    <w:rsid w:val="00F54C07"/>
    <w:rsid w:val="00F54DE6"/>
    <w:rsid w:val="00F5690F"/>
    <w:rsid w:val="00F56B02"/>
    <w:rsid w:val="00F57FDB"/>
    <w:rsid w:val="00F61381"/>
    <w:rsid w:val="00F639E0"/>
    <w:rsid w:val="00F63D33"/>
    <w:rsid w:val="00F6450B"/>
    <w:rsid w:val="00F64B5E"/>
    <w:rsid w:val="00F656A5"/>
    <w:rsid w:val="00F66122"/>
    <w:rsid w:val="00F67EEB"/>
    <w:rsid w:val="00F67F3F"/>
    <w:rsid w:val="00F70011"/>
    <w:rsid w:val="00F71359"/>
    <w:rsid w:val="00F717DC"/>
    <w:rsid w:val="00F71F6A"/>
    <w:rsid w:val="00F72226"/>
    <w:rsid w:val="00F72402"/>
    <w:rsid w:val="00F72B7C"/>
    <w:rsid w:val="00F757EB"/>
    <w:rsid w:val="00F75A4C"/>
    <w:rsid w:val="00F7652F"/>
    <w:rsid w:val="00F76822"/>
    <w:rsid w:val="00F76F16"/>
    <w:rsid w:val="00F77592"/>
    <w:rsid w:val="00F776A1"/>
    <w:rsid w:val="00F80E9A"/>
    <w:rsid w:val="00F81B9F"/>
    <w:rsid w:val="00F81BD7"/>
    <w:rsid w:val="00F81D20"/>
    <w:rsid w:val="00F8268A"/>
    <w:rsid w:val="00F829DE"/>
    <w:rsid w:val="00F83169"/>
    <w:rsid w:val="00F839EE"/>
    <w:rsid w:val="00F84775"/>
    <w:rsid w:val="00F8497E"/>
    <w:rsid w:val="00F86A20"/>
    <w:rsid w:val="00F90D30"/>
    <w:rsid w:val="00F91BED"/>
    <w:rsid w:val="00F929A4"/>
    <w:rsid w:val="00F93A28"/>
    <w:rsid w:val="00F94EF3"/>
    <w:rsid w:val="00F950D2"/>
    <w:rsid w:val="00F95583"/>
    <w:rsid w:val="00F978C1"/>
    <w:rsid w:val="00F97D78"/>
    <w:rsid w:val="00F97F8C"/>
    <w:rsid w:val="00FA00BC"/>
    <w:rsid w:val="00FA0456"/>
    <w:rsid w:val="00FA066B"/>
    <w:rsid w:val="00FA1971"/>
    <w:rsid w:val="00FA1E1E"/>
    <w:rsid w:val="00FA2317"/>
    <w:rsid w:val="00FA2D21"/>
    <w:rsid w:val="00FA444E"/>
    <w:rsid w:val="00FA486B"/>
    <w:rsid w:val="00FA4ABB"/>
    <w:rsid w:val="00FA7599"/>
    <w:rsid w:val="00FB0084"/>
    <w:rsid w:val="00FB1213"/>
    <w:rsid w:val="00FB1D36"/>
    <w:rsid w:val="00FB2511"/>
    <w:rsid w:val="00FB4226"/>
    <w:rsid w:val="00FB44BF"/>
    <w:rsid w:val="00FB4E95"/>
    <w:rsid w:val="00FB5235"/>
    <w:rsid w:val="00FB5861"/>
    <w:rsid w:val="00FB5A85"/>
    <w:rsid w:val="00FB5E9B"/>
    <w:rsid w:val="00FB6AF6"/>
    <w:rsid w:val="00FB6C21"/>
    <w:rsid w:val="00FB71CB"/>
    <w:rsid w:val="00FB72D6"/>
    <w:rsid w:val="00FC1546"/>
    <w:rsid w:val="00FC196F"/>
    <w:rsid w:val="00FC1AA4"/>
    <w:rsid w:val="00FC44AC"/>
    <w:rsid w:val="00FC60A8"/>
    <w:rsid w:val="00FC735B"/>
    <w:rsid w:val="00FD0C64"/>
    <w:rsid w:val="00FD0D94"/>
    <w:rsid w:val="00FD1A8A"/>
    <w:rsid w:val="00FD2018"/>
    <w:rsid w:val="00FD2585"/>
    <w:rsid w:val="00FD25CD"/>
    <w:rsid w:val="00FD3C84"/>
    <w:rsid w:val="00FD3CD5"/>
    <w:rsid w:val="00FD4705"/>
    <w:rsid w:val="00FD4933"/>
    <w:rsid w:val="00FD50A8"/>
    <w:rsid w:val="00FD50C9"/>
    <w:rsid w:val="00FD5500"/>
    <w:rsid w:val="00FD5A7B"/>
    <w:rsid w:val="00FD5AE6"/>
    <w:rsid w:val="00FD66B4"/>
    <w:rsid w:val="00FD69A8"/>
    <w:rsid w:val="00FD69BB"/>
    <w:rsid w:val="00FD6E84"/>
    <w:rsid w:val="00FD72E2"/>
    <w:rsid w:val="00FE0D5B"/>
    <w:rsid w:val="00FE1B34"/>
    <w:rsid w:val="00FE28A7"/>
    <w:rsid w:val="00FE2949"/>
    <w:rsid w:val="00FE3C64"/>
    <w:rsid w:val="00FE3F1F"/>
    <w:rsid w:val="00FE52C3"/>
    <w:rsid w:val="00FE5C01"/>
    <w:rsid w:val="00FF05B2"/>
    <w:rsid w:val="00FF0BDE"/>
    <w:rsid w:val="00FF0D09"/>
    <w:rsid w:val="00FF11AE"/>
    <w:rsid w:val="00FF120F"/>
    <w:rsid w:val="00FF1F76"/>
    <w:rsid w:val="00FF220A"/>
    <w:rsid w:val="00FF3F05"/>
    <w:rsid w:val="00FF4407"/>
    <w:rsid w:val="00FF44CB"/>
    <w:rsid w:val="00FF5248"/>
    <w:rsid w:val="00FF7482"/>
    <w:rsid w:val="6549E25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F66D6D"/>
  <w15:docId w15:val="{39E45E5E-EE59-4ED0-B55B-65F9D957A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9447A"/>
    <w:rPr>
      <w:rFonts w:ascii="Times New Roman" w:eastAsia="Times New Roman" w:hAnsi="Times New Roman" w:cs="Times New Roman"/>
      <w:lang w:val="en-AU" w:bidi="en-US"/>
    </w:rPr>
  </w:style>
  <w:style w:type="paragraph" w:styleId="Heading1">
    <w:name w:val="heading 1"/>
    <w:basedOn w:val="Normal"/>
    <w:next w:val="Normal"/>
    <w:link w:val="Heading1Char"/>
    <w:uiPriority w:val="9"/>
    <w:qFormat/>
    <w:rsid w:val="0000648A"/>
    <w:pPr>
      <w:outlineLvl w:val="0"/>
    </w:pPr>
    <w:rPr>
      <w:rFonts w:ascii="Arial Nova Cond" w:hAnsi="Arial Nova Cond"/>
      <w:b/>
      <w:caps/>
      <w:color w:val="A82700"/>
      <w:sz w:val="32"/>
      <w:szCs w:val="32"/>
    </w:rPr>
  </w:style>
  <w:style w:type="paragraph" w:styleId="Heading2">
    <w:name w:val="heading 2"/>
    <w:basedOn w:val="Heading1"/>
    <w:next w:val="Normal"/>
    <w:link w:val="Heading2Char"/>
    <w:uiPriority w:val="9"/>
    <w:unhideWhenUsed/>
    <w:qFormat/>
    <w:rsid w:val="00143733"/>
    <w:pPr>
      <w:outlineLvl w:val="1"/>
    </w:pPr>
    <w:rPr>
      <w:b w:val="0"/>
      <w:szCs w:val="24"/>
    </w:rPr>
  </w:style>
  <w:style w:type="paragraph" w:styleId="Heading3">
    <w:name w:val="heading 3"/>
    <w:basedOn w:val="Normal"/>
    <w:next w:val="Normal"/>
    <w:link w:val="Heading3Char"/>
    <w:uiPriority w:val="9"/>
    <w:unhideWhenUsed/>
    <w:qFormat/>
    <w:rsid w:val="0000648A"/>
    <w:pPr>
      <w:keepNext/>
      <w:keepLines/>
      <w:spacing w:before="240" w:after="120"/>
      <w:outlineLvl w:val="2"/>
    </w:pPr>
    <w:rPr>
      <w:rFonts w:ascii="Arial Nova Cond" w:eastAsiaTheme="majorEastAsia" w:hAnsi="Arial Nova Cond" w:cstheme="majorBidi"/>
      <w:b/>
      <w:bCs/>
      <w:caps/>
      <w:color w:val="A82700"/>
      <w:sz w:val="21"/>
      <w:szCs w:val="21"/>
    </w:rPr>
  </w:style>
  <w:style w:type="paragraph" w:styleId="Heading4">
    <w:name w:val="heading 4"/>
    <w:basedOn w:val="Normal"/>
    <w:next w:val="Normal"/>
    <w:link w:val="Heading4Char"/>
    <w:uiPriority w:val="9"/>
    <w:unhideWhenUsed/>
    <w:qFormat/>
    <w:rsid w:val="00E93F00"/>
    <w:pPr>
      <w:keepNext/>
      <w:keepLines/>
      <w:spacing w:before="80" w:after="80"/>
      <w:outlineLvl w:val="3"/>
    </w:pPr>
    <w:rPr>
      <w:rFonts w:eastAsiaTheme="majorEastAsia"/>
      <w:b/>
      <w:i/>
      <w:iCs/>
      <w:color w:val="A82700"/>
    </w:rPr>
  </w:style>
  <w:style w:type="paragraph" w:styleId="Heading5">
    <w:name w:val="heading 5"/>
    <w:basedOn w:val="Normal"/>
    <w:next w:val="Normal"/>
    <w:link w:val="Heading5Char"/>
    <w:uiPriority w:val="9"/>
    <w:unhideWhenUsed/>
    <w:qFormat/>
    <w:rsid w:val="00E177F5"/>
    <w:pPr>
      <w:keepNext/>
      <w:keepLines/>
      <w:spacing w:before="40"/>
      <w:outlineLvl w:val="4"/>
    </w:pPr>
    <w:rPr>
      <w:rFonts w:asciiTheme="minorHAnsi" w:eastAsiaTheme="majorEastAsia" w:hAnsiTheme="minorHAnsi" w:cstheme="majorBidi"/>
      <w:u w:val="single"/>
    </w:rPr>
  </w:style>
  <w:style w:type="paragraph" w:styleId="Heading6">
    <w:name w:val="heading 6"/>
    <w:basedOn w:val="Normal"/>
    <w:next w:val="Normal"/>
    <w:link w:val="Heading6Char"/>
    <w:uiPriority w:val="9"/>
    <w:semiHidden/>
    <w:unhideWhenUsed/>
    <w:qFormat/>
    <w:rsid w:val="00A9447A"/>
    <w:pPr>
      <w:keepNext/>
      <w:keepLines/>
      <w:spacing w:before="40"/>
      <w:outlineLvl w:val="5"/>
    </w:pPr>
    <w:rPr>
      <w:rFonts w:asciiTheme="majorHAnsi" w:eastAsiaTheme="majorEastAsia" w:hAnsiTheme="majorHAnsi" w:cstheme="majorBidi"/>
      <w:color w:val="9E220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9447A"/>
    <w:pPr>
      <w:spacing w:before="115" w:line="249" w:lineRule="auto"/>
      <w:ind w:left="20" w:right="59"/>
    </w:pPr>
    <w:rPr>
      <w:color w:val="414042"/>
      <w:sz w:val="21"/>
      <w:szCs w:val="21"/>
    </w:rPr>
  </w:style>
  <w:style w:type="paragraph" w:styleId="ListParagraph">
    <w:name w:val="List Paragraph"/>
    <w:aliases w:val="List Paragraph IS,lp,Bullets Level 1,Bullets,List Paragraph1,List Paragraph11,Capire List Paragraph,Bullet point,L,Recommendation,DDM Gen Text,List Paragraph - bullets,NFP GP Bulleted List,bullet point list,Bullet points,Bullet Point,Main"/>
    <w:basedOn w:val="Normal"/>
    <w:link w:val="ListParagraphChar"/>
    <w:uiPriority w:val="34"/>
    <w:qFormat/>
    <w:rsid w:val="00A9447A"/>
  </w:style>
  <w:style w:type="paragraph" w:customStyle="1" w:styleId="TableParagraph">
    <w:name w:val="Table Paragraph"/>
    <w:basedOn w:val="Normal"/>
    <w:uiPriority w:val="1"/>
    <w:qFormat/>
    <w:rsid w:val="00A9447A"/>
  </w:style>
  <w:style w:type="paragraph" w:styleId="Header">
    <w:name w:val="header"/>
    <w:basedOn w:val="Normal"/>
    <w:link w:val="HeaderChar"/>
    <w:uiPriority w:val="99"/>
    <w:unhideWhenUsed/>
    <w:rsid w:val="00A9447A"/>
    <w:pPr>
      <w:tabs>
        <w:tab w:val="center" w:pos="4680"/>
        <w:tab w:val="right" w:pos="9360"/>
      </w:tabs>
    </w:pPr>
  </w:style>
  <w:style w:type="character" w:customStyle="1" w:styleId="HeaderChar">
    <w:name w:val="Header Char"/>
    <w:basedOn w:val="DefaultParagraphFont"/>
    <w:link w:val="Header"/>
    <w:uiPriority w:val="99"/>
    <w:rsid w:val="00A9447A"/>
    <w:rPr>
      <w:rFonts w:ascii="Times New Roman" w:eastAsia="Times New Roman" w:hAnsi="Times New Roman" w:cs="Times New Roman"/>
      <w:lang w:val="en-AU" w:bidi="en-US"/>
    </w:rPr>
  </w:style>
  <w:style w:type="paragraph" w:styleId="Footer">
    <w:name w:val="footer"/>
    <w:basedOn w:val="Normal"/>
    <w:link w:val="FooterChar"/>
    <w:uiPriority w:val="99"/>
    <w:unhideWhenUsed/>
    <w:rsid w:val="00A9447A"/>
    <w:pPr>
      <w:tabs>
        <w:tab w:val="center" w:pos="4680"/>
        <w:tab w:val="right" w:pos="9360"/>
      </w:tabs>
    </w:pPr>
  </w:style>
  <w:style w:type="character" w:customStyle="1" w:styleId="FooterChar">
    <w:name w:val="Footer Char"/>
    <w:basedOn w:val="DefaultParagraphFont"/>
    <w:link w:val="Footer"/>
    <w:uiPriority w:val="99"/>
    <w:rsid w:val="00A9447A"/>
    <w:rPr>
      <w:rFonts w:ascii="Times New Roman" w:eastAsia="Times New Roman" w:hAnsi="Times New Roman" w:cs="Times New Roman"/>
      <w:lang w:val="en-AU" w:bidi="en-US"/>
    </w:rPr>
  </w:style>
  <w:style w:type="character" w:styleId="PageNumber">
    <w:name w:val="page number"/>
    <w:basedOn w:val="DefaultParagraphFont"/>
    <w:uiPriority w:val="99"/>
    <w:semiHidden/>
    <w:unhideWhenUsed/>
    <w:rsid w:val="00A9447A"/>
  </w:style>
  <w:style w:type="paragraph" w:styleId="BalloonText">
    <w:name w:val="Balloon Text"/>
    <w:basedOn w:val="Normal"/>
    <w:link w:val="BalloonTextChar"/>
    <w:uiPriority w:val="99"/>
    <w:semiHidden/>
    <w:unhideWhenUsed/>
    <w:rsid w:val="00A9447A"/>
    <w:rPr>
      <w:sz w:val="18"/>
      <w:szCs w:val="18"/>
    </w:rPr>
  </w:style>
  <w:style w:type="character" w:customStyle="1" w:styleId="BalloonTextChar">
    <w:name w:val="Balloon Text Char"/>
    <w:basedOn w:val="DefaultParagraphFont"/>
    <w:link w:val="BalloonText"/>
    <w:uiPriority w:val="99"/>
    <w:semiHidden/>
    <w:rsid w:val="00A9447A"/>
    <w:rPr>
      <w:rFonts w:ascii="Times New Roman" w:eastAsia="Times New Roman" w:hAnsi="Times New Roman" w:cs="Times New Roman"/>
      <w:sz w:val="18"/>
      <w:szCs w:val="18"/>
      <w:lang w:val="en-AU" w:bidi="en-US"/>
    </w:rPr>
  </w:style>
  <w:style w:type="paragraph" w:styleId="NoSpacing">
    <w:name w:val="No Spacing"/>
    <w:link w:val="NoSpacingChar"/>
    <w:uiPriority w:val="1"/>
    <w:rsid w:val="00A9447A"/>
    <w:pPr>
      <w:widowControl/>
      <w:autoSpaceDE/>
      <w:autoSpaceDN/>
    </w:pPr>
    <w:rPr>
      <w:rFonts w:eastAsiaTheme="minorEastAsia"/>
      <w:lang w:eastAsia="zh-CN"/>
    </w:rPr>
  </w:style>
  <w:style w:type="character" w:customStyle="1" w:styleId="NoSpacingChar">
    <w:name w:val="No Spacing Char"/>
    <w:basedOn w:val="DefaultParagraphFont"/>
    <w:link w:val="NoSpacing"/>
    <w:uiPriority w:val="1"/>
    <w:rsid w:val="00A9447A"/>
    <w:rPr>
      <w:rFonts w:eastAsiaTheme="minorEastAsia"/>
      <w:lang w:eastAsia="zh-CN"/>
    </w:rPr>
  </w:style>
  <w:style w:type="character" w:customStyle="1" w:styleId="Heading1Char">
    <w:name w:val="Heading 1 Char"/>
    <w:basedOn w:val="DefaultParagraphFont"/>
    <w:link w:val="Heading1"/>
    <w:uiPriority w:val="9"/>
    <w:rsid w:val="0000648A"/>
    <w:rPr>
      <w:rFonts w:ascii="Arial Nova Cond" w:eastAsia="Times New Roman" w:hAnsi="Arial Nova Cond" w:cs="Times New Roman"/>
      <w:b/>
      <w:caps/>
      <w:color w:val="A82700"/>
      <w:sz w:val="32"/>
      <w:szCs w:val="32"/>
      <w:lang w:val="en-AU" w:bidi="en-US"/>
    </w:rPr>
  </w:style>
  <w:style w:type="character" w:customStyle="1" w:styleId="Heading2Char">
    <w:name w:val="Heading 2 Char"/>
    <w:basedOn w:val="DefaultParagraphFont"/>
    <w:link w:val="Heading2"/>
    <w:uiPriority w:val="9"/>
    <w:rsid w:val="00143733"/>
    <w:rPr>
      <w:rFonts w:ascii="Arial Nova Cond" w:eastAsia="Times New Roman" w:hAnsi="Arial Nova Cond" w:cs="Times New Roman"/>
      <w:caps/>
      <w:color w:val="F47953"/>
      <w:sz w:val="32"/>
      <w:szCs w:val="24"/>
      <w:lang w:val="en-AU" w:bidi="en-US"/>
    </w:rPr>
  </w:style>
  <w:style w:type="character" w:styleId="Hyperlink">
    <w:name w:val="Hyperlink"/>
    <w:basedOn w:val="DefaultParagraphFont"/>
    <w:uiPriority w:val="99"/>
    <w:unhideWhenUsed/>
    <w:rsid w:val="00A9447A"/>
    <w:rPr>
      <w:color w:val="25408F" w:themeColor="hyperlink"/>
      <w:u w:val="single"/>
    </w:rPr>
  </w:style>
  <w:style w:type="character" w:styleId="UnresolvedMention">
    <w:name w:val="Unresolved Mention"/>
    <w:basedOn w:val="DefaultParagraphFont"/>
    <w:uiPriority w:val="99"/>
    <w:unhideWhenUsed/>
    <w:rsid w:val="00A9447A"/>
    <w:rPr>
      <w:color w:val="605E5C"/>
      <w:shd w:val="clear" w:color="auto" w:fill="E1DFDD"/>
    </w:rPr>
  </w:style>
  <w:style w:type="paragraph" w:customStyle="1" w:styleId="BodyText1">
    <w:name w:val="Body Text1"/>
    <w:link w:val="BodytextChar0"/>
    <w:rsid w:val="00A9447A"/>
    <w:pPr>
      <w:widowControl/>
      <w:tabs>
        <w:tab w:val="left" w:pos="284"/>
        <w:tab w:val="left" w:pos="567"/>
        <w:tab w:val="left" w:pos="851"/>
      </w:tabs>
      <w:suppressAutoHyphens/>
      <w:autoSpaceDE/>
      <w:autoSpaceDN/>
      <w:spacing w:after="120"/>
    </w:pPr>
    <w:rPr>
      <w:rFonts w:ascii="Source Sans Pro" w:eastAsiaTheme="minorEastAsia" w:hAnsi="Source Sans Pro"/>
      <w:color w:val="414042" w:themeColor="text1"/>
      <w:sz w:val="20"/>
      <w:lang w:val="en-AU" w:eastAsia="en-AU"/>
    </w:rPr>
  </w:style>
  <w:style w:type="paragraph" w:customStyle="1" w:styleId="ReferenceAHURI">
    <w:name w:val="Reference (AHURI)"/>
    <w:basedOn w:val="BodyText1"/>
    <w:uiPriority w:val="5"/>
    <w:rsid w:val="00A9447A"/>
    <w:pPr>
      <w:spacing w:after="180"/>
      <w:ind w:left="425" w:hanging="425"/>
    </w:pPr>
  </w:style>
  <w:style w:type="paragraph" w:styleId="TOC1">
    <w:name w:val="toc 1"/>
    <w:basedOn w:val="Normal"/>
    <w:next w:val="Normal"/>
    <w:autoRedefine/>
    <w:uiPriority w:val="39"/>
    <w:unhideWhenUsed/>
    <w:qFormat/>
    <w:rsid w:val="00A9447A"/>
    <w:pPr>
      <w:widowControl/>
      <w:tabs>
        <w:tab w:val="right" w:leader="dot" w:pos="9016"/>
      </w:tabs>
      <w:autoSpaceDE/>
      <w:autoSpaceDN/>
      <w:spacing w:after="100" w:line="259" w:lineRule="auto"/>
    </w:pPr>
    <w:rPr>
      <w:rFonts w:eastAsiaTheme="minorHAnsi"/>
      <w:b/>
      <w:bCs/>
      <w:noProof/>
      <w:color w:val="414042" w:themeColor="text1"/>
      <w:sz w:val="21"/>
      <w:szCs w:val="21"/>
    </w:rPr>
  </w:style>
  <w:style w:type="character" w:customStyle="1" w:styleId="ListParagraphChar">
    <w:name w:val="List Paragraph Char"/>
    <w:aliases w:val="List Paragraph IS Char,lp Char,Bullets Level 1 Char,Bullets Char,List Paragraph1 Char,List Paragraph11 Char,Capire List Paragraph Char,Bullet point Char,L Char,Recommendation Char,DDM Gen Text Char,List Paragraph - bullets Char"/>
    <w:link w:val="ListParagraph"/>
    <w:uiPriority w:val="34"/>
    <w:qFormat/>
    <w:locked/>
    <w:rsid w:val="00A9447A"/>
    <w:rPr>
      <w:rFonts w:ascii="Times New Roman" w:eastAsia="Times New Roman" w:hAnsi="Times New Roman" w:cs="Times New Roman"/>
      <w:lang w:val="en-AU" w:bidi="en-US"/>
    </w:rPr>
  </w:style>
  <w:style w:type="table" w:customStyle="1" w:styleId="Style3">
    <w:name w:val="Style3"/>
    <w:basedOn w:val="TableNormal"/>
    <w:uiPriority w:val="99"/>
    <w:rsid w:val="00A9447A"/>
    <w:pPr>
      <w:widowControl/>
      <w:autoSpaceDE/>
      <w:autoSpaceDN/>
    </w:pPr>
    <w:rPr>
      <w:rFonts w:ascii="Calibri Light" w:eastAsia="Times New Roman" w:hAnsi="Calibri Light" w:cs="Times New Roman"/>
      <w:sz w:val="20"/>
      <w:szCs w:val="20"/>
      <w:lang w:val="en-AU" w:eastAsia="en-AU"/>
    </w:rPr>
    <w:tblPr>
      <w:tblBorders>
        <w:insideH w:val="single" w:sz="8" w:space="0" w:color="F2F2F2" w:themeColor="background1" w:themeShade="F2"/>
        <w:insideV w:val="single" w:sz="8" w:space="0" w:color="F2F2F2" w:themeColor="background1" w:themeShade="F2"/>
      </w:tblBorders>
    </w:tblPr>
  </w:style>
  <w:style w:type="character" w:customStyle="1" w:styleId="BodytextChar0">
    <w:name w:val="Body text Char"/>
    <w:basedOn w:val="DefaultParagraphFont"/>
    <w:link w:val="BodyText1"/>
    <w:rsid w:val="00A9447A"/>
    <w:rPr>
      <w:rFonts w:ascii="Source Sans Pro" w:eastAsiaTheme="minorEastAsia" w:hAnsi="Source Sans Pro"/>
      <w:color w:val="414042" w:themeColor="text1"/>
      <w:sz w:val="20"/>
      <w:lang w:val="en-AU" w:eastAsia="en-AU"/>
    </w:rPr>
  </w:style>
  <w:style w:type="paragraph" w:customStyle="1" w:styleId="Tabletext">
    <w:name w:val="Table text"/>
    <w:basedOn w:val="BodyText1"/>
    <w:link w:val="TabletextChar"/>
    <w:qFormat/>
    <w:rsid w:val="00AA0000"/>
    <w:pPr>
      <w:spacing w:before="40" w:after="40"/>
    </w:pPr>
    <w:rPr>
      <w:rFonts w:asciiTheme="minorHAnsi" w:hAnsiTheme="minorHAnsi" w:cs="Times New Roman"/>
      <w:szCs w:val="20"/>
      <w:lang w:val="en-GB"/>
    </w:rPr>
  </w:style>
  <w:style w:type="character" w:customStyle="1" w:styleId="TabletextChar">
    <w:name w:val="Table text Char"/>
    <w:basedOn w:val="BodytextChar0"/>
    <w:link w:val="Tabletext"/>
    <w:rsid w:val="00AA0000"/>
    <w:rPr>
      <w:rFonts w:ascii="Source Sans Pro" w:eastAsiaTheme="minorEastAsia" w:hAnsi="Source Sans Pro" w:cs="Times New Roman"/>
      <w:color w:val="414042" w:themeColor="text1"/>
      <w:sz w:val="20"/>
      <w:szCs w:val="20"/>
      <w:lang w:val="en-GB" w:eastAsia="en-AU"/>
    </w:rPr>
  </w:style>
  <w:style w:type="paragraph" w:customStyle="1" w:styleId="Tableheader">
    <w:name w:val="Table header"/>
    <w:basedOn w:val="Tabletext"/>
    <w:link w:val="TableheaderChar"/>
    <w:qFormat/>
    <w:rsid w:val="00A9447A"/>
    <w:rPr>
      <w:rFonts w:ascii="Arial Nova Cond" w:hAnsi="Arial Nova Cond"/>
      <w:bCs/>
      <w:color w:val="FFFFFF" w:themeColor="background1"/>
    </w:rPr>
  </w:style>
  <w:style w:type="character" w:customStyle="1" w:styleId="TableheaderChar">
    <w:name w:val="Table header Char"/>
    <w:basedOn w:val="TabletextChar"/>
    <w:link w:val="Tableheader"/>
    <w:rsid w:val="00A9447A"/>
    <w:rPr>
      <w:rFonts w:ascii="Arial Nova Cond" w:eastAsiaTheme="minorEastAsia" w:hAnsi="Arial Nova Cond" w:cs="Times New Roman"/>
      <w:bCs/>
      <w:color w:val="FFFFFF" w:themeColor="background1"/>
      <w:sz w:val="20"/>
      <w:szCs w:val="20"/>
      <w:lang w:val="en-GB" w:eastAsia="en-AU"/>
    </w:rPr>
  </w:style>
  <w:style w:type="character" w:customStyle="1" w:styleId="BioheadingsChar">
    <w:name w:val="Bio headings Char"/>
    <w:basedOn w:val="DefaultParagraphFont"/>
    <w:link w:val="Bioheadings"/>
    <w:locked/>
    <w:rsid w:val="00A9447A"/>
    <w:rPr>
      <w:rFonts w:ascii="Arial Nova Cond" w:eastAsia="Times New Roman" w:hAnsi="Arial Nova Cond" w:cstheme="majorHAnsi"/>
      <w:caps/>
      <w:noProof/>
      <w:color w:val="222222"/>
      <w:sz w:val="24"/>
      <w:szCs w:val="24"/>
      <w:lang w:eastAsia="en-AU"/>
    </w:rPr>
  </w:style>
  <w:style w:type="paragraph" w:customStyle="1" w:styleId="Bioheadings">
    <w:name w:val="Bio headings"/>
    <w:basedOn w:val="Heading6"/>
    <w:next w:val="Heading6"/>
    <w:link w:val="BioheadingsChar"/>
    <w:autoRedefine/>
    <w:rsid w:val="00A9447A"/>
    <w:pPr>
      <w:widowControl/>
      <w:autoSpaceDE/>
      <w:autoSpaceDN/>
      <w:spacing w:before="120" w:after="60" w:line="288" w:lineRule="atLeast"/>
    </w:pPr>
    <w:rPr>
      <w:rFonts w:ascii="Arial Nova Cond" w:eastAsia="Times New Roman" w:hAnsi="Arial Nova Cond" w:cstheme="majorHAnsi"/>
      <w:caps/>
      <w:noProof/>
      <w:color w:val="222222"/>
      <w:sz w:val="24"/>
      <w:szCs w:val="24"/>
      <w:lang w:val="en-US" w:eastAsia="en-AU" w:bidi="ar-SA"/>
    </w:rPr>
  </w:style>
  <w:style w:type="paragraph" w:customStyle="1" w:styleId="Default">
    <w:name w:val="Default"/>
    <w:rsid w:val="00A9447A"/>
    <w:pPr>
      <w:widowControl/>
      <w:adjustRightInd w:val="0"/>
    </w:pPr>
    <w:rPr>
      <w:rFonts w:ascii="Calibri" w:hAnsi="Calibri" w:cs="Calibri"/>
      <w:color w:val="000000"/>
      <w:sz w:val="24"/>
      <w:szCs w:val="24"/>
      <w:lang w:val="en-AU"/>
    </w:rPr>
  </w:style>
  <w:style w:type="table" w:styleId="ListTable1Light-Accent1">
    <w:name w:val="List Table 1 Light Accent 1"/>
    <w:basedOn w:val="TableNormal"/>
    <w:uiPriority w:val="46"/>
    <w:rsid w:val="00A9447A"/>
    <w:pPr>
      <w:widowControl/>
      <w:autoSpaceDE/>
      <w:autoSpaceDN/>
    </w:pPr>
    <w:rPr>
      <w:lang w:val="sv-SE"/>
    </w:rPr>
    <w:tblPr>
      <w:tblStyleRowBandSize w:val="1"/>
      <w:tblStyleColBandSize w:val="1"/>
    </w:tblPr>
    <w:tblStylePr w:type="firstRow">
      <w:rPr>
        <w:b/>
        <w:bCs/>
      </w:rPr>
      <w:tblPr/>
      <w:tcPr>
        <w:tcBorders>
          <w:bottom w:val="single" w:sz="4" w:space="0" w:color="FFA58C" w:themeColor="accent1" w:themeTint="99"/>
        </w:tcBorders>
      </w:tcPr>
    </w:tblStylePr>
    <w:tblStylePr w:type="lastRow">
      <w:rPr>
        <w:b/>
        <w:bCs/>
      </w:rPr>
      <w:tblPr/>
      <w:tcPr>
        <w:tcBorders>
          <w:top w:val="single" w:sz="4" w:space="0" w:color="FFA58C" w:themeColor="accent1" w:themeTint="99"/>
        </w:tcBorders>
      </w:tcPr>
    </w:tblStylePr>
    <w:tblStylePr w:type="firstCol">
      <w:rPr>
        <w:b/>
        <w:bCs/>
      </w:rPr>
    </w:tblStylePr>
    <w:tblStylePr w:type="lastCol">
      <w:rPr>
        <w:b/>
        <w:bCs/>
      </w:rPr>
    </w:tblStylePr>
    <w:tblStylePr w:type="band1Vert">
      <w:tblPr/>
      <w:tcPr>
        <w:shd w:val="clear" w:color="auto" w:fill="FFE1D8" w:themeFill="accent1" w:themeFillTint="33"/>
      </w:tcPr>
    </w:tblStylePr>
    <w:tblStylePr w:type="band1Horz">
      <w:tblPr/>
      <w:tcPr>
        <w:shd w:val="clear" w:color="auto" w:fill="FFE1D8" w:themeFill="accent1" w:themeFillTint="33"/>
      </w:tcPr>
    </w:tblStylePr>
  </w:style>
  <w:style w:type="character" w:customStyle="1" w:styleId="Heading6Char">
    <w:name w:val="Heading 6 Char"/>
    <w:basedOn w:val="DefaultParagraphFont"/>
    <w:link w:val="Heading6"/>
    <w:uiPriority w:val="9"/>
    <w:semiHidden/>
    <w:rsid w:val="00A9447A"/>
    <w:rPr>
      <w:rFonts w:asciiTheme="majorHAnsi" w:eastAsiaTheme="majorEastAsia" w:hAnsiTheme="majorHAnsi" w:cstheme="majorBidi"/>
      <w:color w:val="9E2200" w:themeColor="accent1" w:themeShade="7F"/>
      <w:lang w:val="en-AU" w:bidi="en-US"/>
    </w:rPr>
  </w:style>
  <w:style w:type="paragraph" w:customStyle="1" w:styleId="Bullet1">
    <w:name w:val="Bullet 1"/>
    <w:basedOn w:val="Normal"/>
    <w:rsid w:val="00A9447A"/>
    <w:pPr>
      <w:numPr>
        <w:numId w:val="1"/>
      </w:numPr>
    </w:pPr>
  </w:style>
  <w:style w:type="character" w:styleId="CommentReference">
    <w:name w:val="annotation reference"/>
    <w:basedOn w:val="DefaultParagraphFont"/>
    <w:uiPriority w:val="99"/>
    <w:semiHidden/>
    <w:unhideWhenUsed/>
    <w:rsid w:val="00A9447A"/>
    <w:rPr>
      <w:sz w:val="16"/>
      <w:szCs w:val="16"/>
    </w:rPr>
  </w:style>
  <w:style w:type="paragraph" w:styleId="CommentText">
    <w:name w:val="annotation text"/>
    <w:basedOn w:val="Normal"/>
    <w:link w:val="CommentTextChar"/>
    <w:uiPriority w:val="99"/>
    <w:unhideWhenUsed/>
    <w:rsid w:val="00A9447A"/>
    <w:rPr>
      <w:sz w:val="20"/>
      <w:szCs w:val="20"/>
    </w:rPr>
  </w:style>
  <w:style w:type="character" w:customStyle="1" w:styleId="CommentTextChar">
    <w:name w:val="Comment Text Char"/>
    <w:basedOn w:val="DefaultParagraphFont"/>
    <w:link w:val="CommentText"/>
    <w:uiPriority w:val="99"/>
    <w:rsid w:val="00A9447A"/>
    <w:rPr>
      <w:rFonts w:ascii="Times New Roman" w:eastAsia="Times New Roman" w:hAnsi="Times New Roman" w:cs="Times New Roman"/>
      <w:sz w:val="20"/>
      <w:szCs w:val="20"/>
      <w:lang w:val="en-AU" w:bidi="en-US"/>
    </w:rPr>
  </w:style>
  <w:style w:type="paragraph" w:styleId="CommentSubject">
    <w:name w:val="annotation subject"/>
    <w:basedOn w:val="CommentText"/>
    <w:next w:val="CommentText"/>
    <w:link w:val="CommentSubjectChar"/>
    <w:uiPriority w:val="99"/>
    <w:semiHidden/>
    <w:unhideWhenUsed/>
    <w:rsid w:val="00A9447A"/>
    <w:rPr>
      <w:b/>
      <w:bCs/>
    </w:rPr>
  </w:style>
  <w:style w:type="character" w:customStyle="1" w:styleId="CommentSubjectChar">
    <w:name w:val="Comment Subject Char"/>
    <w:basedOn w:val="CommentTextChar"/>
    <w:link w:val="CommentSubject"/>
    <w:uiPriority w:val="99"/>
    <w:semiHidden/>
    <w:rsid w:val="00A9447A"/>
    <w:rPr>
      <w:rFonts w:ascii="Times New Roman" w:eastAsia="Times New Roman" w:hAnsi="Times New Roman" w:cs="Times New Roman"/>
      <w:b/>
      <w:bCs/>
      <w:sz w:val="20"/>
      <w:szCs w:val="20"/>
      <w:lang w:val="en-AU" w:bidi="en-US"/>
    </w:rPr>
  </w:style>
  <w:style w:type="paragraph" w:customStyle="1" w:styleId="paragraph">
    <w:name w:val="paragraph"/>
    <w:basedOn w:val="Normal"/>
    <w:rsid w:val="00A9447A"/>
    <w:pPr>
      <w:widowControl/>
      <w:autoSpaceDE/>
      <w:autoSpaceDN/>
      <w:spacing w:before="100" w:beforeAutospacing="1" w:after="100" w:afterAutospacing="1"/>
    </w:pPr>
    <w:rPr>
      <w:sz w:val="24"/>
      <w:szCs w:val="24"/>
      <w:lang w:eastAsia="en-AU" w:bidi="ar-SA"/>
    </w:rPr>
  </w:style>
  <w:style w:type="character" w:customStyle="1" w:styleId="normaltextrun">
    <w:name w:val="normaltextrun"/>
    <w:basedOn w:val="DefaultParagraphFont"/>
    <w:rsid w:val="00A9447A"/>
  </w:style>
  <w:style w:type="character" w:customStyle="1" w:styleId="eop">
    <w:name w:val="eop"/>
    <w:basedOn w:val="DefaultParagraphFont"/>
    <w:rsid w:val="00A9447A"/>
  </w:style>
  <w:style w:type="paragraph" w:styleId="TOCHeading">
    <w:name w:val="TOC Heading"/>
    <w:basedOn w:val="Heading1"/>
    <w:next w:val="Normal"/>
    <w:uiPriority w:val="39"/>
    <w:unhideWhenUsed/>
    <w:qFormat/>
    <w:rsid w:val="00A9447A"/>
    <w:pPr>
      <w:keepNext/>
      <w:keepLines/>
      <w:widowControl/>
      <w:autoSpaceDE/>
      <w:autoSpaceDN/>
      <w:spacing w:before="240" w:line="259" w:lineRule="auto"/>
      <w:outlineLvl w:val="9"/>
    </w:pPr>
    <w:rPr>
      <w:rFonts w:asciiTheme="majorHAnsi" w:eastAsiaTheme="majorEastAsia" w:hAnsiTheme="majorHAnsi" w:cstheme="majorBidi"/>
      <w:b w:val="0"/>
      <w:caps w:val="0"/>
      <w:color w:val="EE3400" w:themeColor="accent1" w:themeShade="BF"/>
      <w:lang w:bidi="ar-SA"/>
    </w:rPr>
  </w:style>
  <w:style w:type="paragraph" w:styleId="TOC2">
    <w:name w:val="toc 2"/>
    <w:basedOn w:val="Normal"/>
    <w:next w:val="Normal"/>
    <w:autoRedefine/>
    <w:uiPriority w:val="39"/>
    <w:unhideWhenUsed/>
    <w:rsid w:val="00A9447A"/>
    <w:pPr>
      <w:tabs>
        <w:tab w:val="right" w:leader="dot" w:pos="9016"/>
      </w:tabs>
      <w:spacing w:after="100"/>
      <w:ind w:left="220"/>
    </w:pPr>
    <w:rPr>
      <w:iCs/>
      <w:noProof/>
      <w:sz w:val="20"/>
      <w:szCs w:val="20"/>
    </w:rPr>
  </w:style>
  <w:style w:type="character" w:customStyle="1" w:styleId="BodyTextChar">
    <w:name w:val="Body Text Char"/>
    <w:basedOn w:val="DefaultParagraphFont"/>
    <w:link w:val="BodyText"/>
    <w:uiPriority w:val="1"/>
    <w:rsid w:val="00A9447A"/>
    <w:rPr>
      <w:rFonts w:ascii="Times New Roman" w:eastAsia="Times New Roman" w:hAnsi="Times New Roman" w:cs="Times New Roman"/>
      <w:color w:val="414042"/>
      <w:sz w:val="21"/>
      <w:szCs w:val="21"/>
      <w:lang w:val="en-AU" w:bidi="en-US"/>
    </w:rPr>
  </w:style>
  <w:style w:type="paragraph" w:styleId="Caption">
    <w:name w:val="caption"/>
    <w:basedOn w:val="Normal"/>
    <w:next w:val="Normal"/>
    <w:uiPriority w:val="35"/>
    <w:unhideWhenUsed/>
    <w:qFormat/>
    <w:rsid w:val="00A9447A"/>
    <w:pPr>
      <w:spacing w:after="200"/>
    </w:pPr>
    <w:rPr>
      <w:i/>
      <w:iCs/>
      <w:color w:val="FCF277" w:themeColor="text2"/>
      <w:sz w:val="18"/>
      <w:szCs w:val="18"/>
    </w:rPr>
  </w:style>
  <w:style w:type="paragraph" w:styleId="Revision">
    <w:name w:val="Revision"/>
    <w:hidden/>
    <w:uiPriority w:val="99"/>
    <w:semiHidden/>
    <w:rsid w:val="00A9447A"/>
    <w:pPr>
      <w:widowControl/>
      <w:autoSpaceDE/>
      <w:autoSpaceDN/>
    </w:pPr>
    <w:rPr>
      <w:rFonts w:ascii="Times New Roman" w:eastAsia="Times New Roman" w:hAnsi="Times New Roman" w:cs="Times New Roman"/>
      <w:lang w:bidi="en-US"/>
    </w:rPr>
  </w:style>
  <w:style w:type="table" w:styleId="ListTable6Colorful-Accent1">
    <w:name w:val="List Table 6 Colorful Accent 1"/>
    <w:basedOn w:val="TableNormal"/>
    <w:uiPriority w:val="51"/>
    <w:rsid w:val="00A9447A"/>
    <w:rPr>
      <w:color w:val="EE3400" w:themeColor="accent1" w:themeShade="BF"/>
    </w:rPr>
    <w:tblPr>
      <w:tblStyleRowBandSize w:val="1"/>
      <w:tblStyleColBandSize w:val="1"/>
      <w:tblBorders>
        <w:top w:val="single" w:sz="4" w:space="0" w:color="FF6A40" w:themeColor="accent1"/>
        <w:bottom w:val="single" w:sz="4" w:space="0" w:color="FF6A40" w:themeColor="accent1"/>
      </w:tblBorders>
    </w:tblPr>
    <w:tblStylePr w:type="firstRow">
      <w:rPr>
        <w:b/>
        <w:bCs/>
      </w:rPr>
      <w:tblPr/>
      <w:tcPr>
        <w:tcBorders>
          <w:bottom w:val="single" w:sz="4" w:space="0" w:color="FF6A40" w:themeColor="accent1"/>
        </w:tcBorders>
      </w:tcPr>
    </w:tblStylePr>
    <w:tblStylePr w:type="lastRow">
      <w:rPr>
        <w:b/>
        <w:bCs/>
      </w:rPr>
      <w:tblPr/>
      <w:tcPr>
        <w:tcBorders>
          <w:top w:val="double" w:sz="4" w:space="0" w:color="FF6A40" w:themeColor="accent1"/>
        </w:tcBorders>
      </w:tcPr>
    </w:tblStylePr>
    <w:tblStylePr w:type="firstCol">
      <w:rPr>
        <w:b/>
        <w:bCs/>
      </w:rPr>
    </w:tblStylePr>
    <w:tblStylePr w:type="lastCol">
      <w:rPr>
        <w:b/>
        <w:bCs/>
      </w:rPr>
    </w:tblStylePr>
    <w:tblStylePr w:type="band1Vert">
      <w:tblPr/>
      <w:tcPr>
        <w:shd w:val="clear" w:color="auto" w:fill="FFE1D8" w:themeFill="accent1" w:themeFillTint="33"/>
      </w:tcPr>
    </w:tblStylePr>
    <w:tblStylePr w:type="band1Horz">
      <w:tblPr/>
      <w:tcPr>
        <w:shd w:val="clear" w:color="auto" w:fill="FFE1D8" w:themeFill="accent1" w:themeFillTint="33"/>
      </w:tcPr>
    </w:tblStylePr>
  </w:style>
  <w:style w:type="character" w:customStyle="1" w:styleId="Heading3Char">
    <w:name w:val="Heading 3 Char"/>
    <w:basedOn w:val="DefaultParagraphFont"/>
    <w:link w:val="Heading3"/>
    <w:uiPriority w:val="9"/>
    <w:rsid w:val="0000648A"/>
    <w:rPr>
      <w:rFonts w:ascii="Arial Nova Cond" w:eastAsiaTheme="majorEastAsia" w:hAnsi="Arial Nova Cond" w:cstheme="majorBidi"/>
      <w:b/>
      <w:bCs/>
      <w:caps/>
      <w:color w:val="A82700"/>
      <w:sz w:val="21"/>
      <w:szCs w:val="21"/>
      <w:lang w:val="en-AU" w:bidi="en-US"/>
    </w:rPr>
  </w:style>
  <w:style w:type="character" w:customStyle="1" w:styleId="Heading4Char">
    <w:name w:val="Heading 4 Char"/>
    <w:basedOn w:val="DefaultParagraphFont"/>
    <w:link w:val="Heading4"/>
    <w:uiPriority w:val="9"/>
    <w:rsid w:val="00E93F00"/>
    <w:rPr>
      <w:rFonts w:ascii="Times New Roman" w:eastAsiaTheme="majorEastAsia" w:hAnsi="Times New Roman" w:cs="Times New Roman"/>
      <w:b/>
      <w:i/>
      <w:iCs/>
      <w:color w:val="A82700"/>
      <w:lang w:val="en-AU" w:bidi="en-US"/>
    </w:rPr>
  </w:style>
  <w:style w:type="table" w:customStyle="1" w:styleId="ListTable6Colorful-Accent11">
    <w:name w:val="List Table 6 Colorful - Accent 11"/>
    <w:basedOn w:val="TableNormal"/>
    <w:next w:val="ListTable6Colorful-Accent1"/>
    <w:uiPriority w:val="51"/>
    <w:rsid w:val="00A9447A"/>
    <w:rPr>
      <w:color w:val="EE3400"/>
    </w:rPr>
    <w:tblPr>
      <w:tblStyleRowBandSize w:val="1"/>
      <w:tblStyleColBandSize w:val="1"/>
      <w:tblBorders>
        <w:top w:val="single" w:sz="4" w:space="0" w:color="FF6A40"/>
        <w:bottom w:val="single" w:sz="4" w:space="0" w:color="FF6A40"/>
      </w:tblBorders>
    </w:tblPr>
    <w:tblStylePr w:type="firstRow">
      <w:rPr>
        <w:b/>
        <w:bCs/>
      </w:rPr>
      <w:tblPr/>
      <w:tcPr>
        <w:tcBorders>
          <w:bottom w:val="single" w:sz="4" w:space="0" w:color="FF6A40"/>
        </w:tcBorders>
      </w:tcPr>
    </w:tblStylePr>
    <w:tblStylePr w:type="lastRow">
      <w:rPr>
        <w:b/>
        <w:bCs/>
      </w:rPr>
      <w:tblPr/>
      <w:tcPr>
        <w:tcBorders>
          <w:top w:val="double" w:sz="4" w:space="0" w:color="FF6A40"/>
        </w:tcBorders>
      </w:tcPr>
    </w:tblStylePr>
    <w:tblStylePr w:type="firstCol">
      <w:rPr>
        <w:b/>
        <w:bCs/>
      </w:rPr>
    </w:tblStylePr>
    <w:tblStylePr w:type="lastCol">
      <w:rPr>
        <w:b/>
        <w:bCs/>
      </w:rPr>
    </w:tblStylePr>
    <w:tblStylePr w:type="band1Vert">
      <w:tblPr/>
      <w:tcPr>
        <w:shd w:val="clear" w:color="auto" w:fill="FFE1D8"/>
      </w:tcPr>
    </w:tblStylePr>
    <w:tblStylePr w:type="band1Horz">
      <w:tblPr/>
      <w:tcPr>
        <w:shd w:val="clear" w:color="auto" w:fill="FFE1D8"/>
      </w:tcPr>
    </w:tblStylePr>
  </w:style>
  <w:style w:type="character" w:styleId="Mention">
    <w:name w:val="Mention"/>
    <w:basedOn w:val="DefaultParagraphFont"/>
    <w:uiPriority w:val="99"/>
    <w:unhideWhenUsed/>
    <w:rsid w:val="00A9447A"/>
    <w:rPr>
      <w:color w:val="2B579A"/>
      <w:shd w:val="clear" w:color="auto" w:fill="E1DFDD"/>
    </w:rPr>
  </w:style>
  <w:style w:type="table" w:styleId="TableGrid">
    <w:name w:val="Table Grid"/>
    <w:basedOn w:val="TableNormal"/>
    <w:uiPriority w:val="39"/>
    <w:rsid w:val="00A944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A944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A9447A"/>
    <w:pPr>
      <w:jc w:val="center"/>
    </w:pPr>
    <w:rPr>
      <w:noProof/>
      <w:color w:val="414042"/>
      <w:sz w:val="21"/>
      <w:szCs w:val="21"/>
    </w:rPr>
  </w:style>
  <w:style w:type="character" w:customStyle="1" w:styleId="EndNoteBibliographyTitleChar">
    <w:name w:val="EndNote Bibliography Title Char"/>
    <w:basedOn w:val="BodyTextChar"/>
    <w:link w:val="EndNoteBibliographyTitle"/>
    <w:rsid w:val="00A9447A"/>
    <w:rPr>
      <w:rFonts w:ascii="Times New Roman" w:eastAsia="Times New Roman" w:hAnsi="Times New Roman" w:cs="Times New Roman"/>
      <w:noProof/>
      <w:color w:val="414042"/>
      <w:sz w:val="21"/>
      <w:szCs w:val="21"/>
      <w:lang w:val="en-AU" w:bidi="en-US"/>
    </w:rPr>
  </w:style>
  <w:style w:type="paragraph" w:customStyle="1" w:styleId="EndNoteBibliography">
    <w:name w:val="EndNote Bibliography"/>
    <w:basedOn w:val="Normal"/>
    <w:link w:val="EndNoteBibliographyChar"/>
    <w:rsid w:val="00A9447A"/>
    <w:rPr>
      <w:noProof/>
      <w:color w:val="414042"/>
      <w:sz w:val="21"/>
      <w:szCs w:val="21"/>
    </w:rPr>
  </w:style>
  <w:style w:type="character" w:customStyle="1" w:styleId="EndNoteBibliographyChar">
    <w:name w:val="EndNote Bibliography Char"/>
    <w:basedOn w:val="BodyTextChar"/>
    <w:link w:val="EndNoteBibliography"/>
    <w:rsid w:val="00A9447A"/>
    <w:rPr>
      <w:rFonts w:ascii="Times New Roman" w:eastAsia="Times New Roman" w:hAnsi="Times New Roman" w:cs="Times New Roman"/>
      <w:noProof/>
      <w:color w:val="414042"/>
      <w:sz w:val="21"/>
      <w:szCs w:val="21"/>
      <w:lang w:val="en-AU" w:bidi="en-US"/>
    </w:rPr>
  </w:style>
  <w:style w:type="character" w:styleId="FootnoteReference">
    <w:name w:val="footnote reference"/>
    <w:basedOn w:val="DefaultParagraphFont"/>
    <w:uiPriority w:val="99"/>
    <w:semiHidden/>
    <w:unhideWhenUsed/>
    <w:rsid w:val="00A9447A"/>
    <w:rPr>
      <w:vertAlign w:val="superscript"/>
    </w:rPr>
  </w:style>
  <w:style w:type="character" w:customStyle="1" w:styleId="FootnoteTextChar">
    <w:name w:val="Footnote Text Char"/>
    <w:basedOn w:val="DefaultParagraphFont"/>
    <w:link w:val="FootnoteText"/>
    <w:uiPriority w:val="99"/>
    <w:semiHidden/>
    <w:rsid w:val="00A9447A"/>
    <w:rPr>
      <w:sz w:val="20"/>
      <w:szCs w:val="20"/>
    </w:rPr>
  </w:style>
  <w:style w:type="paragraph" w:styleId="FootnoteText">
    <w:name w:val="footnote text"/>
    <w:basedOn w:val="Normal"/>
    <w:link w:val="FootnoteTextChar"/>
    <w:uiPriority w:val="99"/>
    <w:semiHidden/>
    <w:unhideWhenUsed/>
    <w:rsid w:val="00A9447A"/>
    <w:rPr>
      <w:rFonts w:asciiTheme="minorHAnsi" w:eastAsiaTheme="minorHAnsi" w:hAnsiTheme="minorHAnsi" w:cstheme="minorBidi"/>
      <w:sz w:val="20"/>
      <w:szCs w:val="20"/>
      <w:lang w:val="en-US" w:bidi="ar-SA"/>
    </w:rPr>
  </w:style>
  <w:style w:type="character" w:customStyle="1" w:styleId="FootnoteTextChar1">
    <w:name w:val="Footnote Text Char1"/>
    <w:basedOn w:val="DefaultParagraphFont"/>
    <w:uiPriority w:val="99"/>
    <w:semiHidden/>
    <w:rsid w:val="00A9447A"/>
    <w:rPr>
      <w:rFonts w:ascii="Times New Roman" w:eastAsia="Times New Roman" w:hAnsi="Times New Roman" w:cs="Times New Roman"/>
      <w:sz w:val="20"/>
      <w:szCs w:val="20"/>
      <w:lang w:val="en-AU" w:bidi="en-US"/>
    </w:rPr>
  </w:style>
  <w:style w:type="table" w:styleId="ListTable3-Accent1">
    <w:name w:val="List Table 3 Accent 1"/>
    <w:basedOn w:val="TableNormal"/>
    <w:uiPriority w:val="48"/>
    <w:rsid w:val="00A9447A"/>
    <w:tblPr>
      <w:tblStyleRowBandSize w:val="1"/>
      <w:tblStyleColBandSize w:val="1"/>
      <w:tblBorders>
        <w:top w:val="single" w:sz="4" w:space="0" w:color="FF6A40" w:themeColor="accent1"/>
        <w:left w:val="single" w:sz="4" w:space="0" w:color="FF6A40" w:themeColor="accent1"/>
        <w:bottom w:val="single" w:sz="4" w:space="0" w:color="FF6A40" w:themeColor="accent1"/>
        <w:right w:val="single" w:sz="4" w:space="0" w:color="FF6A40" w:themeColor="accent1"/>
      </w:tblBorders>
    </w:tblPr>
    <w:tblStylePr w:type="firstRow">
      <w:rPr>
        <w:b/>
        <w:bCs/>
        <w:color w:val="FFFFFF" w:themeColor="background1"/>
      </w:rPr>
      <w:tblPr/>
      <w:tcPr>
        <w:shd w:val="clear" w:color="auto" w:fill="FF6A40" w:themeFill="accent1"/>
      </w:tcPr>
    </w:tblStylePr>
    <w:tblStylePr w:type="lastRow">
      <w:rPr>
        <w:b/>
        <w:bCs/>
      </w:rPr>
      <w:tblPr/>
      <w:tcPr>
        <w:tcBorders>
          <w:top w:val="double" w:sz="4" w:space="0" w:color="FF6A4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6A40" w:themeColor="accent1"/>
          <w:right w:val="single" w:sz="4" w:space="0" w:color="FF6A40" w:themeColor="accent1"/>
        </w:tcBorders>
      </w:tcPr>
    </w:tblStylePr>
    <w:tblStylePr w:type="band1Horz">
      <w:tblPr/>
      <w:tcPr>
        <w:tcBorders>
          <w:top w:val="single" w:sz="4" w:space="0" w:color="FF6A40" w:themeColor="accent1"/>
          <w:bottom w:val="single" w:sz="4" w:space="0" w:color="FF6A4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6A40" w:themeColor="accent1"/>
          <w:left w:val="nil"/>
        </w:tcBorders>
      </w:tcPr>
    </w:tblStylePr>
    <w:tblStylePr w:type="swCell">
      <w:tblPr/>
      <w:tcPr>
        <w:tcBorders>
          <w:top w:val="double" w:sz="4" w:space="0" w:color="FF6A40" w:themeColor="accent1"/>
          <w:right w:val="nil"/>
        </w:tcBorders>
      </w:tcPr>
    </w:tblStylePr>
  </w:style>
  <w:style w:type="paragraph" w:styleId="TOC3">
    <w:name w:val="toc 3"/>
    <w:basedOn w:val="Normal"/>
    <w:next w:val="Normal"/>
    <w:autoRedefine/>
    <w:uiPriority w:val="39"/>
    <w:unhideWhenUsed/>
    <w:rsid w:val="00A9447A"/>
    <w:pPr>
      <w:spacing w:after="100"/>
      <w:ind w:left="440"/>
    </w:pPr>
  </w:style>
  <w:style w:type="table" w:customStyle="1" w:styleId="TableGrid0">
    <w:name w:val="Table Grid0"/>
    <w:basedOn w:val="TableNormal"/>
    <w:uiPriority w:val="39"/>
    <w:rsid w:val="00311D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next w:val="TOC1"/>
    <w:link w:val="Style1Char"/>
    <w:rsid w:val="00C20202"/>
    <w:pPr>
      <w:spacing w:before="480" w:line="192" w:lineRule="auto"/>
      <w:ind w:left="23"/>
    </w:pPr>
    <w:rPr>
      <w:rFonts w:ascii="Arial Nova Cond" w:hAnsi="Arial Nova Cond"/>
      <w:b/>
      <w:color w:val="414042" w:themeColor="text1"/>
      <w:spacing w:val="-27"/>
      <w:sz w:val="140"/>
      <w:szCs w:val="140"/>
    </w:rPr>
  </w:style>
  <w:style w:type="character" w:customStyle="1" w:styleId="Style1Char">
    <w:name w:val="Style1 Char"/>
    <w:basedOn w:val="DefaultParagraphFont"/>
    <w:link w:val="Style1"/>
    <w:rsid w:val="00C20202"/>
    <w:rPr>
      <w:rFonts w:ascii="Arial Nova Cond" w:eastAsia="Times New Roman" w:hAnsi="Arial Nova Cond" w:cs="Times New Roman"/>
      <w:b/>
      <w:color w:val="414042" w:themeColor="text1"/>
      <w:spacing w:val="-27"/>
      <w:sz w:val="140"/>
      <w:szCs w:val="140"/>
      <w:lang w:val="en-AU" w:bidi="en-US"/>
    </w:rPr>
  </w:style>
  <w:style w:type="paragraph" w:customStyle="1" w:styleId="SIScoverheading">
    <w:name w:val="SIS cover heading"/>
    <w:basedOn w:val="Normal"/>
    <w:qFormat/>
    <w:rsid w:val="0071456B"/>
    <w:pPr>
      <w:widowControl/>
      <w:autoSpaceDE/>
      <w:autoSpaceDN/>
      <w:spacing w:line="192" w:lineRule="auto"/>
    </w:pPr>
    <w:rPr>
      <w:rFonts w:ascii="Open Sans" w:eastAsiaTheme="minorEastAsia" w:hAnsi="Open Sans" w:cstheme="minorBidi"/>
      <w:color w:val="414042" w:themeColor="text1"/>
      <w:spacing w:val="-12"/>
      <w:sz w:val="56"/>
      <w:szCs w:val="60"/>
      <w:lang w:val="en-US" w:bidi="ar-SA"/>
    </w:rPr>
  </w:style>
  <w:style w:type="paragraph" w:customStyle="1" w:styleId="SIScoversubheading">
    <w:name w:val="SIS cover subheading"/>
    <w:basedOn w:val="Normal"/>
    <w:link w:val="SIScoversubheadingChar"/>
    <w:qFormat/>
    <w:rsid w:val="0071456B"/>
    <w:pPr>
      <w:widowControl/>
      <w:autoSpaceDE/>
      <w:autoSpaceDN/>
      <w:spacing w:line="216" w:lineRule="auto"/>
    </w:pPr>
    <w:rPr>
      <w:rFonts w:ascii="Open Sans" w:eastAsiaTheme="minorEastAsia" w:hAnsi="Open Sans" w:cstheme="minorBidi"/>
      <w:color w:val="414042" w:themeColor="text1"/>
      <w:spacing w:val="-4"/>
      <w:sz w:val="40"/>
      <w:szCs w:val="36"/>
      <w:lang w:val="en-US" w:bidi="ar-SA"/>
    </w:rPr>
  </w:style>
  <w:style w:type="character" w:customStyle="1" w:styleId="SIScoversubheadingChar">
    <w:name w:val="SIS cover subheading Char"/>
    <w:basedOn w:val="DefaultParagraphFont"/>
    <w:link w:val="SIScoversubheading"/>
    <w:rsid w:val="0071456B"/>
    <w:rPr>
      <w:rFonts w:ascii="Open Sans" w:eastAsiaTheme="minorEastAsia" w:hAnsi="Open Sans"/>
      <w:color w:val="414042" w:themeColor="text1"/>
      <w:spacing w:val="-4"/>
      <w:sz w:val="40"/>
      <w:szCs w:val="36"/>
    </w:rPr>
  </w:style>
  <w:style w:type="paragraph" w:customStyle="1" w:styleId="BodyTextSP">
    <w:name w:val="Body Text (SP)"/>
    <w:link w:val="BodyTextSPChar"/>
    <w:qFormat/>
    <w:rsid w:val="00142C7A"/>
    <w:pPr>
      <w:widowControl/>
      <w:autoSpaceDE/>
      <w:autoSpaceDN/>
      <w:spacing w:before="80" w:after="60" w:line="276" w:lineRule="auto"/>
      <w:ind w:left="510" w:hanging="510"/>
    </w:pPr>
    <w:rPr>
      <w:rFonts w:eastAsiaTheme="minorEastAsia"/>
      <w:color w:val="414042" w:themeColor="text1"/>
      <w:szCs w:val="20"/>
    </w:rPr>
  </w:style>
  <w:style w:type="character" w:customStyle="1" w:styleId="BodyTextSPChar">
    <w:name w:val="Body Text (SP) Char"/>
    <w:basedOn w:val="DefaultParagraphFont"/>
    <w:link w:val="BodyTextSP"/>
    <w:rsid w:val="00142C7A"/>
    <w:rPr>
      <w:rFonts w:eastAsiaTheme="minorEastAsia"/>
      <w:color w:val="414042" w:themeColor="text1"/>
      <w:szCs w:val="20"/>
    </w:rPr>
  </w:style>
  <w:style w:type="paragraph" w:customStyle="1" w:styleId="BlackSubheadingItalic">
    <w:name w:val="Black Subheading Italic"/>
    <w:basedOn w:val="Normal"/>
    <w:link w:val="BlackSubheadingItalicChar"/>
    <w:qFormat/>
    <w:rsid w:val="00E60817"/>
    <w:pPr>
      <w:widowControl/>
      <w:autoSpaceDE/>
      <w:autoSpaceDN/>
      <w:spacing w:before="240" w:after="120"/>
    </w:pPr>
    <w:rPr>
      <w:rFonts w:ascii="Open Sans" w:eastAsiaTheme="minorHAnsi" w:hAnsi="Open Sans" w:cs="Open Sans"/>
      <w:b/>
      <w:i/>
      <w:sz w:val="24"/>
      <w:szCs w:val="24"/>
      <w:lang w:eastAsia="zh-CN" w:bidi="th-TH"/>
    </w:rPr>
  </w:style>
  <w:style w:type="character" w:customStyle="1" w:styleId="BlackSubheadingItalicChar">
    <w:name w:val="Black Subheading Italic Char"/>
    <w:basedOn w:val="DefaultParagraphFont"/>
    <w:link w:val="BlackSubheadingItalic"/>
    <w:rsid w:val="00E60817"/>
    <w:rPr>
      <w:rFonts w:ascii="Open Sans" w:hAnsi="Open Sans" w:cs="Open Sans"/>
      <w:b/>
      <w:i/>
      <w:sz w:val="24"/>
      <w:szCs w:val="24"/>
      <w:lang w:val="en-AU" w:eastAsia="zh-CN" w:bidi="th-TH"/>
    </w:rPr>
  </w:style>
  <w:style w:type="paragraph" w:customStyle="1" w:styleId="TableHeader0">
    <w:name w:val="Table Header"/>
    <w:basedOn w:val="Normal"/>
    <w:qFormat/>
    <w:rsid w:val="00116F68"/>
    <w:pPr>
      <w:widowControl/>
      <w:autoSpaceDE/>
      <w:autoSpaceDN/>
      <w:spacing w:before="40" w:after="40"/>
      <w:jc w:val="center"/>
    </w:pPr>
    <w:rPr>
      <w:rFonts w:asciiTheme="minorHAnsi" w:hAnsiTheme="minorHAnsi"/>
      <w:b/>
      <w:bCs/>
      <w:color w:val="FFFFFF" w:themeColor="background1"/>
      <w:sz w:val="19"/>
      <w:szCs w:val="20"/>
      <w:lang w:val="en-US" w:bidi="ar-SA"/>
    </w:rPr>
  </w:style>
  <w:style w:type="paragraph" w:customStyle="1" w:styleId="Normal4">
    <w:name w:val="Normal4"/>
    <w:basedOn w:val="Normal"/>
    <w:link w:val="Normal4Char"/>
    <w:autoRedefine/>
    <w:qFormat/>
    <w:rsid w:val="00333F99"/>
    <w:pPr>
      <w:widowControl/>
      <w:shd w:val="clear" w:color="auto" w:fill="FFFFFF" w:themeFill="background1"/>
      <w:autoSpaceDE/>
      <w:autoSpaceDN/>
      <w:spacing w:before="120" w:after="160" w:line="276" w:lineRule="auto"/>
    </w:pPr>
    <w:rPr>
      <w:rFonts w:asciiTheme="minorHAnsi" w:eastAsiaTheme="minorHAnsi" w:hAnsiTheme="minorHAnsi" w:cs="Arial"/>
      <w:lang w:bidi="ar-SA"/>
    </w:rPr>
  </w:style>
  <w:style w:type="character" w:customStyle="1" w:styleId="Normal4Char">
    <w:name w:val="Normal4 Char"/>
    <w:basedOn w:val="DefaultParagraphFont"/>
    <w:link w:val="Normal4"/>
    <w:rsid w:val="00333F99"/>
    <w:rPr>
      <w:rFonts w:cs="Arial"/>
      <w:shd w:val="clear" w:color="auto" w:fill="FFFFFF" w:themeFill="background1"/>
      <w:lang w:val="en-AU"/>
    </w:rPr>
  </w:style>
  <w:style w:type="paragraph" w:customStyle="1" w:styleId="Table">
    <w:name w:val="Table"/>
    <w:basedOn w:val="Normal"/>
    <w:qFormat/>
    <w:rsid w:val="00F67F3F"/>
    <w:pPr>
      <w:widowControl/>
      <w:autoSpaceDE/>
      <w:autoSpaceDN/>
      <w:spacing w:before="40" w:after="40" w:line="252" w:lineRule="auto"/>
    </w:pPr>
    <w:rPr>
      <w:rFonts w:ascii="Calibri" w:eastAsiaTheme="minorHAnsi" w:hAnsi="Calibri" w:cs="Calibri"/>
      <w:sz w:val="19"/>
      <w:szCs w:val="19"/>
      <w:lang w:bidi="ar-SA"/>
    </w:rPr>
  </w:style>
  <w:style w:type="character" w:customStyle="1" w:styleId="lt-line-clampline">
    <w:name w:val="lt-line-clamp__line"/>
    <w:basedOn w:val="DefaultParagraphFont"/>
    <w:rsid w:val="00F67F3F"/>
  </w:style>
  <w:style w:type="paragraph" w:customStyle="1" w:styleId="PlainParagraph">
    <w:name w:val="Plain Paragraph"/>
    <w:basedOn w:val="Normal"/>
    <w:rsid w:val="007601BF"/>
    <w:pPr>
      <w:widowControl/>
      <w:autoSpaceDE/>
      <w:autoSpaceDN/>
      <w:spacing w:before="120" w:after="120" w:line="280" w:lineRule="atLeast"/>
      <w:ind w:left="567"/>
    </w:pPr>
    <w:rPr>
      <w:rFonts w:ascii="Arial" w:hAnsi="Arial" w:cs="Arial"/>
      <w:lang w:eastAsia="en-AU" w:bidi="ar-SA"/>
    </w:rPr>
  </w:style>
  <w:style w:type="paragraph" w:customStyle="1" w:styleId="NumberedList1">
    <w:name w:val="Numbered List: 1)"/>
    <w:basedOn w:val="PlainParagraph"/>
    <w:semiHidden/>
    <w:rsid w:val="007601BF"/>
    <w:pPr>
      <w:numPr>
        <w:numId w:val="2"/>
      </w:numPr>
      <w:spacing w:before="0"/>
    </w:pPr>
  </w:style>
  <w:style w:type="paragraph" w:customStyle="1" w:styleId="NumberedList11">
    <w:name w:val="Numbered List: 1) 1"/>
    <w:basedOn w:val="NumberedList1"/>
    <w:semiHidden/>
    <w:rsid w:val="007601BF"/>
    <w:pPr>
      <w:numPr>
        <w:ilvl w:val="1"/>
      </w:numPr>
    </w:pPr>
  </w:style>
  <w:style w:type="paragraph" w:customStyle="1" w:styleId="NumberedList12">
    <w:name w:val="Numbered List: 1) 2"/>
    <w:basedOn w:val="NumberedList11"/>
    <w:semiHidden/>
    <w:rsid w:val="007601BF"/>
    <w:pPr>
      <w:numPr>
        <w:ilvl w:val="2"/>
      </w:numPr>
    </w:pPr>
  </w:style>
  <w:style w:type="paragraph" w:customStyle="1" w:styleId="NumberedList13">
    <w:name w:val="Numbered List: 1) 3"/>
    <w:basedOn w:val="NumberedList12"/>
    <w:semiHidden/>
    <w:rsid w:val="007601BF"/>
    <w:pPr>
      <w:numPr>
        <w:ilvl w:val="3"/>
      </w:numPr>
    </w:pPr>
  </w:style>
  <w:style w:type="paragraph" w:customStyle="1" w:styleId="NumberedList14">
    <w:name w:val="Numbered List: 1) 4"/>
    <w:basedOn w:val="NumberedList13"/>
    <w:semiHidden/>
    <w:rsid w:val="007601BF"/>
    <w:pPr>
      <w:numPr>
        <w:ilvl w:val="4"/>
      </w:numPr>
    </w:pPr>
  </w:style>
  <w:style w:type="paragraph" w:customStyle="1" w:styleId="NumberedList15">
    <w:name w:val="Numbered List: 1) 5"/>
    <w:basedOn w:val="NumberedList14"/>
    <w:semiHidden/>
    <w:rsid w:val="007601BF"/>
    <w:pPr>
      <w:numPr>
        <w:ilvl w:val="5"/>
      </w:numPr>
    </w:pPr>
  </w:style>
  <w:style w:type="paragraph" w:customStyle="1" w:styleId="NumberedList16">
    <w:name w:val="Numbered List: 1) 6"/>
    <w:basedOn w:val="NumberedList15"/>
    <w:semiHidden/>
    <w:rsid w:val="007601BF"/>
    <w:pPr>
      <w:numPr>
        <w:ilvl w:val="6"/>
      </w:numPr>
    </w:pPr>
  </w:style>
  <w:style w:type="paragraph" w:customStyle="1" w:styleId="NumberedList17">
    <w:name w:val="Numbered List: 1) 7"/>
    <w:basedOn w:val="NumberedList16"/>
    <w:semiHidden/>
    <w:rsid w:val="007601BF"/>
    <w:pPr>
      <w:numPr>
        <w:ilvl w:val="7"/>
      </w:numPr>
    </w:pPr>
  </w:style>
  <w:style w:type="paragraph" w:customStyle="1" w:styleId="NumberedList18">
    <w:name w:val="Numbered List: 1) 8"/>
    <w:basedOn w:val="NumberedList17"/>
    <w:semiHidden/>
    <w:rsid w:val="007601BF"/>
    <w:pPr>
      <w:numPr>
        <w:ilvl w:val="8"/>
      </w:numPr>
    </w:pPr>
  </w:style>
  <w:style w:type="character" w:customStyle="1" w:styleId="Heading5Char">
    <w:name w:val="Heading 5 Char"/>
    <w:basedOn w:val="DefaultParagraphFont"/>
    <w:link w:val="Heading5"/>
    <w:uiPriority w:val="9"/>
    <w:rsid w:val="00E177F5"/>
    <w:rPr>
      <w:rFonts w:eastAsiaTheme="majorEastAsia" w:cstheme="majorBidi"/>
      <w:u w:val="single"/>
      <w:lang w:val="en-AU" w:bidi="en-US"/>
    </w:rPr>
  </w:style>
  <w:style w:type="character" w:styleId="FollowedHyperlink">
    <w:name w:val="FollowedHyperlink"/>
    <w:basedOn w:val="DefaultParagraphFont"/>
    <w:uiPriority w:val="99"/>
    <w:semiHidden/>
    <w:unhideWhenUsed/>
    <w:rsid w:val="00A70232"/>
    <w:rPr>
      <w:color w:val="79437D" w:themeColor="followedHyperlink"/>
      <w:u w:val="single"/>
    </w:rPr>
  </w:style>
  <w:style w:type="paragraph" w:styleId="EndnoteText">
    <w:name w:val="endnote text"/>
    <w:basedOn w:val="Normal"/>
    <w:link w:val="EndnoteTextChar"/>
    <w:uiPriority w:val="99"/>
    <w:semiHidden/>
    <w:unhideWhenUsed/>
    <w:rsid w:val="00671135"/>
    <w:rPr>
      <w:sz w:val="20"/>
      <w:szCs w:val="20"/>
    </w:rPr>
  </w:style>
  <w:style w:type="character" w:customStyle="1" w:styleId="EndnoteTextChar">
    <w:name w:val="Endnote Text Char"/>
    <w:basedOn w:val="DefaultParagraphFont"/>
    <w:link w:val="EndnoteText"/>
    <w:uiPriority w:val="99"/>
    <w:semiHidden/>
    <w:rsid w:val="00671135"/>
    <w:rPr>
      <w:rFonts w:ascii="Times New Roman" w:eastAsia="Times New Roman" w:hAnsi="Times New Roman" w:cs="Times New Roman"/>
      <w:sz w:val="20"/>
      <w:szCs w:val="20"/>
      <w:lang w:val="en-AU" w:bidi="en-US"/>
    </w:rPr>
  </w:style>
  <w:style w:type="character" w:styleId="EndnoteReference">
    <w:name w:val="endnote reference"/>
    <w:basedOn w:val="DefaultParagraphFont"/>
    <w:uiPriority w:val="99"/>
    <w:semiHidden/>
    <w:unhideWhenUsed/>
    <w:rsid w:val="00671135"/>
    <w:rPr>
      <w:vertAlign w:val="superscript"/>
    </w:rPr>
  </w:style>
  <w:style w:type="character" w:customStyle="1" w:styleId="apple-converted-space">
    <w:name w:val="apple-converted-space"/>
    <w:basedOn w:val="DefaultParagraphFont"/>
    <w:rsid w:val="00251FAF"/>
  </w:style>
  <w:style w:type="paragraph" w:styleId="NormalWeb">
    <w:name w:val="Normal (Web)"/>
    <w:basedOn w:val="Normal"/>
    <w:uiPriority w:val="99"/>
    <w:semiHidden/>
    <w:unhideWhenUsed/>
    <w:rsid w:val="0055310B"/>
    <w:pPr>
      <w:widowControl/>
      <w:autoSpaceDE/>
      <w:autoSpaceDN/>
      <w:spacing w:before="100" w:beforeAutospacing="1" w:after="100" w:afterAutospacing="1"/>
    </w:pPr>
    <w:rPr>
      <w:sz w:val="24"/>
      <w:szCs w:val="24"/>
      <w:lang w:eastAsia="en-GB" w:bidi="ar-SA"/>
    </w:rPr>
  </w:style>
  <w:style w:type="character" w:customStyle="1" w:styleId="markedcontent">
    <w:name w:val="markedcontent"/>
    <w:basedOn w:val="DefaultParagraphFont"/>
    <w:rsid w:val="003A5C4A"/>
  </w:style>
  <w:style w:type="character" w:customStyle="1" w:styleId="authors">
    <w:name w:val="authors"/>
    <w:basedOn w:val="DefaultParagraphFont"/>
    <w:rsid w:val="003A5C4A"/>
  </w:style>
  <w:style w:type="character" w:customStyle="1" w:styleId="Date1">
    <w:name w:val="Date1"/>
    <w:basedOn w:val="DefaultParagraphFont"/>
    <w:rsid w:val="003A5C4A"/>
  </w:style>
  <w:style w:type="character" w:customStyle="1" w:styleId="arttitle">
    <w:name w:val="art_title"/>
    <w:basedOn w:val="DefaultParagraphFont"/>
    <w:rsid w:val="003A5C4A"/>
  </w:style>
  <w:style w:type="character" w:customStyle="1" w:styleId="serialtitle">
    <w:name w:val="serial_title"/>
    <w:basedOn w:val="DefaultParagraphFont"/>
    <w:rsid w:val="003A5C4A"/>
  </w:style>
  <w:style w:type="character" w:customStyle="1" w:styleId="volumeissue">
    <w:name w:val="volume_issue"/>
    <w:basedOn w:val="DefaultParagraphFont"/>
    <w:rsid w:val="003A5C4A"/>
  </w:style>
  <w:style w:type="character" w:customStyle="1" w:styleId="pagerange">
    <w:name w:val="page_range"/>
    <w:basedOn w:val="DefaultParagraphFont"/>
    <w:rsid w:val="003A5C4A"/>
  </w:style>
  <w:style w:type="character" w:customStyle="1" w:styleId="doilink">
    <w:name w:val="doi_link"/>
    <w:basedOn w:val="DefaultParagraphFont"/>
    <w:rsid w:val="003A5C4A"/>
  </w:style>
  <w:style w:type="character" w:customStyle="1" w:styleId="scxw219621689">
    <w:name w:val="scxw219621689"/>
    <w:basedOn w:val="DefaultParagraphFont"/>
    <w:rsid w:val="003A5C4A"/>
  </w:style>
  <w:style w:type="paragraph" w:styleId="Quote">
    <w:name w:val="Quote"/>
    <w:basedOn w:val="Normal"/>
    <w:next w:val="Normal"/>
    <w:link w:val="QuoteChar"/>
    <w:autoRedefine/>
    <w:uiPriority w:val="29"/>
    <w:qFormat/>
    <w:rsid w:val="003A5C4A"/>
    <w:pPr>
      <w:spacing w:before="200" w:after="160" w:line="276" w:lineRule="auto"/>
      <w:ind w:left="862" w:right="862"/>
    </w:pPr>
    <w:rPr>
      <w:rFonts w:ascii="Calibri" w:hAnsi="Calibri"/>
      <w:iCs/>
    </w:rPr>
  </w:style>
  <w:style w:type="character" w:customStyle="1" w:styleId="QuoteChar">
    <w:name w:val="Quote Char"/>
    <w:basedOn w:val="DefaultParagraphFont"/>
    <w:link w:val="Quote"/>
    <w:uiPriority w:val="29"/>
    <w:rsid w:val="003A5C4A"/>
    <w:rPr>
      <w:rFonts w:ascii="Calibri" w:eastAsia="Times New Roman" w:hAnsi="Calibri" w:cs="Times New Roman"/>
      <w:iCs/>
      <w:lang w:val="en-AU" w:bidi="en-US"/>
    </w:rPr>
  </w:style>
  <w:style w:type="paragraph" w:customStyle="1" w:styleId="dotpoints">
    <w:name w:val="dot points"/>
    <w:basedOn w:val="ListParagraph"/>
    <w:link w:val="dotpointsChar"/>
    <w:autoRedefine/>
    <w:qFormat/>
    <w:rsid w:val="00226424"/>
    <w:pPr>
      <w:widowControl/>
      <w:numPr>
        <w:numId w:val="6"/>
      </w:numPr>
      <w:autoSpaceDE/>
      <w:autoSpaceDN/>
      <w:spacing w:before="120" w:after="160" w:line="276" w:lineRule="auto"/>
      <w:contextualSpacing/>
    </w:pPr>
    <w:rPr>
      <w:rFonts w:ascii="Calibri" w:hAnsi="Calibri"/>
    </w:rPr>
  </w:style>
  <w:style w:type="paragraph" w:styleId="Subtitle">
    <w:name w:val="Subtitle"/>
    <w:basedOn w:val="Normal"/>
    <w:next w:val="Normal"/>
    <w:link w:val="SubtitleChar"/>
    <w:uiPriority w:val="11"/>
    <w:qFormat/>
    <w:rsid w:val="00FB5E9B"/>
    <w:pPr>
      <w:numPr>
        <w:ilvl w:val="1"/>
      </w:numPr>
      <w:spacing w:after="160"/>
    </w:pPr>
    <w:rPr>
      <w:rFonts w:asciiTheme="minorHAnsi" w:eastAsiaTheme="minorEastAsia" w:hAnsiTheme="minorHAnsi" w:cstheme="minorBidi"/>
      <w:spacing w:val="15"/>
      <w:sz w:val="18"/>
    </w:rPr>
  </w:style>
  <w:style w:type="character" w:customStyle="1" w:styleId="dotpointsChar">
    <w:name w:val="dot points Char"/>
    <w:basedOn w:val="ListParagraphChar"/>
    <w:link w:val="dotpoints"/>
    <w:rsid w:val="00226424"/>
    <w:rPr>
      <w:rFonts w:ascii="Calibri" w:eastAsia="Times New Roman" w:hAnsi="Calibri" w:cs="Times New Roman"/>
      <w:lang w:val="en-AU" w:bidi="en-US"/>
    </w:rPr>
  </w:style>
  <w:style w:type="character" w:customStyle="1" w:styleId="SubtitleChar">
    <w:name w:val="Subtitle Char"/>
    <w:basedOn w:val="DefaultParagraphFont"/>
    <w:link w:val="Subtitle"/>
    <w:uiPriority w:val="11"/>
    <w:rsid w:val="00FB5E9B"/>
    <w:rPr>
      <w:rFonts w:eastAsiaTheme="minorEastAsia"/>
      <w:spacing w:val="15"/>
      <w:sz w:val="18"/>
      <w:lang w:val="en-AU" w:bidi="en-US"/>
    </w:rPr>
  </w:style>
  <w:style w:type="table" w:styleId="PlainTable3">
    <w:name w:val="Plain Table 3"/>
    <w:basedOn w:val="TableNormal"/>
    <w:uiPriority w:val="43"/>
    <w:rsid w:val="00BB6DBF"/>
    <w:pPr>
      <w:widowControl/>
      <w:autoSpaceDE/>
      <w:autoSpaceDN/>
    </w:pPr>
    <w:rPr>
      <w:lang w:val="en-AU"/>
    </w:rPr>
    <w:tblPr>
      <w:tblStyleRowBandSize w:val="1"/>
      <w:tblStyleColBandSize w:val="1"/>
    </w:tblPr>
    <w:tblStylePr w:type="firstRow">
      <w:rPr>
        <w:b/>
        <w:bCs/>
        <w:caps/>
      </w:rPr>
      <w:tblPr/>
      <w:tcPr>
        <w:tcBorders>
          <w:bottom w:val="single" w:sz="4" w:space="0" w:color="9F9EA1"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F9EA1"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numberedpoints">
    <w:name w:val="numbered points"/>
    <w:basedOn w:val="dotpoints"/>
    <w:link w:val="numberedpointsChar"/>
    <w:qFormat/>
    <w:rsid w:val="00101F63"/>
    <w:pPr>
      <w:numPr>
        <w:numId w:val="10"/>
      </w:numPr>
    </w:pPr>
  </w:style>
  <w:style w:type="character" w:customStyle="1" w:styleId="numberedpointsChar">
    <w:name w:val="numbered points Char"/>
    <w:basedOn w:val="dotpointsChar"/>
    <w:link w:val="numberedpoints"/>
    <w:rsid w:val="0003529A"/>
    <w:rPr>
      <w:rFonts w:ascii="Calibri" w:eastAsia="Times New Roman" w:hAnsi="Calibri" w:cs="Times New Roman"/>
      <w:lang w:val="en-AU" w:bidi="en-US"/>
    </w:rPr>
  </w:style>
  <w:style w:type="table" w:styleId="ListTable3-Accent4">
    <w:name w:val="List Table 3 Accent 4"/>
    <w:basedOn w:val="TableNormal"/>
    <w:uiPriority w:val="48"/>
    <w:rsid w:val="009C7750"/>
    <w:tblPr>
      <w:tblStyleRowBandSize w:val="1"/>
      <w:tblStyleColBandSize w:val="1"/>
      <w:tblBorders>
        <w:top w:val="single" w:sz="4" w:space="0" w:color="25408F" w:themeColor="accent4"/>
        <w:left w:val="single" w:sz="4" w:space="0" w:color="25408F" w:themeColor="accent4"/>
        <w:bottom w:val="single" w:sz="4" w:space="0" w:color="25408F" w:themeColor="accent4"/>
        <w:right w:val="single" w:sz="4" w:space="0" w:color="25408F" w:themeColor="accent4"/>
      </w:tblBorders>
    </w:tblPr>
    <w:tblStylePr w:type="firstRow">
      <w:rPr>
        <w:b/>
        <w:bCs/>
        <w:color w:val="FFFFFF" w:themeColor="background1"/>
      </w:rPr>
      <w:tblPr/>
      <w:tcPr>
        <w:shd w:val="clear" w:color="auto" w:fill="25408F" w:themeFill="accent4"/>
      </w:tcPr>
    </w:tblStylePr>
    <w:tblStylePr w:type="lastRow">
      <w:rPr>
        <w:b/>
        <w:bCs/>
      </w:rPr>
      <w:tblPr/>
      <w:tcPr>
        <w:tcBorders>
          <w:top w:val="double" w:sz="4" w:space="0" w:color="25408F"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5408F" w:themeColor="accent4"/>
          <w:right w:val="single" w:sz="4" w:space="0" w:color="25408F" w:themeColor="accent4"/>
        </w:tcBorders>
      </w:tcPr>
    </w:tblStylePr>
    <w:tblStylePr w:type="band1Horz">
      <w:tblPr/>
      <w:tcPr>
        <w:tcBorders>
          <w:top w:val="single" w:sz="4" w:space="0" w:color="25408F" w:themeColor="accent4"/>
          <w:bottom w:val="single" w:sz="4" w:space="0" w:color="25408F"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5408F" w:themeColor="accent4"/>
          <w:left w:val="nil"/>
        </w:tcBorders>
      </w:tcPr>
    </w:tblStylePr>
    <w:tblStylePr w:type="swCell">
      <w:tblPr/>
      <w:tcPr>
        <w:tcBorders>
          <w:top w:val="double" w:sz="4" w:space="0" w:color="25408F" w:themeColor="accent4"/>
          <w:right w:val="nil"/>
        </w:tcBorders>
      </w:tcPr>
    </w:tblStylePr>
  </w:style>
  <w:style w:type="paragraph" w:customStyle="1" w:styleId="Sourcenote">
    <w:name w:val="Source note"/>
    <w:basedOn w:val="Subtitle"/>
    <w:link w:val="SourcenoteChar"/>
    <w:qFormat/>
    <w:rsid w:val="00AA0000"/>
    <w:pPr>
      <w:spacing w:after="0" w:line="264" w:lineRule="auto"/>
      <w:ind w:left="22"/>
      <w:contextualSpacing/>
    </w:pPr>
    <w:rPr>
      <w:rFonts w:cstheme="minorHAnsi"/>
      <w:sz w:val="16"/>
      <w:szCs w:val="20"/>
    </w:rPr>
  </w:style>
  <w:style w:type="character" w:customStyle="1" w:styleId="SourcenoteChar">
    <w:name w:val="Source note Char"/>
    <w:basedOn w:val="SubtitleChar"/>
    <w:link w:val="Sourcenote"/>
    <w:rsid w:val="00AA0000"/>
    <w:rPr>
      <w:rFonts w:eastAsiaTheme="minorEastAsia" w:cstheme="minorHAnsi"/>
      <w:spacing w:val="15"/>
      <w:sz w:val="16"/>
      <w:szCs w:val="20"/>
      <w:lang w:val="en-AU" w:bidi="en-US"/>
    </w:rPr>
  </w:style>
  <w:style w:type="paragraph" w:customStyle="1" w:styleId="Tabledotpoint">
    <w:name w:val="Table dot point"/>
    <w:basedOn w:val="Normal4"/>
    <w:link w:val="TabledotpointChar"/>
    <w:qFormat/>
    <w:rsid w:val="00AA0000"/>
    <w:pPr>
      <w:numPr>
        <w:numId w:val="13"/>
      </w:numPr>
      <w:spacing w:before="0" w:after="0" w:line="264" w:lineRule="auto"/>
      <w:ind w:left="319" w:hanging="297"/>
      <w:contextualSpacing/>
    </w:pPr>
    <w:rPr>
      <w:sz w:val="20"/>
    </w:rPr>
  </w:style>
  <w:style w:type="character" w:customStyle="1" w:styleId="TabledotpointChar">
    <w:name w:val="Table dot point Char"/>
    <w:basedOn w:val="Normal4Char"/>
    <w:link w:val="Tabledotpoint"/>
    <w:rsid w:val="00AA0000"/>
    <w:rPr>
      <w:rFonts w:cs="Arial"/>
      <w:sz w:val="20"/>
      <w:shd w:val="clear" w:color="auto" w:fill="FFFFFF" w:themeFill="background1"/>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448321">
      <w:bodyDiv w:val="1"/>
      <w:marLeft w:val="0"/>
      <w:marRight w:val="0"/>
      <w:marTop w:val="0"/>
      <w:marBottom w:val="0"/>
      <w:divBdr>
        <w:top w:val="none" w:sz="0" w:space="0" w:color="auto"/>
        <w:left w:val="none" w:sz="0" w:space="0" w:color="auto"/>
        <w:bottom w:val="none" w:sz="0" w:space="0" w:color="auto"/>
        <w:right w:val="none" w:sz="0" w:space="0" w:color="auto"/>
      </w:divBdr>
    </w:div>
    <w:div w:id="55056586">
      <w:bodyDiv w:val="1"/>
      <w:marLeft w:val="0"/>
      <w:marRight w:val="0"/>
      <w:marTop w:val="0"/>
      <w:marBottom w:val="0"/>
      <w:divBdr>
        <w:top w:val="none" w:sz="0" w:space="0" w:color="auto"/>
        <w:left w:val="none" w:sz="0" w:space="0" w:color="auto"/>
        <w:bottom w:val="none" w:sz="0" w:space="0" w:color="auto"/>
        <w:right w:val="none" w:sz="0" w:space="0" w:color="auto"/>
      </w:divBdr>
    </w:div>
    <w:div w:id="135220810">
      <w:bodyDiv w:val="1"/>
      <w:marLeft w:val="0"/>
      <w:marRight w:val="0"/>
      <w:marTop w:val="0"/>
      <w:marBottom w:val="0"/>
      <w:divBdr>
        <w:top w:val="none" w:sz="0" w:space="0" w:color="auto"/>
        <w:left w:val="none" w:sz="0" w:space="0" w:color="auto"/>
        <w:bottom w:val="none" w:sz="0" w:space="0" w:color="auto"/>
        <w:right w:val="none" w:sz="0" w:space="0" w:color="auto"/>
      </w:divBdr>
      <w:divsChild>
        <w:div w:id="1640500332">
          <w:marLeft w:val="547"/>
          <w:marRight w:val="0"/>
          <w:marTop w:val="0"/>
          <w:marBottom w:val="0"/>
          <w:divBdr>
            <w:top w:val="none" w:sz="0" w:space="0" w:color="auto"/>
            <w:left w:val="none" w:sz="0" w:space="0" w:color="auto"/>
            <w:bottom w:val="none" w:sz="0" w:space="0" w:color="auto"/>
            <w:right w:val="none" w:sz="0" w:space="0" w:color="auto"/>
          </w:divBdr>
        </w:div>
      </w:divsChild>
    </w:div>
    <w:div w:id="164899748">
      <w:bodyDiv w:val="1"/>
      <w:marLeft w:val="0"/>
      <w:marRight w:val="0"/>
      <w:marTop w:val="0"/>
      <w:marBottom w:val="0"/>
      <w:divBdr>
        <w:top w:val="none" w:sz="0" w:space="0" w:color="auto"/>
        <w:left w:val="none" w:sz="0" w:space="0" w:color="auto"/>
        <w:bottom w:val="none" w:sz="0" w:space="0" w:color="auto"/>
        <w:right w:val="none" w:sz="0" w:space="0" w:color="auto"/>
      </w:divBdr>
    </w:div>
    <w:div w:id="276837571">
      <w:bodyDiv w:val="1"/>
      <w:marLeft w:val="0"/>
      <w:marRight w:val="0"/>
      <w:marTop w:val="0"/>
      <w:marBottom w:val="0"/>
      <w:divBdr>
        <w:top w:val="none" w:sz="0" w:space="0" w:color="auto"/>
        <w:left w:val="none" w:sz="0" w:space="0" w:color="auto"/>
        <w:bottom w:val="none" w:sz="0" w:space="0" w:color="auto"/>
        <w:right w:val="none" w:sz="0" w:space="0" w:color="auto"/>
      </w:divBdr>
    </w:div>
    <w:div w:id="340855288">
      <w:bodyDiv w:val="1"/>
      <w:marLeft w:val="0"/>
      <w:marRight w:val="0"/>
      <w:marTop w:val="0"/>
      <w:marBottom w:val="0"/>
      <w:divBdr>
        <w:top w:val="none" w:sz="0" w:space="0" w:color="auto"/>
        <w:left w:val="none" w:sz="0" w:space="0" w:color="auto"/>
        <w:bottom w:val="none" w:sz="0" w:space="0" w:color="auto"/>
        <w:right w:val="none" w:sz="0" w:space="0" w:color="auto"/>
      </w:divBdr>
      <w:divsChild>
        <w:div w:id="720983443">
          <w:marLeft w:val="0"/>
          <w:marRight w:val="0"/>
          <w:marTop w:val="0"/>
          <w:marBottom w:val="0"/>
          <w:divBdr>
            <w:top w:val="none" w:sz="0" w:space="0" w:color="auto"/>
            <w:left w:val="none" w:sz="0" w:space="0" w:color="auto"/>
            <w:bottom w:val="none" w:sz="0" w:space="0" w:color="auto"/>
            <w:right w:val="none" w:sz="0" w:space="0" w:color="auto"/>
          </w:divBdr>
        </w:div>
      </w:divsChild>
    </w:div>
    <w:div w:id="364643529">
      <w:bodyDiv w:val="1"/>
      <w:marLeft w:val="0"/>
      <w:marRight w:val="0"/>
      <w:marTop w:val="0"/>
      <w:marBottom w:val="0"/>
      <w:divBdr>
        <w:top w:val="none" w:sz="0" w:space="0" w:color="auto"/>
        <w:left w:val="none" w:sz="0" w:space="0" w:color="auto"/>
        <w:bottom w:val="none" w:sz="0" w:space="0" w:color="auto"/>
        <w:right w:val="none" w:sz="0" w:space="0" w:color="auto"/>
      </w:divBdr>
    </w:div>
    <w:div w:id="633102173">
      <w:bodyDiv w:val="1"/>
      <w:marLeft w:val="0"/>
      <w:marRight w:val="0"/>
      <w:marTop w:val="0"/>
      <w:marBottom w:val="0"/>
      <w:divBdr>
        <w:top w:val="none" w:sz="0" w:space="0" w:color="auto"/>
        <w:left w:val="none" w:sz="0" w:space="0" w:color="auto"/>
        <w:bottom w:val="none" w:sz="0" w:space="0" w:color="auto"/>
        <w:right w:val="none" w:sz="0" w:space="0" w:color="auto"/>
      </w:divBdr>
    </w:div>
    <w:div w:id="649947636">
      <w:bodyDiv w:val="1"/>
      <w:marLeft w:val="0"/>
      <w:marRight w:val="0"/>
      <w:marTop w:val="0"/>
      <w:marBottom w:val="0"/>
      <w:divBdr>
        <w:top w:val="none" w:sz="0" w:space="0" w:color="auto"/>
        <w:left w:val="none" w:sz="0" w:space="0" w:color="auto"/>
        <w:bottom w:val="none" w:sz="0" w:space="0" w:color="auto"/>
        <w:right w:val="none" w:sz="0" w:space="0" w:color="auto"/>
      </w:divBdr>
      <w:divsChild>
        <w:div w:id="107745028">
          <w:marLeft w:val="0"/>
          <w:marRight w:val="0"/>
          <w:marTop w:val="0"/>
          <w:marBottom w:val="0"/>
          <w:divBdr>
            <w:top w:val="none" w:sz="0" w:space="0" w:color="auto"/>
            <w:left w:val="none" w:sz="0" w:space="0" w:color="auto"/>
            <w:bottom w:val="none" w:sz="0" w:space="0" w:color="auto"/>
            <w:right w:val="none" w:sz="0" w:space="0" w:color="auto"/>
          </w:divBdr>
          <w:divsChild>
            <w:div w:id="1360082324">
              <w:marLeft w:val="0"/>
              <w:marRight w:val="0"/>
              <w:marTop w:val="30"/>
              <w:marBottom w:val="30"/>
              <w:divBdr>
                <w:top w:val="none" w:sz="0" w:space="0" w:color="auto"/>
                <w:left w:val="none" w:sz="0" w:space="0" w:color="auto"/>
                <w:bottom w:val="none" w:sz="0" w:space="0" w:color="auto"/>
                <w:right w:val="none" w:sz="0" w:space="0" w:color="auto"/>
              </w:divBdr>
              <w:divsChild>
                <w:div w:id="54593191">
                  <w:marLeft w:val="0"/>
                  <w:marRight w:val="0"/>
                  <w:marTop w:val="0"/>
                  <w:marBottom w:val="0"/>
                  <w:divBdr>
                    <w:top w:val="none" w:sz="0" w:space="0" w:color="auto"/>
                    <w:left w:val="none" w:sz="0" w:space="0" w:color="auto"/>
                    <w:bottom w:val="none" w:sz="0" w:space="0" w:color="auto"/>
                    <w:right w:val="none" w:sz="0" w:space="0" w:color="auto"/>
                  </w:divBdr>
                  <w:divsChild>
                    <w:div w:id="1876040869">
                      <w:marLeft w:val="0"/>
                      <w:marRight w:val="0"/>
                      <w:marTop w:val="0"/>
                      <w:marBottom w:val="0"/>
                      <w:divBdr>
                        <w:top w:val="none" w:sz="0" w:space="0" w:color="auto"/>
                        <w:left w:val="none" w:sz="0" w:space="0" w:color="auto"/>
                        <w:bottom w:val="none" w:sz="0" w:space="0" w:color="auto"/>
                        <w:right w:val="none" w:sz="0" w:space="0" w:color="auto"/>
                      </w:divBdr>
                    </w:div>
                  </w:divsChild>
                </w:div>
                <w:div w:id="81219880">
                  <w:marLeft w:val="0"/>
                  <w:marRight w:val="0"/>
                  <w:marTop w:val="0"/>
                  <w:marBottom w:val="0"/>
                  <w:divBdr>
                    <w:top w:val="none" w:sz="0" w:space="0" w:color="auto"/>
                    <w:left w:val="none" w:sz="0" w:space="0" w:color="auto"/>
                    <w:bottom w:val="none" w:sz="0" w:space="0" w:color="auto"/>
                    <w:right w:val="none" w:sz="0" w:space="0" w:color="auto"/>
                  </w:divBdr>
                  <w:divsChild>
                    <w:div w:id="668870285">
                      <w:marLeft w:val="0"/>
                      <w:marRight w:val="0"/>
                      <w:marTop w:val="0"/>
                      <w:marBottom w:val="0"/>
                      <w:divBdr>
                        <w:top w:val="none" w:sz="0" w:space="0" w:color="auto"/>
                        <w:left w:val="none" w:sz="0" w:space="0" w:color="auto"/>
                        <w:bottom w:val="none" w:sz="0" w:space="0" w:color="auto"/>
                        <w:right w:val="none" w:sz="0" w:space="0" w:color="auto"/>
                      </w:divBdr>
                    </w:div>
                  </w:divsChild>
                </w:div>
                <w:div w:id="199827790">
                  <w:marLeft w:val="0"/>
                  <w:marRight w:val="0"/>
                  <w:marTop w:val="0"/>
                  <w:marBottom w:val="0"/>
                  <w:divBdr>
                    <w:top w:val="none" w:sz="0" w:space="0" w:color="auto"/>
                    <w:left w:val="none" w:sz="0" w:space="0" w:color="auto"/>
                    <w:bottom w:val="none" w:sz="0" w:space="0" w:color="auto"/>
                    <w:right w:val="none" w:sz="0" w:space="0" w:color="auto"/>
                  </w:divBdr>
                  <w:divsChild>
                    <w:div w:id="569536020">
                      <w:marLeft w:val="0"/>
                      <w:marRight w:val="0"/>
                      <w:marTop w:val="0"/>
                      <w:marBottom w:val="0"/>
                      <w:divBdr>
                        <w:top w:val="none" w:sz="0" w:space="0" w:color="auto"/>
                        <w:left w:val="none" w:sz="0" w:space="0" w:color="auto"/>
                        <w:bottom w:val="none" w:sz="0" w:space="0" w:color="auto"/>
                        <w:right w:val="none" w:sz="0" w:space="0" w:color="auto"/>
                      </w:divBdr>
                    </w:div>
                  </w:divsChild>
                </w:div>
                <w:div w:id="472453206">
                  <w:marLeft w:val="0"/>
                  <w:marRight w:val="0"/>
                  <w:marTop w:val="0"/>
                  <w:marBottom w:val="0"/>
                  <w:divBdr>
                    <w:top w:val="none" w:sz="0" w:space="0" w:color="auto"/>
                    <w:left w:val="none" w:sz="0" w:space="0" w:color="auto"/>
                    <w:bottom w:val="none" w:sz="0" w:space="0" w:color="auto"/>
                    <w:right w:val="none" w:sz="0" w:space="0" w:color="auto"/>
                  </w:divBdr>
                  <w:divsChild>
                    <w:div w:id="1052729678">
                      <w:marLeft w:val="0"/>
                      <w:marRight w:val="0"/>
                      <w:marTop w:val="0"/>
                      <w:marBottom w:val="0"/>
                      <w:divBdr>
                        <w:top w:val="none" w:sz="0" w:space="0" w:color="auto"/>
                        <w:left w:val="none" w:sz="0" w:space="0" w:color="auto"/>
                        <w:bottom w:val="none" w:sz="0" w:space="0" w:color="auto"/>
                        <w:right w:val="none" w:sz="0" w:space="0" w:color="auto"/>
                      </w:divBdr>
                    </w:div>
                  </w:divsChild>
                </w:div>
                <w:div w:id="485754463">
                  <w:marLeft w:val="0"/>
                  <w:marRight w:val="0"/>
                  <w:marTop w:val="0"/>
                  <w:marBottom w:val="0"/>
                  <w:divBdr>
                    <w:top w:val="none" w:sz="0" w:space="0" w:color="auto"/>
                    <w:left w:val="none" w:sz="0" w:space="0" w:color="auto"/>
                    <w:bottom w:val="none" w:sz="0" w:space="0" w:color="auto"/>
                    <w:right w:val="none" w:sz="0" w:space="0" w:color="auto"/>
                  </w:divBdr>
                  <w:divsChild>
                    <w:div w:id="570699136">
                      <w:marLeft w:val="0"/>
                      <w:marRight w:val="0"/>
                      <w:marTop w:val="0"/>
                      <w:marBottom w:val="0"/>
                      <w:divBdr>
                        <w:top w:val="none" w:sz="0" w:space="0" w:color="auto"/>
                        <w:left w:val="none" w:sz="0" w:space="0" w:color="auto"/>
                        <w:bottom w:val="none" w:sz="0" w:space="0" w:color="auto"/>
                        <w:right w:val="none" w:sz="0" w:space="0" w:color="auto"/>
                      </w:divBdr>
                    </w:div>
                  </w:divsChild>
                </w:div>
                <w:div w:id="500197913">
                  <w:marLeft w:val="0"/>
                  <w:marRight w:val="0"/>
                  <w:marTop w:val="0"/>
                  <w:marBottom w:val="0"/>
                  <w:divBdr>
                    <w:top w:val="none" w:sz="0" w:space="0" w:color="auto"/>
                    <w:left w:val="none" w:sz="0" w:space="0" w:color="auto"/>
                    <w:bottom w:val="none" w:sz="0" w:space="0" w:color="auto"/>
                    <w:right w:val="none" w:sz="0" w:space="0" w:color="auto"/>
                  </w:divBdr>
                  <w:divsChild>
                    <w:div w:id="1475412209">
                      <w:marLeft w:val="0"/>
                      <w:marRight w:val="0"/>
                      <w:marTop w:val="0"/>
                      <w:marBottom w:val="0"/>
                      <w:divBdr>
                        <w:top w:val="none" w:sz="0" w:space="0" w:color="auto"/>
                        <w:left w:val="none" w:sz="0" w:space="0" w:color="auto"/>
                        <w:bottom w:val="none" w:sz="0" w:space="0" w:color="auto"/>
                        <w:right w:val="none" w:sz="0" w:space="0" w:color="auto"/>
                      </w:divBdr>
                    </w:div>
                  </w:divsChild>
                </w:div>
                <w:div w:id="706637196">
                  <w:marLeft w:val="0"/>
                  <w:marRight w:val="0"/>
                  <w:marTop w:val="0"/>
                  <w:marBottom w:val="0"/>
                  <w:divBdr>
                    <w:top w:val="none" w:sz="0" w:space="0" w:color="auto"/>
                    <w:left w:val="none" w:sz="0" w:space="0" w:color="auto"/>
                    <w:bottom w:val="none" w:sz="0" w:space="0" w:color="auto"/>
                    <w:right w:val="none" w:sz="0" w:space="0" w:color="auto"/>
                  </w:divBdr>
                  <w:divsChild>
                    <w:div w:id="1394356452">
                      <w:marLeft w:val="0"/>
                      <w:marRight w:val="0"/>
                      <w:marTop w:val="0"/>
                      <w:marBottom w:val="0"/>
                      <w:divBdr>
                        <w:top w:val="none" w:sz="0" w:space="0" w:color="auto"/>
                        <w:left w:val="none" w:sz="0" w:space="0" w:color="auto"/>
                        <w:bottom w:val="none" w:sz="0" w:space="0" w:color="auto"/>
                        <w:right w:val="none" w:sz="0" w:space="0" w:color="auto"/>
                      </w:divBdr>
                    </w:div>
                  </w:divsChild>
                </w:div>
                <w:div w:id="954218724">
                  <w:marLeft w:val="0"/>
                  <w:marRight w:val="0"/>
                  <w:marTop w:val="0"/>
                  <w:marBottom w:val="0"/>
                  <w:divBdr>
                    <w:top w:val="none" w:sz="0" w:space="0" w:color="auto"/>
                    <w:left w:val="none" w:sz="0" w:space="0" w:color="auto"/>
                    <w:bottom w:val="none" w:sz="0" w:space="0" w:color="auto"/>
                    <w:right w:val="none" w:sz="0" w:space="0" w:color="auto"/>
                  </w:divBdr>
                  <w:divsChild>
                    <w:div w:id="2136485459">
                      <w:marLeft w:val="0"/>
                      <w:marRight w:val="0"/>
                      <w:marTop w:val="0"/>
                      <w:marBottom w:val="0"/>
                      <w:divBdr>
                        <w:top w:val="none" w:sz="0" w:space="0" w:color="auto"/>
                        <w:left w:val="none" w:sz="0" w:space="0" w:color="auto"/>
                        <w:bottom w:val="none" w:sz="0" w:space="0" w:color="auto"/>
                        <w:right w:val="none" w:sz="0" w:space="0" w:color="auto"/>
                      </w:divBdr>
                    </w:div>
                  </w:divsChild>
                </w:div>
                <w:div w:id="976378846">
                  <w:marLeft w:val="0"/>
                  <w:marRight w:val="0"/>
                  <w:marTop w:val="0"/>
                  <w:marBottom w:val="0"/>
                  <w:divBdr>
                    <w:top w:val="none" w:sz="0" w:space="0" w:color="auto"/>
                    <w:left w:val="none" w:sz="0" w:space="0" w:color="auto"/>
                    <w:bottom w:val="none" w:sz="0" w:space="0" w:color="auto"/>
                    <w:right w:val="none" w:sz="0" w:space="0" w:color="auto"/>
                  </w:divBdr>
                  <w:divsChild>
                    <w:div w:id="2070879265">
                      <w:marLeft w:val="0"/>
                      <w:marRight w:val="0"/>
                      <w:marTop w:val="0"/>
                      <w:marBottom w:val="0"/>
                      <w:divBdr>
                        <w:top w:val="none" w:sz="0" w:space="0" w:color="auto"/>
                        <w:left w:val="none" w:sz="0" w:space="0" w:color="auto"/>
                        <w:bottom w:val="none" w:sz="0" w:space="0" w:color="auto"/>
                        <w:right w:val="none" w:sz="0" w:space="0" w:color="auto"/>
                      </w:divBdr>
                    </w:div>
                  </w:divsChild>
                </w:div>
                <w:div w:id="983005139">
                  <w:marLeft w:val="0"/>
                  <w:marRight w:val="0"/>
                  <w:marTop w:val="0"/>
                  <w:marBottom w:val="0"/>
                  <w:divBdr>
                    <w:top w:val="none" w:sz="0" w:space="0" w:color="auto"/>
                    <w:left w:val="none" w:sz="0" w:space="0" w:color="auto"/>
                    <w:bottom w:val="none" w:sz="0" w:space="0" w:color="auto"/>
                    <w:right w:val="none" w:sz="0" w:space="0" w:color="auto"/>
                  </w:divBdr>
                  <w:divsChild>
                    <w:div w:id="378210573">
                      <w:marLeft w:val="0"/>
                      <w:marRight w:val="0"/>
                      <w:marTop w:val="0"/>
                      <w:marBottom w:val="0"/>
                      <w:divBdr>
                        <w:top w:val="none" w:sz="0" w:space="0" w:color="auto"/>
                        <w:left w:val="none" w:sz="0" w:space="0" w:color="auto"/>
                        <w:bottom w:val="none" w:sz="0" w:space="0" w:color="auto"/>
                        <w:right w:val="none" w:sz="0" w:space="0" w:color="auto"/>
                      </w:divBdr>
                    </w:div>
                  </w:divsChild>
                </w:div>
                <w:div w:id="1004012030">
                  <w:marLeft w:val="0"/>
                  <w:marRight w:val="0"/>
                  <w:marTop w:val="0"/>
                  <w:marBottom w:val="0"/>
                  <w:divBdr>
                    <w:top w:val="none" w:sz="0" w:space="0" w:color="auto"/>
                    <w:left w:val="none" w:sz="0" w:space="0" w:color="auto"/>
                    <w:bottom w:val="none" w:sz="0" w:space="0" w:color="auto"/>
                    <w:right w:val="none" w:sz="0" w:space="0" w:color="auto"/>
                  </w:divBdr>
                  <w:divsChild>
                    <w:div w:id="1421678842">
                      <w:marLeft w:val="0"/>
                      <w:marRight w:val="0"/>
                      <w:marTop w:val="0"/>
                      <w:marBottom w:val="0"/>
                      <w:divBdr>
                        <w:top w:val="none" w:sz="0" w:space="0" w:color="auto"/>
                        <w:left w:val="none" w:sz="0" w:space="0" w:color="auto"/>
                        <w:bottom w:val="none" w:sz="0" w:space="0" w:color="auto"/>
                        <w:right w:val="none" w:sz="0" w:space="0" w:color="auto"/>
                      </w:divBdr>
                    </w:div>
                  </w:divsChild>
                </w:div>
                <w:div w:id="1151555507">
                  <w:marLeft w:val="0"/>
                  <w:marRight w:val="0"/>
                  <w:marTop w:val="0"/>
                  <w:marBottom w:val="0"/>
                  <w:divBdr>
                    <w:top w:val="none" w:sz="0" w:space="0" w:color="auto"/>
                    <w:left w:val="none" w:sz="0" w:space="0" w:color="auto"/>
                    <w:bottom w:val="none" w:sz="0" w:space="0" w:color="auto"/>
                    <w:right w:val="none" w:sz="0" w:space="0" w:color="auto"/>
                  </w:divBdr>
                  <w:divsChild>
                    <w:div w:id="710037621">
                      <w:marLeft w:val="0"/>
                      <w:marRight w:val="0"/>
                      <w:marTop w:val="0"/>
                      <w:marBottom w:val="0"/>
                      <w:divBdr>
                        <w:top w:val="none" w:sz="0" w:space="0" w:color="auto"/>
                        <w:left w:val="none" w:sz="0" w:space="0" w:color="auto"/>
                        <w:bottom w:val="none" w:sz="0" w:space="0" w:color="auto"/>
                        <w:right w:val="none" w:sz="0" w:space="0" w:color="auto"/>
                      </w:divBdr>
                    </w:div>
                  </w:divsChild>
                </w:div>
                <w:div w:id="1379478446">
                  <w:marLeft w:val="0"/>
                  <w:marRight w:val="0"/>
                  <w:marTop w:val="0"/>
                  <w:marBottom w:val="0"/>
                  <w:divBdr>
                    <w:top w:val="none" w:sz="0" w:space="0" w:color="auto"/>
                    <w:left w:val="none" w:sz="0" w:space="0" w:color="auto"/>
                    <w:bottom w:val="none" w:sz="0" w:space="0" w:color="auto"/>
                    <w:right w:val="none" w:sz="0" w:space="0" w:color="auto"/>
                  </w:divBdr>
                  <w:divsChild>
                    <w:div w:id="1817406187">
                      <w:marLeft w:val="0"/>
                      <w:marRight w:val="0"/>
                      <w:marTop w:val="0"/>
                      <w:marBottom w:val="0"/>
                      <w:divBdr>
                        <w:top w:val="none" w:sz="0" w:space="0" w:color="auto"/>
                        <w:left w:val="none" w:sz="0" w:space="0" w:color="auto"/>
                        <w:bottom w:val="none" w:sz="0" w:space="0" w:color="auto"/>
                        <w:right w:val="none" w:sz="0" w:space="0" w:color="auto"/>
                      </w:divBdr>
                    </w:div>
                  </w:divsChild>
                </w:div>
                <w:div w:id="1456679268">
                  <w:marLeft w:val="0"/>
                  <w:marRight w:val="0"/>
                  <w:marTop w:val="0"/>
                  <w:marBottom w:val="0"/>
                  <w:divBdr>
                    <w:top w:val="none" w:sz="0" w:space="0" w:color="auto"/>
                    <w:left w:val="none" w:sz="0" w:space="0" w:color="auto"/>
                    <w:bottom w:val="none" w:sz="0" w:space="0" w:color="auto"/>
                    <w:right w:val="none" w:sz="0" w:space="0" w:color="auto"/>
                  </w:divBdr>
                  <w:divsChild>
                    <w:div w:id="205532145">
                      <w:marLeft w:val="0"/>
                      <w:marRight w:val="0"/>
                      <w:marTop w:val="0"/>
                      <w:marBottom w:val="0"/>
                      <w:divBdr>
                        <w:top w:val="none" w:sz="0" w:space="0" w:color="auto"/>
                        <w:left w:val="none" w:sz="0" w:space="0" w:color="auto"/>
                        <w:bottom w:val="none" w:sz="0" w:space="0" w:color="auto"/>
                        <w:right w:val="none" w:sz="0" w:space="0" w:color="auto"/>
                      </w:divBdr>
                    </w:div>
                  </w:divsChild>
                </w:div>
                <w:div w:id="1523662476">
                  <w:marLeft w:val="0"/>
                  <w:marRight w:val="0"/>
                  <w:marTop w:val="0"/>
                  <w:marBottom w:val="0"/>
                  <w:divBdr>
                    <w:top w:val="none" w:sz="0" w:space="0" w:color="auto"/>
                    <w:left w:val="none" w:sz="0" w:space="0" w:color="auto"/>
                    <w:bottom w:val="none" w:sz="0" w:space="0" w:color="auto"/>
                    <w:right w:val="none" w:sz="0" w:space="0" w:color="auto"/>
                  </w:divBdr>
                  <w:divsChild>
                    <w:div w:id="1836803552">
                      <w:marLeft w:val="0"/>
                      <w:marRight w:val="0"/>
                      <w:marTop w:val="0"/>
                      <w:marBottom w:val="0"/>
                      <w:divBdr>
                        <w:top w:val="none" w:sz="0" w:space="0" w:color="auto"/>
                        <w:left w:val="none" w:sz="0" w:space="0" w:color="auto"/>
                        <w:bottom w:val="none" w:sz="0" w:space="0" w:color="auto"/>
                        <w:right w:val="none" w:sz="0" w:space="0" w:color="auto"/>
                      </w:divBdr>
                    </w:div>
                  </w:divsChild>
                </w:div>
                <w:div w:id="1530333812">
                  <w:marLeft w:val="0"/>
                  <w:marRight w:val="0"/>
                  <w:marTop w:val="0"/>
                  <w:marBottom w:val="0"/>
                  <w:divBdr>
                    <w:top w:val="none" w:sz="0" w:space="0" w:color="auto"/>
                    <w:left w:val="none" w:sz="0" w:space="0" w:color="auto"/>
                    <w:bottom w:val="none" w:sz="0" w:space="0" w:color="auto"/>
                    <w:right w:val="none" w:sz="0" w:space="0" w:color="auto"/>
                  </w:divBdr>
                  <w:divsChild>
                    <w:div w:id="1663701015">
                      <w:marLeft w:val="0"/>
                      <w:marRight w:val="0"/>
                      <w:marTop w:val="0"/>
                      <w:marBottom w:val="0"/>
                      <w:divBdr>
                        <w:top w:val="none" w:sz="0" w:space="0" w:color="auto"/>
                        <w:left w:val="none" w:sz="0" w:space="0" w:color="auto"/>
                        <w:bottom w:val="none" w:sz="0" w:space="0" w:color="auto"/>
                        <w:right w:val="none" w:sz="0" w:space="0" w:color="auto"/>
                      </w:divBdr>
                    </w:div>
                  </w:divsChild>
                </w:div>
                <w:div w:id="1539588554">
                  <w:marLeft w:val="0"/>
                  <w:marRight w:val="0"/>
                  <w:marTop w:val="0"/>
                  <w:marBottom w:val="0"/>
                  <w:divBdr>
                    <w:top w:val="none" w:sz="0" w:space="0" w:color="auto"/>
                    <w:left w:val="none" w:sz="0" w:space="0" w:color="auto"/>
                    <w:bottom w:val="none" w:sz="0" w:space="0" w:color="auto"/>
                    <w:right w:val="none" w:sz="0" w:space="0" w:color="auto"/>
                  </w:divBdr>
                  <w:divsChild>
                    <w:div w:id="895092562">
                      <w:marLeft w:val="0"/>
                      <w:marRight w:val="0"/>
                      <w:marTop w:val="0"/>
                      <w:marBottom w:val="0"/>
                      <w:divBdr>
                        <w:top w:val="none" w:sz="0" w:space="0" w:color="auto"/>
                        <w:left w:val="none" w:sz="0" w:space="0" w:color="auto"/>
                        <w:bottom w:val="none" w:sz="0" w:space="0" w:color="auto"/>
                        <w:right w:val="none" w:sz="0" w:space="0" w:color="auto"/>
                      </w:divBdr>
                    </w:div>
                  </w:divsChild>
                </w:div>
                <w:div w:id="1696691167">
                  <w:marLeft w:val="0"/>
                  <w:marRight w:val="0"/>
                  <w:marTop w:val="0"/>
                  <w:marBottom w:val="0"/>
                  <w:divBdr>
                    <w:top w:val="none" w:sz="0" w:space="0" w:color="auto"/>
                    <w:left w:val="none" w:sz="0" w:space="0" w:color="auto"/>
                    <w:bottom w:val="none" w:sz="0" w:space="0" w:color="auto"/>
                    <w:right w:val="none" w:sz="0" w:space="0" w:color="auto"/>
                  </w:divBdr>
                  <w:divsChild>
                    <w:div w:id="366181484">
                      <w:marLeft w:val="0"/>
                      <w:marRight w:val="0"/>
                      <w:marTop w:val="0"/>
                      <w:marBottom w:val="0"/>
                      <w:divBdr>
                        <w:top w:val="none" w:sz="0" w:space="0" w:color="auto"/>
                        <w:left w:val="none" w:sz="0" w:space="0" w:color="auto"/>
                        <w:bottom w:val="none" w:sz="0" w:space="0" w:color="auto"/>
                        <w:right w:val="none" w:sz="0" w:space="0" w:color="auto"/>
                      </w:divBdr>
                    </w:div>
                  </w:divsChild>
                </w:div>
                <w:div w:id="1719627509">
                  <w:marLeft w:val="0"/>
                  <w:marRight w:val="0"/>
                  <w:marTop w:val="0"/>
                  <w:marBottom w:val="0"/>
                  <w:divBdr>
                    <w:top w:val="none" w:sz="0" w:space="0" w:color="auto"/>
                    <w:left w:val="none" w:sz="0" w:space="0" w:color="auto"/>
                    <w:bottom w:val="none" w:sz="0" w:space="0" w:color="auto"/>
                    <w:right w:val="none" w:sz="0" w:space="0" w:color="auto"/>
                  </w:divBdr>
                  <w:divsChild>
                    <w:div w:id="830947705">
                      <w:marLeft w:val="0"/>
                      <w:marRight w:val="0"/>
                      <w:marTop w:val="0"/>
                      <w:marBottom w:val="0"/>
                      <w:divBdr>
                        <w:top w:val="none" w:sz="0" w:space="0" w:color="auto"/>
                        <w:left w:val="none" w:sz="0" w:space="0" w:color="auto"/>
                        <w:bottom w:val="none" w:sz="0" w:space="0" w:color="auto"/>
                        <w:right w:val="none" w:sz="0" w:space="0" w:color="auto"/>
                      </w:divBdr>
                    </w:div>
                  </w:divsChild>
                </w:div>
                <w:div w:id="1731075139">
                  <w:marLeft w:val="0"/>
                  <w:marRight w:val="0"/>
                  <w:marTop w:val="0"/>
                  <w:marBottom w:val="0"/>
                  <w:divBdr>
                    <w:top w:val="none" w:sz="0" w:space="0" w:color="auto"/>
                    <w:left w:val="none" w:sz="0" w:space="0" w:color="auto"/>
                    <w:bottom w:val="none" w:sz="0" w:space="0" w:color="auto"/>
                    <w:right w:val="none" w:sz="0" w:space="0" w:color="auto"/>
                  </w:divBdr>
                  <w:divsChild>
                    <w:div w:id="18556920">
                      <w:marLeft w:val="0"/>
                      <w:marRight w:val="0"/>
                      <w:marTop w:val="0"/>
                      <w:marBottom w:val="0"/>
                      <w:divBdr>
                        <w:top w:val="none" w:sz="0" w:space="0" w:color="auto"/>
                        <w:left w:val="none" w:sz="0" w:space="0" w:color="auto"/>
                        <w:bottom w:val="none" w:sz="0" w:space="0" w:color="auto"/>
                        <w:right w:val="none" w:sz="0" w:space="0" w:color="auto"/>
                      </w:divBdr>
                    </w:div>
                  </w:divsChild>
                </w:div>
                <w:div w:id="1836457104">
                  <w:marLeft w:val="0"/>
                  <w:marRight w:val="0"/>
                  <w:marTop w:val="0"/>
                  <w:marBottom w:val="0"/>
                  <w:divBdr>
                    <w:top w:val="none" w:sz="0" w:space="0" w:color="auto"/>
                    <w:left w:val="none" w:sz="0" w:space="0" w:color="auto"/>
                    <w:bottom w:val="none" w:sz="0" w:space="0" w:color="auto"/>
                    <w:right w:val="none" w:sz="0" w:space="0" w:color="auto"/>
                  </w:divBdr>
                  <w:divsChild>
                    <w:div w:id="985160930">
                      <w:marLeft w:val="0"/>
                      <w:marRight w:val="0"/>
                      <w:marTop w:val="0"/>
                      <w:marBottom w:val="0"/>
                      <w:divBdr>
                        <w:top w:val="none" w:sz="0" w:space="0" w:color="auto"/>
                        <w:left w:val="none" w:sz="0" w:space="0" w:color="auto"/>
                        <w:bottom w:val="none" w:sz="0" w:space="0" w:color="auto"/>
                        <w:right w:val="none" w:sz="0" w:space="0" w:color="auto"/>
                      </w:divBdr>
                    </w:div>
                  </w:divsChild>
                </w:div>
                <w:div w:id="1908565503">
                  <w:marLeft w:val="0"/>
                  <w:marRight w:val="0"/>
                  <w:marTop w:val="0"/>
                  <w:marBottom w:val="0"/>
                  <w:divBdr>
                    <w:top w:val="none" w:sz="0" w:space="0" w:color="auto"/>
                    <w:left w:val="none" w:sz="0" w:space="0" w:color="auto"/>
                    <w:bottom w:val="none" w:sz="0" w:space="0" w:color="auto"/>
                    <w:right w:val="none" w:sz="0" w:space="0" w:color="auto"/>
                  </w:divBdr>
                  <w:divsChild>
                    <w:div w:id="22218338">
                      <w:marLeft w:val="0"/>
                      <w:marRight w:val="0"/>
                      <w:marTop w:val="0"/>
                      <w:marBottom w:val="0"/>
                      <w:divBdr>
                        <w:top w:val="none" w:sz="0" w:space="0" w:color="auto"/>
                        <w:left w:val="none" w:sz="0" w:space="0" w:color="auto"/>
                        <w:bottom w:val="none" w:sz="0" w:space="0" w:color="auto"/>
                        <w:right w:val="none" w:sz="0" w:space="0" w:color="auto"/>
                      </w:divBdr>
                    </w:div>
                  </w:divsChild>
                </w:div>
                <w:div w:id="1960986918">
                  <w:marLeft w:val="0"/>
                  <w:marRight w:val="0"/>
                  <w:marTop w:val="0"/>
                  <w:marBottom w:val="0"/>
                  <w:divBdr>
                    <w:top w:val="none" w:sz="0" w:space="0" w:color="auto"/>
                    <w:left w:val="none" w:sz="0" w:space="0" w:color="auto"/>
                    <w:bottom w:val="none" w:sz="0" w:space="0" w:color="auto"/>
                    <w:right w:val="none" w:sz="0" w:space="0" w:color="auto"/>
                  </w:divBdr>
                  <w:divsChild>
                    <w:div w:id="1670598174">
                      <w:marLeft w:val="0"/>
                      <w:marRight w:val="0"/>
                      <w:marTop w:val="0"/>
                      <w:marBottom w:val="0"/>
                      <w:divBdr>
                        <w:top w:val="none" w:sz="0" w:space="0" w:color="auto"/>
                        <w:left w:val="none" w:sz="0" w:space="0" w:color="auto"/>
                        <w:bottom w:val="none" w:sz="0" w:space="0" w:color="auto"/>
                        <w:right w:val="none" w:sz="0" w:space="0" w:color="auto"/>
                      </w:divBdr>
                    </w:div>
                  </w:divsChild>
                </w:div>
                <w:div w:id="2000620126">
                  <w:marLeft w:val="0"/>
                  <w:marRight w:val="0"/>
                  <w:marTop w:val="0"/>
                  <w:marBottom w:val="0"/>
                  <w:divBdr>
                    <w:top w:val="none" w:sz="0" w:space="0" w:color="auto"/>
                    <w:left w:val="none" w:sz="0" w:space="0" w:color="auto"/>
                    <w:bottom w:val="none" w:sz="0" w:space="0" w:color="auto"/>
                    <w:right w:val="none" w:sz="0" w:space="0" w:color="auto"/>
                  </w:divBdr>
                  <w:divsChild>
                    <w:div w:id="1423376557">
                      <w:marLeft w:val="0"/>
                      <w:marRight w:val="0"/>
                      <w:marTop w:val="0"/>
                      <w:marBottom w:val="0"/>
                      <w:divBdr>
                        <w:top w:val="none" w:sz="0" w:space="0" w:color="auto"/>
                        <w:left w:val="none" w:sz="0" w:space="0" w:color="auto"/>
                        <w:bottom w:val="none" w:sz="0" w:space="0" w:color="auto"/>
                        <w:right w:val="none" w:sz="0" w:space="0" w:color="auto"/>
                      </w:divBdr>
                    </w:div>
                  </w:divsChild>
                </w:div>
                <w:div w:id="2002809932">
                  <w:marLeft w:val="0"/>
                  <w:marRight w:val="0"/>
                  <w:marTop w:val="0"/>
                  <w:marBottom w:val="0"/>
                  <w:divBdr>
                    <w:top w:val="none" w:sz="0" w:space="0" w:color="auto"/>
                    <w:left w:val="none" w:sz="0" w:space="0" w:color="auto"/>
                    <w:bottom w:val="none" w:sz="0" w:space="0" w:color="auto"/>
                    <w:right w:val="none" w:sz="0" w:space="0" w:color="auto"/>
                  </w:divBdr>
                  <w:divsChild>
                    <w:div w:id="1580015408">
                      <w:marLeft w:val="0"/>
                      <w:marRight w:val="0"/>
                      <w:marTop w:val="0"/>
                      <w:marBottom w:val="0"/>
                      <w:divBdr>
                        <w:top w:val="none" w:sz="0" w:space="0" w:color="auto"/>
                        <w:left w:val="none" w:sz="0" w:space="0" w:color="auto"/>
                        <w:bottom w:val="none" w:sz="0" w:space="0" w:color="auto"/>
                        <w:right w:val="none" w:sz="0" w:space="0" w:color="auto"/>
                      </w:divBdr>
                    </w:div>
                  </w:divsChild>
                </w:div>
                <w:div w:id="2012952491">
                  <w:marLeft w:val="0"/>
                  <w:marRight w:val="0"/>
                  <w:marTop w:val="0"/>
                  <w:marBottom w:val="0"/>
                  <w:divBdr>
                    <w:top w:val="none" w:sz="0" w:space="0" w:color="auto"/>
                    <w:left w:val="none" w:sz="0" w:space="0" w:color="auto"/>
                    <w:bottom w:val="none" w:sz="0" w:space="0" w:color="auto"/>
                    <w:right w:val="none" w:sz="0" w:space="0" w:color="auto"/>
                  </w:divBdr>
                  <w:divsChild>
                    <w:div w:id="903178160">
                      <w:marLeft w:val="0"/>
                      <w:marRight w:val="0"/>
                      <w:marTop w:val="0"/>
                      <w:marBottom w:val="0"/>
                      <w:divBdr>
                        <w:top w:val="none" w:sz="0" w:space="0" w:color="auto"/>
                        <w:left w:val="none" w:sz="0" w:space="0" w:color="auto"/>
                        <w:bottom w:val="none" w:sz="0" w:space="0" w:color="auto"/>
                        <w:right w:val="none" w:sz="0" w:space="0" w:color="auto"/>
                      </w:divBdr>
                    </w:div>
                  </w:divsChild>
                </w:div>
                <w:div w:id="2124759316">
                  <w:marLeft w:val="0"/>
                  <w:marRight w:val="0"/>
                  <w:marTop w:val="0"/>
                  <w:marBottom w:val="0"/>
                  <w:divBdr>
                    <w:top w:val="none" w:sz="0" w:space="0" w:color="auto"/>
                    <w:left w:val="none" w:sz="0" w:space="0" w:color="auto"/>
                    <w:bottom w:val="none" w:sz="0" w:space="0" w:color="auto"/>
                    <w:right w:val="none" w:sz="0" w:space="0" w:color="auto"/>
                  </w:divBdr>
                  <w:divsChild>
                    <w:div w:id="1700276800">
                      <w:marLeft w:val="0"/>
                      <w:marRight w:val="0"/>
                      <w:marTop w:val="0"/>
                      <w:marBottom w:val="0"/>
                      <w:divBdr>
                        <w:top w:val="none" w:sz="0" w:space="0" w:color="auto"/>
                        <w:left w:val="none" w:sz="0" w:space="0" w:color="auto"/>
                        <w:bottom w:val="none" w:sz="0" w:space="0" w:color="auto"/>
                        <w:right w:val="none" w:sz="0" w:space="0" w:color="auto"/>
                      </w:divBdr>
                    </w:div>
                  </w:divsChild>
                </w:div>
                <w:div w:id="2127263371">
                  <w:marLeft w:val="0"/>
                  <w:marRight w:val="0"/>
                  <w:marTop w:val="0"/>
                  <w:marBottom w:val="0"/>
                  <w:divBdr>
                    <w:top w:val="none" w:sz="0" w:space="0" w:color="auto"/>
                    <w:left w:val="none" w:sz="0" w:space="0" w:color="auto"/>
                    <w:bottom w:val="none" w:sz="0" w:space="0" w:color="auto"/>
                    <w:right w:val="none" w:sz="0" w:space="0" w:color="auto"/>
                  </w:divBdr>
                  <w:divsChild>
                    <w:div w:id="26431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789720">
          <w:marLeft w:val="0"/>
          <w:marRight w:val="0"/>
          <w:marTop w:val="0"/>
          <w:marBottom w:val="0"/>
          <w:divBdr>
            <w:top w:val="none" w:sz="0" w:space="0" w:color="auto"/>
            <w:left w:val="none" w:sz="0" w:space="0" w:color="auto"/>
            <w:bottom w:val="none" w:sz="0" w:space="0" w:color="auto"/>
            <w:right w:val="none" w:sz="0" w:space="0" w:color="auto"/>
          </w:divBdr>
        </w:div>
        <w:div w:id="1093277564">
          <w:marLeft w:val="0"/>
          <w:marRight w:val="0"/>
          <w:marTop w:val="0"/>
          <w:marBottom w:val="0"/>
          <w:divBdr>
            <w:top w:val="none" w:sz="0" w:space="0" w:color="auto"/>
            <w:left w:val="none" w:sz="0" w:space="0" w:color="auto"/>
            <w:bottom w:val="none" w:sz="0" w:space="0" w:color="auto"/>
            <w:right w:val="none" w:sz="0" w:space="0" w:color="auto"/>
          </w:divBdr>
          <w:divsChild>
            <w:div w:id="148644013">
              <w:marLeft w:val="0"/>
              <w:marRight w:val="0"/>
              <w:marTop w:val="0"/>
              <w:marBottom w:val="0"/>
              <w:divBdr>
                <w:top w:val="none" w:sz="0" w:space="0" w:color="auto"/>
                <w:left w:val="none" w:sz="0" w:space="0" w:color="auto"/>
                <w:bottom w:val="none" w:sz="0" w:space="0" w:color="auto"/>
                <w:right w:val="none" w:sz="0" w:space="0" w:color="auto"/>
              </w:divBdr>
            </w:div>
            <w:div w:id="1266885291">
              <w:marLeft w:val="0"/>
              <w:marRight w:val="0"/>
              <w:marTop w:val="0"/>
              <w:marBottom w:val="0"/>
              <w:divBdr>
                <w:top w:val="none" w:sz="0" w:space="0" w:color="auto"/>
                <w:left w:val="none" w:sz="0" w:space="0" w:color="auto"/>
                <w:bottom w:val="none" w:sz="0" w:space="0" w:color="auto"/>
                <w:right w:val="none" w:sz="0" w:space="0" w:color="auto"/>
              </w:divBdr>
            </w:div>
            <w:div w:id="1331566323">
              <w:marLeft w:val="0"/>
              <w:marRight w:val="0"/>
              <w:marTop w:val="0"/>
              <w:marBottom w:val="0"/>
              <w:divBdr>
                <w:top w:val="none" w:sz="0" w:space="0" w:color="auto"/>
                <w:left w:val="none" w:sz="0" w:space="0" w:color="auto"/>
                <w:bottom w:val="none" w:sz="0" w:space="0" w:color="auto"/>
                <w:right w:val="none" w:sz="0" w:space="0" w:color="auto"/>
              </w:divBdr>
            </w:div>
            <w:div w:id="2145156850">
              <w:marLeft w:val="0"/>
              <w:marRight w:val="0"/>
              <w:marTop w:val="0"/>
              <w:marBottom w:val="0"/>
              <w:divBdr>
                <w:top w:val="none" w:sz="0" w:space="0" w:color="auto"/>
                <w:left w:val="none" w:sz="0" w:space="0" w:color="auto"/>
                <w:bottom w:val="none" w:sz="0" w:space="0" w:color="auto"/>
                <w:right w:val="none" w:sz="0" w:space="0" w:color="auto"/>
              </w:divBdr>
            </w:div>
          </w:divsChild>
        </w:div>
        <w:div w:id="1099525001">
          <w:marLeft w:val="0"/>
          <w:marRight w:val="0"/>
          <w:marTop w:val="0"/>
          <w:marBottom w:val="0"/>
          <w:divBdr>
            <w:top w:val="none" w:sz="0" w:space="0" w:color="auto"/>
            <w:left w:val="none" w:sz="0" w:space="0" w:color="auto"/>
            <w:bottom w:val="none" w:sz="0" w:space="0" w:color="auto"/>
            <w:right w:val="none" w:sz="0" w:space="0" w:color="auto"/>
          </w:divBdr>
        </w:div>
      </w:divsChild>
    </w:div>
    <w:div w:id="662010371">
      <w:bodyDiv w:val="1"/>
      <w:marLeft w:val="0"/>
      <w:marRight w:val="0"/>
      <w:marTop w:val="0"/>
      <w:marBottom w:val="0"/>
      <w:divBdr>
        <w:top w:val="none" w:sz="0" w:space="0" w:color="auto"/>
        <w:left w:val="none" w:sz="0" w:space="0" w:color="auto"/>
        <w:bottom w:val="none" w:sz="0" w:space="0" w:color="auto"/>
        <w:right w:val="none" w:sz="0" w:space="0" w:color="auto"/>
      </w:divBdr>
    </w:div>
    <w:div w:id="795375110">
      <w:bodyDiv w:val="1"/>
      <w:marLeft w:val="0"/>
      <w:marRight w:val="0"/>
      <w:marTop w:val="0"/>
      <w:marBottom w:val="0"/>
      <w:divBdr>
        <w:top w:val="none" w:sz="0" w:space="0" w:color="auto"/>
        <w:left w:val="none" w:sz="0" w:space="0" w:color="auto"/>
        <w:bottom w:val="none" w:sz="0" w:space="0" w:color="auto"/>
        <w:right w:val="none" w:sz="0" w:space="0" w:color="auto"/>
      </w:divBdr>
      <w:divsChild>
        <w:div w:id="120541300">
          <w:marLeft w:val="0"/>
          <w:marRight w:val="0"/>
          <w:marTop w:val="0"/>
          <w:marBottom w:val="0"/>
          <w:divBdr>
            <w:top w:val="none" w:sz="0" w:space="0" w:color="auto"/>
            <w:left w:val="none" w:sz="0" w:space="0" w:color="auto"/>
            <w:bottom w:val="none" w:sz="0" w:space="0" w:color="auto"/>
            <w:right w:val="none" w:sz="0" w:space="0" w:color="auto"/>
          </w:divBdr>
        </w:div>
        <w:div w:id="448821745">
          <w:marLeft w:val="0"/>
          <w:marRight w:val="0"/>
          <w:marTop w:val="0"/>
          <w:marBottom w:val="0"/>
          <w:divBdr>
            <w:top w:val="none" w:sz="0" w:space="0" w:color="auto"/>
            <w:left w:val="none" w:sz="0" w:space="0" w:color="auto"/>
            <w:bottom w:val="none" w:sz="0" w:space="0" w:color="auto"/>
            <w:right w:val="none" w:sz="0" w:space="0" w:color="auto"/>
          </w:divBdr>
        </w:div>
      </w:divsChild>
    </w:div>
    <w:div w:id="1016469764">
      <w:bodyDiv w:val="1"/>
      <w:marLeft w:val="0"/>
      <w:marRight w:val="0"/>
      <w:marTop w:val="0"/>
      <w:marBottom w:val="0"/>
      <w:divBdr>
        <w:top w:val="none" w:sz="0" w:space="0" w:color="auto"/>
        <w:left w:val="none" w:sz="0" w:space="0" w:color="auto"/>
        <w:bottom w:val="none" w:sz="0" w:space="0" w:color="auto"/>
        <w:right w:val="none" w:sz="0" w:space="0" w:color="auto"/>
      </w:divBdr>
      <w:divsChild>
        <w:div w:id="587202618">
          <w:marLeft w:val="0"/>
          <w:marRight w:val="0"/>
          <w:marTop w:val="192"/>
          <w:marBottom w:val="192"/>
          <w:divBdr>
            <w:top w:val="none" w:sz="0" w:space="0" w:color="auto"/>
            <w:left w:val="none" w:sz="0" w:space="0" w:color="auto"/>
            <w:bottom w:val="none" w:sz="0" w:space="0" w:color="auto"/>
            <w:right w:val="none" w:sz="0" w:space="0" w:color="auto"/>
          </w:divBdr>
        </w:div>
      </w:divsChild>
    </w:div>
    <w:div w:id="1137531494">
      <w:bodyDiv w:val="1"/>
      <w:marLeft w:val="0"/>
      <w:marRight w:val="0"/>
      <w:marTop w:val="0"/>
      <w:marBottom w:val="0"/>
      <w:divBdr>
        <w:top w:val="none" w:sz="0" w:space="0" w:color="auto"/>
        <w:left w:val="none" w:sz="0" w:space="0" w:color="auto"/>
        <w:bottom w:val="none" w:sz="0" w:space="0" w:color="auto"/>
        <w:right w:val="none" w:sz="0" w:space="0" w:color="auto"/>
      </w:divBdr>
    </w:div>
    <w:div w:id="1159809515">
      <w:bodyDiv w:val="1"/>
      <w:marLeft w:val="0"/>
      <w:marRight w:val="0"/>
      <w:marTop w:val="0"/>
      <w:marBottom w:val="0"/>
      <w:divBdr>
        <w:top w:val="none" w:sz="0" w:space="0" w:color="auto"/>
        <w:left w:val="none" w:sz="0" w:space="0" w:color="auto"/>
        <w:bottom w:val="none" w:sz="0" w:space="0" w:color="auto"/>
        <w:right w:val="none" w:sz="0" w:space="0" w:color="auto"/>
      </w:divBdr>
    </w:div>
    <w:div w:id="1198664404">
      <w:bodyDiv w:val="1"/>
      <w:marLeft w:val="0"/>
      <w:marRight w:val="0"/>
      <w:marTop w:val="0"/>
      <w:marBottom w:val="0"/>
      <w:divBdr>
        <w:top w:val="none" w:sz="0" w:space="0" w:color="auto"/>
        <w:left w:val="none" w:sz="0" w:space="0" w:color="auto"/>
        <w:bottom w:val="none" w:sz="0" w:space="0" w:color="auto"/>
        <w:right w:val="none" w:sz="0" w:space="0" w:color="auto"/>
      </w:divBdr>
    </w:div>
    <w:div w:id="1227640791">
      <w:bodyDiv w:val="1"/>
      <w:marLeft w:val="0"/>
      <w:marRight w:val="0"/>
      <w:marTop w:val="0"/>
      <w:marBottom w:val="0"/>
      <w:divBdr>
        <w:top w:val="none" w:sz="0" w:space="0" w:color="auto"/>
        <w:left w:val="none" w:sz="0" w:space="0" w:color="auto"/>
        <w:bottom w:val="none" w:sz="0" w:space="0" w:color="auto"/>
        <w:right w:val="none" w:sz="0" w:space="0" w:color="auto"/>
      </w:divBdr>
    </w:div>
    <w:div w:id="1262840699">
      <w:bodyDiv w:val="1"/>
      <w:marLeft w:val="0"/>
      <w:marRight w:val="0"/>
      <w:marTop w:val="0"/>
      <w:marBottom w:val="0"/>
      <w:divBdr>
        <w:top w:val="none" w:sz="0" w:space="0" w:color="auto"/>
        <w:left w:val="none" w:sz="0" w:space="0" w:color="auto"/>
        <w:bottom w:val="none" w:sz="0" w:space="0" w:color="auto"/>
        <w:right w:val="none" w:sz="0" w:space="0" w:color="auto"/>
      </w:divBdr>
    </w:div>
    <w:div w:id="1381318491">
      <w:bodyDiv w:val="1"/>
      <w:marLeft w:val="0"/>
      <w:marRight w:val="0"/>
      <w:marTop w:val="0"/>
      <w:marBottom w:val="0"/>
      <w:divBdr>
        <w:top w:val="none" w:sz="0" w:space="0" w:color="auto"/>
        <w:left w:val="none" w:sz="0" w:space="0" w:color="auto"/>
        <w:bottom w:val="none" w:sz="0" w:space="0" w:color="auto"/>
        <w:right w:val="none" w:sz="0" w:space="0" w:color="auto"/>
      </w:divBdr>
      <w:divsChild>
        <w:div w:id="1121076591">
          <w:marLeft w:val="0"/>
          <w:marRight w:val="0"/>
          <w:marTop w:val="0"/>
          <w:marBottom w:val="0"/>
          <w:divBdr>
            <w:top w:val="none" w:sz="0" w:space="0" w:color="auto"/>
            <w:left w:val="none" w:sz="0" w:space="0" w:color="auto"/>
            <w:bottom w:val="none" w:sz="0" w:space="0" w:color="auto"/>
            <w:right w:val="none" w:sz="0" w:space="0" w:color="auto"/>
          </w:divBdr>
        </w:div>
      </w:divsChild>
    </w:div>
    <w:div w:id="1714311174">
      <w:bodyDiv w:val="1"/>
      <w:marLeft w:val="0"/>
      <w:marRight w:val="0"/>
      <w:marTop w:val="0"/>
      <w:marBottom w:val="0"/>
      <w:divBdr>
        <w:top w:val="none" w:sz="0" w:space="0" w:color="auto"/>
        <w:left w:val="none" w:sz="0" w:space="0" w:color="auto"/>
        <w:bottom w:val="none" w:sz="0" w:space="0" w:color="auto"/>
        <w:right w:val="none" w:sz="0" w:space="0" w:color="auto"/>
      </w:divBdr>
      <w:divsChild>
        <w:div w:id="953751890">
          <w:marLeft w:val="0"/>
          <w:marRight w:val="0"/>
          <w:marTop w:val="0"/>
          <w:marBottom w:val="0"/>
          <w:divBdr>
            <w:top w:val="none" w:sz="0" w:space="0" w:color="auto"/>
            <w:left w:val="none" w:sz="0" w:space="0" w:color="auto"/>
            <w:bottom w:val="none" w:sz="0" w:space="0" w:color="auto"/>
            <w:right w:val="none" w:sz="0" w:space="0" w:color="auto"/>
          </w:divBdr>
        </w:div>
      </w:divsChild>
    </w:div>
    <w:div w:id="1738092395">
      <w:bodyDiv w:val="1"/>
      <w:marLeft w:val="0"/>
      <w:marRight w:val="0"/>
      <w:marTop w:val="0"/>
      <w:marBottom w:val="0"/>
      <w:divBdr>
        <w:top w:val="none" w:sz="0" w:space="0" w:color="auto"/>
        <w:left w:val="none" w:sz="0" w:space="0" w:color="auto"/>
        <w:bottom w:val="none" w:sz="0" w:space="0" w:color="auto"/>
        <w:right w:val="none" w:sz="0" w:space="0" w:color="auto"/>
      </w:divBdr>
    </w:div>
    <w:div w:id="1797141297">
      <w:bodyDiv w:val="1"/>
      <w:marLeft w:val="0"/>
      <w:marRight w:val="0"/>
      <w:marTop w:val="0"/>
      <w:marBottom w:val="0"/>
      <w:divBdr>
        <w:top w:val="none" w:sz="0" w:space="0" w:color="auto"/>
        <w:left w:val="none" w:sz="0" w:space="0" w:color="auto"/>
        <w:bottom w:val="none" w:sz="0" w:space="0" w:color="auto"/>
        <w:right w:val="none" w:sz="0" w:space="0" w:color="auto"/>
      </w:divBdr>
      <w:divsChild>
        <w:div w:id="28141962">
          <w:marLeft w:val="1166"/>
          <w:marRight w:val="0"/>
          <w:marTop w:val="0"/>
          <w:marBottom w:val="0"/>
          <w:divBdr>
            <w:top w:val="none" w:sz="0" w:space="0" w:color="auto"/>
            <w:left w:val="none" w:sz="0" w:space="0" w:color="auto"/>
            <w:bottom w:val="none" w:sz="0" w:space="0" w:color="auto"/>
            <w:right w:val="none" w:sz="0" w:space="0" w:color="auto"/>
          </w:divBdr>
        </w:div>
        <w:div w:id="478687925">
          <w:marLeft w:val="446"/>
          <w:marRight w:val="0"/>
          <w:marTop w:val="0"/>
          <w:marBottom w:val="0"/>
          <w:divBdr>
            <w:top w:val="none" w:sz="0" w:space="0" w:color="auto"/>
            <w:left w:val="none" w:sz="0" w:space="0" w:color="auto"/>
            <w:bottom w:val="none" w:sz="0" w:space="0" w:color="auto"/>
            <w:right w:val="none" w:sz="0" w:space="0" w:color="auto"/>
          </w:divBdr>
        </w:div>
        <w:div w:id="977229108">
          <w:marLeft w:val="1166"/>
          <w:marRight w:val="0"/>
          <w:marTop w:val="0"/>
          <w:marBottom w:val="0"/>
          <w:divBdr>
            <w:top w:val="none" w:sz="0" w:space="0" w:color="auto"/>
            <w:left w:val="none" w:sz="0" w:space="0" w:color="auto"/>
            <w:bottom w:val="none" w:sz="0" w:space="0" w:color="auto"/>
            <w:right w:val="none" w:sz="0" w:space="0" w:color="auto"/>
          </w:divBdr>
        </w:div>
        <w:div w:id="1389499706">
          <w:marLeft w:val="1166"/>
          <w:marRight w:val="0"/>
          <w:marTop w:val="0"/>
          <w:marBottom w:val="0"/>
          <w:divBdr>
            <w:top w:val="none" w:sz="0" w:space="0" w:color="auto"/>
            <w:left w:val="none" w:sz="0" w:space="0" w:color="auto"/>
            <w:bottom w:val="none" w:sz="0" w:space="0" w:color="auto"/>
            <w:right w:val="none" w:sz="0" w:space="0" w:color="auto"/>
          </w:divBdr>
        </w:div>
      </w:divsChild>
    </w:div>
    <w:div w:id="1802845927">
      <w:bodyDiv w:val="1"/>
      <w:marLeft w:val="0"/>
      <w:marRight w:val="0"/>
      <w:marTop w:val="0"/>
      <w:marBottom w:val="0"/>
      <w:divBdr>
        <w:top w:val="none" w:sz="0" w:space="0" w:color="auto"/>
        <w:left w:val="none" w:sz="0" w:space="0" w:color="auto"/>
        <w:bottom w:val="none" w:sz="0" w:space="0" w:color="auto"/>
        <w:right w:val="none" w:sz="0" w:space="0" w:color="auto"/>
      </w:divBdr>
    </w:div>
    <w:div w:id="1842045905">
      <w:bodyDiv w:val="1"/>
      <w:marLeft w:val="0"/>
      <w:marRight w:val="0"/>
      <w:marTop w:val="0"/>
      <w:marBottom w:val="0"/>
      <w:divBdr>
        <w:top w:val="none" w:sz="0" w:space="0" w:color="auto"/>
        <w:left w:val="none" w:sz="0" w:space="0" w:color="auto"/>
        <w:bottom w:val="none" w:sz="0" w:space="0" w:color="auto"/>
        <w:right w:val="none" w:sz="0" w:space="0" w:color="auto"/>
      </w:divBdr>
    </w:div>
    <w:div w:id="1917401706">
      <w:bodyDiv w:val="1"/>
      <w:marLeft w:val="0"/>
      <w:marRight w:val="0"/>
      <w:marTop w:val="0"/>
      <w:marBottom w:val="0"/>
      <w:divBdr>
        <w:top w:val="none" w:sz="0" w:space="0" w:color="auto"/>
        <w:left w:val="none" w:sz="0" w:space="0" w:color="auto"/>
        <w:bottom w:val="none" w:sz="0" w:space="0" w:color="auto"/>
        <w:right w:val="none" w:sz="0" w:space="0" w:color="auto"/>
      </w:divBdr>
      <w:divsChild>
        <w:div w:id="87435702">
          <w:marLeft w:val="1253"/>
          <w:marRight w:val="0"/>
          <w:marTop w:val="0"/>
          <w:marBottom w:val="0"/>
          <w:divBdr>
            <w:top w:val="none" w:sz="0" w:space="0" w:color="auto"/>
            <w:left w:val="none" w:sz="0" w:space="0" w:color="auto"/>
            <w:bottom w:val="none" w:sz="0" w:space="0" w:color="auto"/>
            <w:right w:val="none" w:sz="0" w:space="0" w:color="auto"/>
          </w:divBdr>
        </w:div>
        <w:div w:id="484049587">
          <w:marLeft w:val="1253"/>
          <w:marRight w:val="0"/>
          <w:marTop w:val="0"/>
          <w:marBottom w:val="0"/>
          <w:divBdr>
            <w:top w:val="none" w:sz="0" w:space="0" w:color="auto"/>
            <w:left w:val="none" w:sz="0" w:space="0" w:color="auto"/>
            <w:bottom w:val="none" w:sz="0" w:space="0" w:color="auto"/>
            <w:right w:val="none" w:sz="0" w:space="0" w:color="auto"/>
          </w:divBdr>
        </w:div>
        <w:div w:id="989944969">
          <w:marLeft w:val="1253"/>
          <w:marRight w:val="0"/>
          <w:marTop w:val="0"/>
          <w:marBottom w:val="0"/>
          <w:divBdr>
            <w:top w:val="none" w:sz="0" w:space="0" w:color="auto"/>
            <w:left w:val="none" w:sz="0" w:space="0" w:color="auto"/>
            <w:bottom w:val="none" w:sz="0" w:space="0" w:color="auto"/>
            <w:right w:val="none" w:sz="0" w:space="0" w:color="auto"/>
          </w:divBdr>
        </w:div>
        <w:div w:id="1187716441">
          <w:marLeft w:val="1253"/>
          <w:marRight w:val="0"/>
          <w:marTop w:val="0"/>
          <w:marBottom w:val="0"/>
          <w:divBdr>
            <w:top w:val="none" w:sz="0" w:space="0" w:color="auto"/>
            <w:left w:val="none" w:sz="0" w:space="0" w:color="auto"/>
            <w:bottom w:val="none" w:sz="0" w:space="0" w:color="auto"/>
            <w:right w:val="none" w:sz="0" w:space="0" w:color="auto"/>
          </w:divBdr>
        </w:div>
        <w:div w:id="1513687344">
          <w:marLeft w:val="1253"/>
          <w:marRight w:val="0"/>
          <w:marTop w:val="0"/>
          <w:marBottom w:val="0"/>
          <w:divBdr>
            <w:top w:val="none" w:sz="0" w:space="0" w:color="auto"/>
            <w:left w:val="none" w:sz="0" w:space="0" w:color="auto"/>
            <w:bottom w:val="none" w:sz="0" w:space="0" w:color="auto"/>
            <w:right w:val="none" w:sz="0" w:space="0" w:color="auto"/>
          </w:divBdr>
        </w:div>
        <w:div w:id="1646743051">
          <w:marLeft w:val="1253"/>
          <w:marRight w:val="0"/>
          <w:marTop w:val="0"/>
          <w:marBottom w:val="0"/>
          <w:divBdr>
            <w:top w:val="none" w:sz="0" w:space="0" w:color="auto"/>
            <w:left w:val="none" w:sz="0" w:space="0" w:color="auto"/>
            <w:bottom w:val="none" w:sz="0" w:space="0" w:color="auto"/>
            <w:right w:val="none" w:sz="0" w:space="0" w:color="auto"/>
          </w:divBdr>
        </w:div>
      </w:divsChild>
    </w:div>
    <w:div w:id="1980720000">
      <w:bodyDiv w:val="1"/>
      <w:marLeft w:val="0"/>
      <w:marRight w:val="0"/>
      <w:marTop w:val="0"/>
      <w:marBottom w:val="0"/>
      <w:divBdr>
        <w:top w:val="none" w:sz="0" w:space="0" w:color="auto"/>
        <w:left w:val="none" w:sz="0" w:space="0" w:color="auto"/>
        <w:bottom w:val="none" w:sz="0" w:space="0" w:color="auto"/>
        <w:right w:val="none" w:sz="0" w:space="0" w:color="auto"/>
      </w:divBdr>
    </w:div>
    <w:div w:id="2059357341">
      <w:bodyDiv w:val="1"/>
      <w:marLeft w:val="0"/>
      <w:marRight w:val="0"/>
      <w:marTop w:val="0"/>
      <w:marBottom w:val="0"/>
      <w:divBdr>
        <w:top w:val="none" w:sz="0" w:space="0" w:color="auto"/>
        <w:left w:val="none" w:sz="0" w:space="0" w:color="auto"/>
        <w:bottom w:val="none" w:sz="0" w:space="0" w:color="auto"/>
        <w:right w:val="none" w:sz="0" w:space="0" w:color="auto"/>
      </w:divBdr>
    </w:div>
    <w:div w:id="20964354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doi.org/10.3233/wor-2012-1447" TargetMode="External"/><Relationship Id="rId18" Type="http://schemas.openxmlformats.org/officeDocument/2006/relationships/hyperlink" Target="https://www.dss.gov.au/our-responsibilities/disability-and-carers/publications-articles/for-employers/building-better-business-opportunities-report-and-training-course" TargetMode="External"/><Relationship Id="rId26" Type="http://schemas.openxmlformats.org/officeDocument/2006/relationships/hyperlink" Target="https://doi.org/10.1007/978-3-319-68115-3" TargetMode="External"/><Relationship Id="rId39" Type="http://schemas.openxmlformats.org/officeDocument/2006/relationships/chart" Target="charts/chart2.xml"/><Relationship Id="rId21" Type="http://schemas.openxmlformats.org/officeDocument/2006/relationships/hyperlink" Target="https://www.dss.gov.au/sites/default/files/documents/05_2012/dsc2007.pdf" TargetMode="External"/><Relationship Id="rId34" Type="http://schemas.openxmlformats.org/officeDocument/2006/relationships/hyperlink" Target="https://www.pc.gov.au/ongoing/report-on-government-services/2022/community-services/services-for-people-with-disability" TargetMode="External"/><Relationship Id="rId42" Type="http://schemas.openxmlformats.org/officeDocument/2006/relationships/hyperlink" Target="https://www.ndis.gov.au/participants/working-providers/find-registered-provider/provider-finder"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doi.org/10.3109/13668250.2017.1327040" TargetMode="External"/><Relationship Id="rId20" Type="http://schemas.openxmlformats.org/officeDocument/2006/relationships/hyperlink" Target="https://www.dss.gov.au/sites/default/files/documents/05_2012/dsc_2006_report.pdf" TargetMode="External"/><Relationship Id="rId29" Type="http://schemas.openxmlformats.org/officeDocument/2006/relationships/hyperlink" Target="https://data.ndis.gov.au/reports-and-analyses/participant-groups/people-intellectual-disability-ndis" TargetMode="External"/><Relationship Id="rId41" Type="http://schemas.openxmlformats.org/officeDocument/2006/relationships/hyperlink" Target="https://www.socialtraders.com.au/find-a-social-enterpris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openxmlformats.org/officeDocument/2006/relationships/hyperlink" Target="https://engage.dss.gov.au/wp-content/uploads/2017/12/discussion_paper_-_ensuring_a_strong_future_for_supported_employment.pdf" TargetMode="External"/><Relationship Id="rId32" Type="http://schemas.openxmlformats.org/officeDocument/2006/relationships/hyperlink" Target="https://library.bsl.org.au/jspui/bitstream/1/6185/1/Nockolds_Exploring_success_intermed_labour_market_soc_enterprises_lit_review_2012.pdf" TargetMode="External"/><Relationship Id="rId37" Type="http://schemas.openxmlformats.org/officeDocument/2006/relationships/hyperlink" Target="https://doi.org/10.1111/j.1370-4788.2005.00276.x" TargetMode="External"/><Relationship Id="rId40" Type="http://schemas.openxmlformats.org/officeDocument/2006/relationships/hyperlink" Target="https://buyability.org.au/directory/" TargetMode="External"/><Relationship Id="rId5" Type="http://schemas.openxmlformats.org/officeDocument/2006/relationships/numbering" Target="numbering.xml"/><Relationship Id="rId15" Type="http://schemas.openxmlformats.org/officeDocument/2006/relationships/hyperlink" Target="https://assets.csi.edu.au/assets/research/Social-Enterprise-A-People-Centred-Approach-to-Employment-Services-Report.pdf" TargetMode="External"/><Relationship Id="rId23" Type="http://schemas.openxmlformats.org/officeDocument/2006/relationships/hyperlink" Target="https://www.dss.gov.au/sites/default/files/documents/05_2014/accessible_tables_09-10_feb2014_-_final.pdf" TargetMode="External"/><Relationship Id="rId28" Type="http://schemas.openxmlformats.org/officeDocument/2006/relationships/hyperlink" Target="https://data.ndis.gov.au/reports-and-analyses/participant-groups/people-intellectual-disability-ndis" TargetMode="External"/><Relationship Id="rId36" Type="http://schemas.openxmlformats.org/officeDocument/2006/relationships/hyperlink" Target="https://www.socialtraders.com.au/for-social-enterprise/certification/" TargetMode="External"/><Relationship Id="rId10" Type="http://schemas.openxmlformats.org/officeDocument/2006/relationships/endnotes" Target="endnotes.xml"/><Relationship Id="rId19" Type="http://schemas.openxmlformats.org/officeDocument/2006/relationships/hyperlink" Target="https://www.dss.gov.au/sites/default/files/files/disability-and-carers/policy_research/aust_govt_vision_inclusive_employment.pdf" TargetMode="External"/><Relationship Id="rId31" Type="http://schemas.openxmlformats.org/officeDocument/2006/relationships/hyperlink" Target="https://www.ndis.gov.au/providers/pricing-arrangements" TargetMode="Externa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assets.csi.edu.au/assets/research/Finding-Australias-Social-Enterprise-Sector-2016-Final-Report.pdf" TargetMode="External"/><Relationship Id="rId22" Type="http://schemas.openxmlformats.org/officeDocument/2006/relationships/hyperlink" Target="https://www.dss.gov.au/sites/default/files/documents/05_2014/accessible_tables_08-09_feb2014_-_final_0.pdf" TargetMode="External"/><Relationship Id="rId27" Type="http://schemas.openxmlformats.org/officeDocument/2006/relationships/hyperlink" Target="https://humanrights.gov.au/sites/default/files/NDS%20Financial%20Information.pdf" TargetMode="External"/><Relationship Id="rId30" Type="http://schemas.openxmlformats.org/officeDocument/2006/relationships/hyperlink" Target="https://data.ndis.gov.au/reports-and-analyses/outcomes-and-goals/employment-outcomes-participants-their-families-and-carers" TargetMode="External"/><Relationship Id="rId35" Type="http://schemas.openxmlformats.org/officeDocument/2006/relationships/hyperlink" Target="https://formerministers.dss.gov.au/4802/launch_disability_ent_28nov2008/" TargetMode="Externa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legislation.gov.au/Details/C2018C00146" TargetMode="External"/><Relationship Id="rId25" Type="http://schemas.openxmlformats.org/officeDocument/2006/relationships/hyperlink" Target="https://doi.org/10.1111/ijmr.12028" TargetMode="External"/><Relationship Id="rId33" Type="http://schemas.openxmlformats.org/officeDocument/2006/relationships/hyperlink" Target="https://www.pc.gov.au/ongoing/report-on-government-services/2021/community-services/services-for-people-with-disability" TargetMode="External"/><Relationship Id="rId38" Type="http://schemas.openxmlformats.org/officeDocument/2006/relationships/hyperlink" Target="https://doi.org/10.3233/WOR-2012-1447"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3528120\Desktop\CSI%20Template_20191018.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Sheet2!$B$1</c:f>
              <c:strCache>
                <c:ptCount val="1"/>
                <c:pt idx="0">
                  <c:v>2013</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Sheet2!$A$2:$A$3</c:f>
              <c:strCache>
                <c:ptCount val="2"/>
                <c:pt idx="0">
                  <c:v># ADEs</c:v>
                </c:pt>
                <c:pt idx="1">
                  <c:v># ADE providers</c:v>
                </c:pt>
              </c:strCache>
            </c:strRef>
          </c:cat>
          <c:val>
            <c:numRef>
              <c:f>Sheet2!$B$2:$B$3</c:f>
              <c:numCache>
                <c:formatCode>General</c:formatCode>
                <c:ptCount val="2"/>
                <c:pt idx="0">
                  <c:v>600</c:v>
                </c:pt>
                <c:pt idx="1">
                  <c:v>194</c:v>
                </c:pt>
              </c:numCache>
            </c:numRef>
          </c:val>
          <c:extLst>
            <c:ext xmlns:c16="http://schemas.microsoft.com/office/drawing/2014/chart" uri="{C3380CC4-5D6E-409C-BE32-E72D297353CC}">
              <c16:uniqueId val="{00000000-6DDF-4340-9616-557EC0436BDB}"/>
            </c:ext>
          </c:extLst>
        </c:ser>
        <c:ser>
          <c:idx val="1"/>
          <c:order val="1"/>
          <c:tx>
            <c:strRef>
              <c:f>Sheet2!$C$1</c:f>
              <c:strCache>
                <c:ptCount val="1"/>
                <c:pt idx="0">
                  <c:v>2022</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Sheet2!$A$2:$A$3</c:f>
              <c:strCache>
                <c:ptCount val="2"/>
                <c:pt idx="0">
                  <c:v># ADEs</c:v>
                </c:pt>
                <c:pt idx="1">
                  <c:v># ADE providers</c:v>
                </c:pt>
              </c:strCache>
            </c:strRef>
          </c:cat>
          <c:val>
            <c:numRef>
              <c:f>Sheet2!$C$2:$C$3</c:f>
              <c:numCache>
                <c:formatCode>General</c:formatCode>
                <c:ptCount val="2"/>
                <c:pt idx="0">
                  <c:v>477</c:v>
                </c:pt>
                <c:pt idx="1">
                  <c:v>147</c:v>
                </c:pt>
              </c:numCache>
            </c:numRef>
          </c:val>
          <c:extLst>
            <c:ext xmlns:c16="http://schemas.microsoft.com/office/drawing/2014/chart" uri="{C3380CC4-5D6E-409C-BE32-E72D297353CC}">
              <c16:uniqueId val="{00000001-6DDF-4340-9616-557EC0436BDB}"/>
            </c:ext>
          </c:extLst>
        </c:ser>
        <c:dLbls>
          <c:dLblPos val="outEnd"/>
          <c:showLegendKey val="0"/>
          <c:showVal val="1"/>
          <c:showCatName val="0"/>
          <c:showSerName val="0"/>
          <c:showPercent val="0"/>
          <c:showBubbleSize val="0"/>
        </c:dLbls>
        <c:gapWidth val="219"/>
        <c:overlap val="-27"/>
        <c:axId val="2004473103"/>
        <c:axId val="2004471439"/>
      </c:barChart>
      <c:catAx>
        <c:axId val="200447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471439"/>
        <c:crosses val="autoZero"/>
        <c:auto val="1"/>
        <c:lblAlgn val="ctr"/>
        <c:lblOffset val="100"/>
        <c:noMultiLvlLbl val="0"/>
      </c:catAx>
      <c:valAx>
        <c:axId val="200447143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4473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57503359400487"/>
          <c:y val="0.10953115411812334"/>
          <c:w val="0.76963508979849582"/>
          <c:h val="0.57943574049671454"/>
        </c:manualLayout>
      </c:layout>
      <c:barChart>
        <c:barDir val="col"/>
        <c:grouping val="clustered"/>
        <c:varyColors val="0"/>
        <c:ser>
          <c:idx val="0"/>
          <c:order val="0"/>
          <c:tx>
            <c:strRef>
              <c:f>Sheet1!$A$2</c:f>
              <c:strCache>
                <c:ptCount val="1"/>
                <c:pt idx="0">
                  <c:v># Persons used ADEs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Sheet1!$B$1:$K$1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cat>
          <c:val>
            <c:numRef>
              <c:f>Sheet1!$B$2:$K$2</c:f>
              <c:numCache>
                <c:formatCode>#,##0</c:formatCode>
                <c:ptCount val="10"/>
                <c:pt idx="0">
                  <c:v>21258</c:v>
                </c:pt>
                <c:pt idx="1">
                  <c:v>21146</c:v>
                </c:pt>
                <c:pt idx="2">
                  <c:v>20882</c:v>
                </c:pt>
                <c:pt idx="3">
                  <c:v>21344</c:v>
                </c:pt>
                <c:pt idx="4">
                  <c:v>20732</c:v>
                </c:pt>
                <c:pt idx="5">
                  <c:v>20009</c:v>
                </c:pt>
                <c:pt idx="6">
                  <c:v>19226</c:v>
                </c:pt>
                <c:pt idx="7">
                  <c:v>18354</c:v>
                </c:pt>
                <c:pt idx="8">
                  <c:v>14141</c:v>
                </c:pt>
                <c:pt idx="9">
                  <c:v>7145</c:v>
                </c:pt>
              </c:numCache>
            </c:numRef>
          </c:val>
          <c:extLst>
            <c:ext xmlns:c16="http://schemas.microsoft.com/office/drawing/2014/chart" uri="{C3380CC4-5D6E-409C-BE32-E72D297353CC}">
              <c16:uniqueId val="{00000000-3EEF-454A-B235-EFB351B3BBFC}"/>
            </c:ext>
          </c:extLst>
        </c:ser>
        <c:dLbls>
          <c:showLegendKey val="0"/>
          <c:showVal val="1"/>
          <c:showCatName val="0"/>
          <c:showSerName val="0"/>
          <c:showPercent val="0"/>
          <c:showBubbleSize val="0"/>
        </c:dLbls>
        <c:gapWidth val="219"/>
        <c:overlap val="-27"/>
        <c:axId val="1434617328"/>
        <c:axId val="1434622736"/>
      </c:barChart>
      <c:lineChart>
        <c:grouping val="standard"/>
        <c:varyColors val="0"/>
        <c:ser>
          <c:idx val="1"/>
          <c:order val="1"/>
          <c:tx>
            <c:strRef>
              <c:f>Sheet1!$A$3</c:f>
              <c:strCache>
                <c:ptCount val="1"/>
                <c:pt idx="0">
                  <c:v>% Potential population aged 15-64 and adjusted for labour force participation who used ADEs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1.6064254996141416E-3"/>
                  <c:y val="-2.65780638194422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EF-454A-B235-EFB351B3BBFC}"/>
                </c:ext>
              </c:extLst>
            </c:dLbl>
            <c:dLbl>
              <c:idx val="3"/>
              <c:layout>
                <c:manualLayout>
                  <c:x val="-1.6064254996141416E-3"/>
                  <c:y val="-2.06718274151216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EF-454A-B235-EFB351B3BB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Sheet1!$B$1:$K$1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cat>
          <c:val>
            <c:numRef>
              <c:f>Sheet1!$B$3:$K$3</c:f>
              <c:numCache>
                <c:formatCode>0.00%</c:formatCode>
                <c:ptCount val="10"/>
                <c:pt idx="0">
                  <c:v>8.8999999999999996E-2</c:v>
                </c:pt>
                <c:pt idx="1">
                  <c:v>8.2000000000000003E-2</c:v>
                </c:pt>
                <c:pt idx="2">
                  <c:v>7.6999999999999999E-2</c:v>
                </c:pt>
                <c:pt idx="3">
                  <c:v>7.4999999999999997E-2</c:v>
                </c:pt>
                <c:pt idx="4">
                  <c:v>7.1999999999999995E-2</c:v>
                </c:pt>
                <c:pt idx="5">
                  <c:v>6.8000000000000005E-2</c:v>
                </c:pt>
                <c:pt idx="6">
                  <c:v>6.4000000000000001E-2</c:v>
                </c:pt>
                <c:pt idx="7" formatCode="0%">
                  <c:v>0.06</c:v>
                </c:pt>
                <c:pt idx="8">
                  <c:v>4.4999999999999998E-2</c:v>
                </c:pt>
                <c:pt idx="9">
                  <c:v>2.1999999999999999E-2</c:v>
                </c:pt>
              </c:numCache>
            </c:numRef>
          </c:val>
          <c:smooth val="0"/>
          <c:extLst>
            <c:ext xmlns:c16="http://schemas.microsoft.com/office/drawing/2014/chart" uri="{C3380CC4-5D6E-409C-BE32-E72D297353CC}">
              <c16:uniqueId val="{00000003-3EEF-454A-B235-EFB351B3BBFC}"/>
            </c:ext>
          </c:extLst>
        </c:ser>
        <c:ser>
          <c:idx val="2"/>
          <c:order val="2"/>
          <c:tx>
            <c:strRef>
              <c:f>Sheet1!$A$4</c:f>
              <c:strCache>
                <c:ptCount val="1"/>
                <c:pt idx="0">
                  <c:v>% Estimated # people aged 15-64 with an employment restriction who used Employment Support Services (open employment)</c:v>
                </c:pt>
              </c:strCache>
            </c:strRef>
          </c:tx>
          <c:spPr>
            <a:ln w="28575" cap="rnd">
              <a:solidFill>
                <a:srgbClr val="00B050"/>
              </a:solidFill>
              <a:round/>
            </a:ln>
            <a:effectLst/>
          </c:spPr>
          <c:marker>
            <c:symbol val="circle"/>
            <c:size val="5"/>
            <c:spPr>
              <a:solidFill>
                <a:schemeClr val="accent3"/>
              </a:solidFill>
              <a:ln w="9525">
                <a:solidFill>
                  <a:schemeClr val="accent3"/>
                </a:solidFill>
              </a:ln>
              <a:effectLst/>
            </c:spPr>
          </c:marker>
          <c:dLbls>
            <c:dLbl>
              <c:idx val="2"/>
              <c:layout>
                <c:manualLayout>
                  <c:x val="0"/>
                  <c:y val="2.06718274151216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EF-454A-B235-EFB351B3BBFC}"/>
                </c:ext>
              </c:extLst>
            </c:dLbl>
            <c:dLbl>
              <c:idx val="3"/>
              <c:layout>
                <c:manualLayout>
                  <c:x val="0"/>
                  <c:y val="2.65780638194421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EF-454A-B235-EFB351B3BB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Sheet1!$B$1:$K$1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cat>
          <c:val>
            <c:numRef>
              <c:f>Sheet1!$B$4:$K$4</c:f>
              <c:numCache>
                <c:formatCode>0.00%</c:formatCode>
                <c:ptCount val="10"/>
                <c:pt idx="0">
                  <c:v>6.6000000000000003E-2</c:v>
                </c:pt>
                <c:pt idx="1">
                  <c:v>7.1999999999999995E-2</c:v>
                </c:pt>
                <c:pt idx="2">
                  <c:v>7.4999999999999997E-2</c:v>
                </c:pt>
                <c:pt idx="3">
                  <c:v>7.2999999999999995E-2</c:v>
                </c:pt>
                <c:pt idx="4">
                  <c:v>7.5999999999999998E-2</c:v>
                </c:pt>
                <c:pt idx="5">
                  <c:v>8.5999999999999993E-2</c:v>
                </c:pt>
                <c:pt idx="6">
                  <c:v>8.7999999999999995E-2</c:v>
                </c:pt>
                <c:pt idx="7">
                  <c:v>9.2999999999999999E-2</c:v>
                </c:pt>
                <c:pt idx="8">
                  <c:v>9.8000000000000004E-2</c:v>
                </c:pt>
                <c:pt idx="9">
                  <c:v>0.114</c:v>
                </c:pt>
              </c:numCache>
            </c:numRef>
          </c:val>
          <c:smooth val="0"/>
          <c:extLst>
            <c:ext xmlns:c16="http://schemas.microsoft.com/office/drawing/2014/chart" uri="{C3380CC4-5D6E-409C-BE32-E72D297353CC}">
              <c16:uniqueId val="{00000006-3EEF-454A-B235-EFB351B3BBFC}"/>
            </c:ext>
          </c:extLst>
        </c:ser>
        <c:dLbls>
          <c:showLegendKey val="0"/>
          <c:showVal val="0"/>
          <c:showCatName val="0"/>
          <c:showSerName val="0"/>
          <c:showPercent val="0"/>
          <c:showBubbleSize val="0"/>
        </c:dLbls>
        <c:marker val="1"/>
        <c:smooth val="0"/>
        <c:axId val="1434623568"/>
        <c:axId val="1434618576"/>
      </c:lineChart>
      <c:catAx>
        <c:axId val="143461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4622736"/>
        <c:crosses val="autoZero"/>
        <c:auto val="1"/>
        <c:lblAlgn val="ctr"/>
        <c:lblOffset val="100"/>
        <c:noMultiLvlLbl val="0"/>
      </c:catAx>
      <c:valAx>
        <c:axId val="1434622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 Persons</a:t>
                </a:r>
              </a:p>
            </c:rich>
          </c:tx>
          <c:layout>
            <c:manualLayout>
              <c:xMode val="edge"/>
              <c:yMode val="edge"/>
              <c:x val="1.2420937422662804E-2"/>
              <c:y val="0.3605026387830553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4617328"/>
        <c:crosses val="autoZero"/>
        <c:crossBetween val="between"/>
      </c:valAx>
      <c:valAx>
        <c:axId val="1434618576"/>
        <c:scaling>
          <c:orientation val="minMax"/>
          <c:min val="1.0000000000000002E-2"/>
        </c:scaling>
        <c:delete val="0"/>
        <c:axPos val="r"/>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4623568"/>
        <c:crosses val="max"/>
        <c:crossBetween val="between"/>
        <c:majorUnit val="1.0000000000000002E-2"/>
        <c:minorUnit val="1.0000000000000002E-2"/>
      </c:valAx>
      <c:catAx>
        <c:axId val="1434623568"/>
        <c:scaling>
          <c:orientation val="minMax"/>
        </c:scaling>
        <c:delete val="1"/>
        <c:axPos val="b"/>
        <c:numFmt formatCode="General" sourceLinked="1"/>
        <c:majorTickMark val="out"/>
        <c:minorTickMark val="none"/>
        <c:tickLblPos val="nextTo"/>
        <c:crossAx val="1434618576"/>
        <c:crosses val="autoZero"/>
        <c:auto val="1"/>
        <c:lblAlgn val="ctr"/>
        <c:lblOffset val="100"/>
        <c:noMultiLvlLbl val="0"/>
      </c:catAx>
      <c:spPr>
        <a:noFill/>
        <a:ln>
          <a:noFill/>
        </a:ln>
        <a:effectLst/>
      </c:spPr>
    </c:plotArea>
    <c:legend>
      <c:legendPos val="b"/>
      <c:layout>
        <c:manualLayout>
          <c:xMode val="edge"/>
          <c:yMode val="edge"/>
          <c:x val="9.3873687648396723E-2"/>
          <c:y val="0.77519283048008636"/>
          <c:w val="0.84116815720606419"/>
          <c:h val="0.210041578509112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SI v2">
      <a:dk1>
        <a:srgbClr val="414042"/>
      </a:dk1>
      <a:lt1>
        <a:srgbClr val="FFFFFF"/>
      </a:lt1>
      <a:dk2>
        <a:srgbClr val="FCF277"/>
      </a:dk2>
      <a:lt2>
        <a:srgbClr val="EF4050"/>
      </a:lt2>
      <a:accent1>
        <a:srgbClr val="FF6A40"/>
      </a:accent1>
      <a:accent2>
        <a:srgbClr val="F13CA7"/>
      </a:accent2>
      <a:accent3>
        <a:srgbClr val="79427C"/>
      </a:accent3>
      <a:accent4>
        <a:srgbClr val="25408F"/>
      </a:accent4>
      <a:accent5>
        <a:srgbClr val="80D5BC"/>
      </a:accent5>
      <a:accent6>
        <a:srgbClr val="62AC57"/>
      </a:accent6>
      <a:hlink>
        <a:srgbClr val="25408F"/>
      </a:hlink>
      <a:folHlink>
        <a:srgbClr val="79437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328441457815B4784C7AF49121AF3B0" ma:contentTypeVersion="16" ma:contentTypeDescription="Create a new document." ma:contentTypeScope="" ma:versionID="02761437564e089f9c5fa73171279390">
  <xsd:schema xmlns:xsd="http://www.w3.org/2001/XMLSchema" xmlns:xs="http://www.w3.org/2001/XMLSchema" xmlns:p="http://schemas.microsoft.com/office/2006/metadata/properties" xmlns:ns2="6696bc79-a29a-4e88-8d1d-e07845a5273f" xmlns:ns3="42bb5c4d-0532-4743-8157-8065115a43dd" targetNamespace="http://schemas.microsoft.com/office/2006/metadata/properties" ma:root="true" ma:fieldsID="7e57462d58a3593b3b8aa4be41015e37" ns2:_="" ns3:_="">
    <xsd:import namespace="6696bc79-a29a-4e88-8d1d-e07845a5273f"/>
    <xsd:import namespace="42bb5c4d-0532-4743-8157-8065115a43d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96bc79-a29a-4e88-8d1d-e07845a527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4b2f4e7-b333-4133-9696-cdcd9b8dc49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2bb5c4d-0532-4743-8157-8065115a43dd"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6b30017-1b1a-4ae7-a3db-d6b88d75b373}" ma:internalName="TaxCatchAll" ma:showField="CatchAllData" ma:web="42bb5c4d-0532-4743-8157-8065115a43dd">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696bc79-a29a-4e88-8d1d-e07845a5273f">
      <Terms xmlns="http://schemas.microsoft.com/office/infopath/2007/PartnerControls"/>
    </lcf76f155ced4ddcb4097134ff3c332f>
    <TaxCatchAll xmlns="42bb5c4d-0532-4743-8157-8065115a43d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2A0C2-B415-4FA7-A11B-5237C10C2D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96bc79-a29a-4e88-8d1d-e07845a5273f"/>
    <ds:schemaRef ds:uri="42bb5c4d-0532-4743-8157-8065115a43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38A7374-4BCF-46FB-9FFD-3E58D904C0DF}">
  <ds:schemaRefs>
    <ds:schemaRef ds:uri="http://schemas.microsoft.com/office/2006/metadata/properties"/>
    <ds:schemaRef ds:uri="http://schemas.microsoft.com/office/infopath/2007/PartnerControls"/>
    <ds:schemaRef ds:uri="6696bc79-a29a-4e88-8d1d-e07845a5273f"/>
    <ds:schemaRef ds:uri="42bb5c4d-0532-4743-8157-8065115a43dd"/>
  </ds:schemaRefs>
</ds:datastoreItem>
</file>

<file path=customXml/itemProps3.xml><?xml version="1.0" encoding="utf-8"?>
<ds:datastoreItem xmlns:ds="http://schemas.openxmlformats.org/officeDocument/2006/customXml" ds:itemID="{F7E4BA00-0C0D-4BCE-8436-87CA5CAAFE07}">
  <ds:schemaRefs>
    <ds:schemaRef ds:uri="http://schemas.microsoft.com/sharepoint/v3/contenttype/forms"/>
  </ds:schemaRefs>
</ds:datastoreItem>
</file>

<file path=customXml/itemProps4.xml><?xml version="1.0" encoding="utf-8"?>
<ds:datastoreItem xmlns:ds="http://schemas.openxmlformats.org/officeDocument/2006/customXml" ds:itemID="{4F9FBB16-3FA9-4927-AC6D-30FE551FD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CSI Template_20191018.dotx</Template>
  <TotalTime>1</TotalTime>
  <Pages>23</Pages>
  <Words>8114</Words>
  <Characters>46253</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54259</CharactersWithSpaces>
  <SharedDoc>false</SharedDoc>
  <HLinks>
    <vt:vector size="114" baseType="variant">
      <vt:variant>
        <vt:i4>1310744</vt:i4>
      </vt:variant>
      <vt:variant>
        <vt:i4>51</vt:i4>
      </vt:variant>
      <vt:variant>
        <vt:i4>0</vt:i4>
      </vt:variant>
      <vt:variant>
        <vt:i4>5</vt:i4>
      </vt:variant>
      <vt:variant>
        <vt:lpwstr>https://www.socialtraders.com.au/for-social-enterprise/certification/</vt:lpwstr>
      </vt:variant>
      <vt:variant>
        <vt:lpwstr/>
      </vt:variant>
      <vt:variant>
        <vt:i4>1376370</vt:i4>
      </vt:variant>
      <vt:variant>
        <vt:i4>48</vt:i4>
      </vt:variant>
      <vt:variant>
        <vt:i4>0</vt:i4>
      </vt:variant>
      <vt:variant>
        <vt:i4>5</vt:i4>
      </vt:variant>
      <vt:variant>
        <vt:lpwstr>https://formerministers.dss.gov.au/4802/launch_disability_ent_28nov2008/</vt:lpwstr>
      </vt:variant>
      <vt:variant>
        <vt:lpwstr/>
      </vt:variant>
      <vt:variant>
        <vt:i4>3211388</vt:i4>
      </vt:variant>
      <vt:variant>
        <vt:i4>45</vt:i4>
      </vt:variant>
      <vt:variant>
        <vt:i4>0</vt:i4>
      </vt:variant>
      <vt:variant>
        <vt:i4>5</vt:i4>
      </vt:variant>
      <vt:variant>
        <vt:lpwstr>https://www.pc.gov.au/ongoing/report-on-government-services/2022/community-services/services-for-people-with-disability</vt:lpwstr>
      </vt:variant>
      <vt:variant>
        <vt:lpwstr/>
      </vt:variant>
      <vt:variant>
        <vt:i4>3276924</vt:i4>
      </vt:variant>
      <vt:variant>
        <vt:i4>42</vt:i4>
      </vt:variant>
      <vt:variant>
        <vt:i4>0</vt:i4>
      </vt:variant>
      <vt:variant>
        <vt:i4>5</vt:i4>
      </vt:variant>
      <vt:variant>
        <vt:lpwstr>https://www.pc.gov.au/ongoing/report-on-government-services/2021/community-services/services-for-people-with-disability</vt:lpwstr>
      </vt:variant>
      <vt:variant>
        <vt:lpwstr/>
      </vt:variant>
      <vt:variant>
        <vt:i4>8323122</vt:i4>
      </vt:variant>
      <vt:variant>
        <vt:i4>39</vt:i4>
      </vt:variant>
      <vt:variant>
        <vt:i4>0</vt:i4>
      </vt:variant>
      <vt:variant>
        <vt:i4>5</vt:i4>
      </vt:variant>
      <vt:variant>
        <vt:lpwstr>https://data.ndis.gov.au/reports-and-analyses/outcomes-and-goals/employment-outcomes-participants-their-families-and-carers</vt:lpwstr>
      </vt:variant>
      <vt:variant>
        <vt:lpwstr/>
      </vt:variant>
      <vt:variant>
        <vt:i4>1835086</vt:i4>
      </vt:variant>
      <vt:variant>
        <vt:i4>36</vt:i4>
      </vt:variant>
      <vt:variant>
        <vt:i4>0</vt:i4>
      </vt:variant>
      <vt:variant>
        <vt:i4>5</vt:i4>
      </vt:variant>
      <vt:variant>
        <vt:lpwstr>https://data.ndis.gov.au/reports-and-analyses/participant-groups/people-intellectual-disability-ndis</vt:lpwstr>
      </vt:variant>
      <vt:variant>
        <vt:lpwstr/>
      </vt:variant>
      <vt:variant>
        <vt:i4>1835086</vt:i4>
      </vt:variant>
      <vt:variant>
        <vt:i4>33</vt:i4>
      </vt:variant>
      <vt:variant>
        <vt:i4>0</vt:i4>
      </vt:variant>
      <vt:variant>
        <vt:i4>5</vt:i4>
      </vt:variant>
      <vt:variant>
        <vt:lpwstr>https://data.ndis.gov.au/reports-and-analyses/participant-groups/people-intellectual-disability-ndis</vt:lpwstr>
      </vt:variant>
      <vt:variant>
        <vt:lpwstr/>
      </vt:variant>
      <vt:variant>
        <vt:i4>7012387</vt:i4>
      </vt:variant>
      <vt:variant>
        <vt:i4>30</vt:i4>
      </vt:variant>
      <vt:variant>
        <vt:i4>0</vt:i4>
      </vt:variant>
      <vt:variant>
        <vt:i4>5</vt:i4>
      </vt:variant>
      <vt:variant>
        <vt:lpwstr>https://www.ndis.gov.au/providers/pricing-arrangements</vt:lpwstr>
      </vt:variant>
      <vt:variant>
        <vt:lpwstr/>
      </vt:variant>
      <vt:variant>
        <vt:i4>196626</vt:i4>
      </vt:variant>
      <vt:variant>
        <vt:i4>27</vt:i4>
      </vt:variant>
      <vt:variant>
        <vt:i4>0</vt:i4>
      </vt:variant>
      <vt:variant>
        <vt:i4>5</vt:i4>
      </vt:variant>
      <vt:variant>
        <vt:lpwstr>https://humanrights.gov.au/sites/default/files/NDS Financial Information.pdf</vt:lpwstr>
      </vt:variant>
      <vt:variant>
        <vt:lpwstr/>
      </vt:variant>
      <vt:variant>
        <vt:i4>2949120</vt:i4>
      </vt:variant>
      <vt:variant>
        <vt:i4>24</vt:i4>
      </vt:variant>
      <vt:variant>
        <vt:i4>0</vt:i4>
      </vt:variant>
      <vt:variant>
        <vt:i4>5</vt:i4>
      </vt:variant>
      <vt:variant>
        <vt:lpwstr>https://www.dss.gov.au/sites/default/files/documents/05_2014/accessible_tables_08-09_feb2014_-_final_0.pdf</vt:lpwstr>
      </vt:variant>
      <vt:variant>
        <vt:lpwstr/>
      </vt:variant>
      <vt:variant>
        <vt:i4>1310815</vt:i4>
      </vt:variant>
      <vt:variant>
        <vt:i4>21</vt:i4>
      </vt:variant>
      <vt:variant>
        <vt:i4>0</vt:i4>
      </vt:variant>
      <vt:variant>
        <vt:i4>5</vt:i4>
      </vt:variant>
      <vt:variant>
        <vt:lpwstr>https://www.dss.gov.au/sites/default/files/documents/05_2014/accessible_tables_09-10_feb2014_-_final.pdf</vt:lpwstr>
      </vt:variant>
      <vt:variant>
        <vt:lpwstr/>
      </vt:variant>
      <vt:variant>
        <vt:i4>5308518</vt:i4>
      </vt:variant>
      <vt:variant>
        <vt:i4>18</vt:i4>
      </vt:variant>
      <vt:variant>
        <vt:i4>0</vt:i4>
      </vt:variant>
      <vt:variant>
        <vt:i4>5</vt:i4>
      </vt:variant>
      <vt:variant>
        <vt:lpwstr>https://www.dss.gov.au/sites/default/files/files/disability-and carers/policy_research/aust_govt_vision_inclusive_employment.pdf</vt:lpwstr>
      </vt:variant>
      <vt:variant>
        <vt:lpwstr/>
      </vt:variant>
      <vt:variant>
        <vt:i4>458850</vt:i4>
      </vt:variant>
      <vt:variant>
        <vt:i4>15</vt:i4>
      </vt:variant>
      <vt:variant>
        <vt:i4>0</vt:i4>
      </vt:variant>
      <vt:variant>
        <vt:i4>5</vt:i4>
      </vt:variant>
      <vt:variant>
        <vt:lpwstr>https://www.dss.gov.au/sites/default/files/documents/05_2012/dsc_2006_report.pdf</vt:lpwstr>
      </vt:variant>
      <vt:variant>
        <vt:lpwstr/>
      </vt:variant>
      <vt:variant>
        <vt:i4>2293833</vt:i4>
      </vt:variant>
      <vt:variant>
        <vt:i4>12</vt:i4>
      </vt:variant>
      <vt:variant>
        <vt:i4>0</vt:i4>
      </vt:variant>
      <vt:variant>
        <vt:i4>5</vt:i4>
      </vt:variant>
      <vt:variant>
        <vt:lpwstr>https://www.dss.gov.au/sites/default/files/documents/05_2012/dsc2007.pdf</vt:lpwstr>
      </vt:variant>
      <vt:variant>
        <vt:lpwstr/>
      </vt:variant>
      <vt:variant>
        <vt:i4>2490473</vt:i4>
      </vt:variant>
      <vt:variant>
        <vt:i4>9</vt:i4>
      </vt:variant>
      <vt:variant>
        <vt:i4>0</vt:i4>
      </vt:variant>
      <vt:variant>
        <vt:i4>5</vt:i4>
      </vt:variant>
      <vt:variant>
        <vt:lpwstr>https://www.dss.gov.au/our-responsibilities/disability-and-carers/publications-articles/for-employers/building-better-business-opportunities-report-and-training-course</vt:lpwstr>
      </vt:variant>
      <vt:variant>
        <vt:lpwstr/>
      </vt:variant>
      <vt:variant>
        <vt:i4>8323106</vt:i4>
      </vt:variant>
      <vt:variant>
        <vt:i4>6</vt:i4>
      </vt:variant>
      <vt:variant>
        <vt:i4>0</vt:i4>
      </vt:variant>
      <vt:variant>
        <vt:i4>5</vt:i4>
      </vt:variant>
      <vt:variant>
        <vt:lpwstr>https://www.legislation.gov.au/Details/C2018C00146</vt:lpwstr>
      </vt:variant>
      <vt:variant>
        <vt:lpwstr/>
      </vt:variant>
      <vt:variant>
        <vt:i4>720962</vt:i4>
      </vt:variant>
      <vt:variant>
        <vt:i4>3</vt:i4>
      </vt:variant>
      <vt:variant>
        <vt:i4>0</vt:i4>
      </vt:variant>
      <vt:variant>
        <vt:i4>5</vt:i4>
      </vt:variant>
      <vt:variant>
        <vt:lpwstr>https://doi.org/10.3109/13668250.2017.1327040</vt:lpwstr>
      </vt:variant>
      <vt:variant>
        <vt:lpwstr/>
      </vt:variant>
      <vt:variant>
        <vt:i4>8126524</vt:i4>
      </vt:variant>
      <vt:variant>
        <vt:i4>0</vt:i4>
      </vt:variant>
      <vt:variant>
        <vt:i4>0</vt:i4>
      </vt:variant>
      <vt:variant>
        <vt:i4>5</vt:i4>
      </vt:variant>
      <vt:variant>
        <vt:lpwstr>https://assets.csi.edu.au/assets/research/Finding-Australias-Social-Enterprise-Sector-2016-Final-Report.pdf</vt:lpwstr>
      </vt:variant>
      <vt:variant>
        <vt:lpwstr/>
      </vt:variant>
      <vt:variant>
        <vt:i4>5701700</vt:i4>
      </vt:variant>
      <vt:variant>
        <vt:i4>0</vt:i4>
      </vt:variant>
      <vt:variant>
        <vt:i4>0</vt:i4>
      </vt:variant>
      <vt:variant>
        <vt:i4>5</vt:i4>
      </vt:variant>
      <vt:variant>
        <vt:lpwstr>https://doi.org/10.3233/wor-2012-1447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Buena</dc:creator>
  <cp:keywords/>
  <cp:lastModifiedBy>Erin Wilson</cp:lastModifiedBy>
  <cp:revision>2</cp:revision>
  <cp:lastPrinted>2022-11-30T03:30:00Z</cp:lastPrinted>
  <dcterms:created xsi:type="dcterms:W3CDTF">2023-03-20T02:25:00Z</dcterms:created>
  <dcterms:modified xsi:type="dcterms:W3CDTF">2023-03-20T02:25:00Z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2019-01-18T00:00:00Z</vt:filetime>
  </property>
  <property fmtid="{D5CDD505-2E9C-101B-9397-08002B2CF9AE}" pid="3" name="Creator">
    <vt:lpwstr>Adobe InDesign CC 14.0 (Macintosh)</vt:lpwstr>
  </property>
  <property fmtid="{D5CDD505-2E9C-101B-9397-08002B2CF9AE}" pid="4" name="LastSaved">
    <vt:filetime>2019-01-17T00:00:00Z</vt:filetime>
  </property>
  <property fmtid="{D5CDD505-2E9C-101B-9397-08002B2CF9AE}" pid="5" name="ContentTypeId">
    <vt:lpwstr>0x0101000328441457815B4784C7AF49121AF3B0</vt:lpwstr>
  </property>
  <property fmtid="{D5CDD505-2E9C-101B-9397-08002B2CF9AE}" pid="6" name="AuthorIds_UIVersion_5632">
    <vt:lpwstr>601</vt:lpwstr>
  </property>
  <property fmtid="{D5CDD505-2E9C-101B-9397-08002B2CF9AE}" pid="7" name="_dlc_DocIdItemGuid">
    <vt:lpwstr>9c5f1bb1-4ac3-4e43-9c39-5edd10f79b7e</vt:lpwstr>
  </property>
</Properties>
</file>