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0BD1" w14:textId="77777777" w:rsidR="00992F2F" w:rsidRPr="005435A6" w:rsidRDefault="00992F2F" w:rsidP="00992F2F">
      <w:pPr>
        <w:pStyle w:val="Title"/>
      </w:pPr>
    </w:p>
    <w:p w14:paraId="0B401D95" w14:textId="77777777" w:rsidR="00992F2F" w:rsidRPr="005435A6" w:rsidRDefault="00992F2F" w:rsidP="00992F2F">
      <w:pPr>
        <w:pStyle w:val="Title"/>
      </w:pPr>
    </w:p>
    <w:p w14:paraId="35BB89A3" w14:textId="77777777" w:rsidR="00992F2F" w:rsidRPr="00FF4CAF" w:rsidRDefault="00992F2F" w:rsidP="00992F2F">
      <w:pPr>
        <w:pStyle w:val="Title"/>
        <w:rPr>
          <w:iCs/>
          <w:sz w:val="44"/>
          <w:szCs w:val="44"/>
        </w:rPr>
      </w:pPr>
      <w:r w:rsidRPr="003113FE">
        <w:t>Employment support for people with intellectual disability: what works and how to implement it in Australia</w:t>
      </w:r>
    </w:p>
    <w:p w14:paraId="769C0801" w14:textId="77777777" w:rsidR="00992F2F" w:rsidRPr="00F9450B" w:rsidRDefault="00992F2F" w:rsidP="00992F2F">
      <w:pPr>
        <w:pStyle w:val="Subtitle"/>
      </w:pPr>
      <w:r w:rsidRPr="00F9450B">
        <w:t>Evidence synthesis report</w:t>
      </w:r>
    </w:p>
    <w:p w14:paraId="5AEC0DBD" w14:textId="77777777" w:rsidR="00992F2F" w:rsidRPr="005435A6" w:rsidRDefault="00992F2F" w:rsidP="00992F2F"/>
    <w:p w14:paraId="2CD803C6" w14:textId="77777777" w:rsidR="00992F2F" w:rsidRPr="005435A6" w:rsidRDefault="00992F2F" w:rsidP="00992F2F"/>
    <w:p w14:paraId="76157CEC" w14:textId="77777777" w:rsidR="00992F2F" w:rsidRPr="005435A6" w:rsidRDefault="00992F2F" w:rsidP="00992F2F"/>
    <w:p w14:paraId="31665A34" w14:textId="77777777" w:rsidR="00992F2F" w:rsidRDefault="00992F2F" w:rsidP="00992F2F"/>
    <w:p w14:paraId="3E9F4918" w14:textId="77777777" w:rsidR="00992F2F" w:rsidRPr="003113FE" w:rsidRDefault="00992F2F" w:rsidP="00992F2F">
      <w:r w:rsidRPr="003113FE">
        <w:t>Dr June Alexander and Dr Angela Rong Yang Zhang</w:t>
      </w:r>
    </w:p>
    <w:p w14:paraId="7FC3ED24" w14:textId="77777777" w:rsidR="00992F2F" w:rsidRPr="003113FE" w:rsidRDefault="00992F2F" w:rsidP="00992F2F">
      <w:r>
        <w:t>April</w:t>
      </w:r>
      <w:r w:rsidRPr="003113FE">
        <w:t xml:space="preserve"> 2026</w:t>
      </w:r>
      <w:r w:rsidRPr="003113FE">
        <w:fldChar w:fldCharType="begin"/>
      </w:r>
      <w:r w:rsidRPr="003113FE">
        <w:instrText xml:space="preserve"> AUTHOR  \* MERGEFORMAT </w:instrText>
      </w:r>
      <w:r w:rsidRPr="003113FE">
        <w:fldChar w:fldCharType="end"/>
      </w:r>
    </w:p>
    <w:p w14:paraId="1A6D6C9A" w14:textId="77777777" w:rsidR="00992F2F" w:rsidRPr="005435A6" w:rsidRDefault="00992F2F" w:rsidP="00992F2F"/>
    <w:p w14:paraId="72EC006C" w14:textId="77777777" w:rsidR="00992F2F" w:rsidRPr="005435A6" w:rsidRDefault="00992F2F" w:rsidP="00992F2F"/>
    <w:p w14:paraId="62D91D14" w14:textId="77777777" w:rsidR="00992F2F" w:rsidRPr="005435A6" w:rsidRDefault="00992F2F" w:rsidP="00992F2F">
      <w:pPr>
        <w:sectPr w:rsidR="00992F2F" w:rsidRPr="005435A6" w:rsidSect="00992F2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134" w:right="1134" w:bottom="1134" w:left="1134" w:header="454" w:footer="0" w:gutter="0"/>
          <w:cols w:space="708"/>
          <w:titlePg/>
          <w:docGrid w:linePitch="360"/>
        </w:sectPr>
      </w:pPr>
    </w:p>
    <w:p w14:paraId="58A58F27" w14:textId="77777777" w:rsidR="00992F2F" w:rsidRPr="00D13A94" w:rsidRDefault="00992F2F" w:rsidP="00992F2F">
      <w:pPr>
        <w:rPr>
          <w:b/>
          <w:bCs/>
        </w:rPr>
      </w:pPr>
      <w:r w:rsidRPr="00D13A94">
        <w:rPr>
          <w:b/>
          <w:bCs/>
        </w:rPr>
        <w:lastRenderedPageBreak/>
        <w:t xml:space="preserve">Acknowledgement of Country  </w:t>
      </w:r>
    </w:p>
    <w:p w14:paraId="6271A65B" w14:textId="77777777" w:rsidR="00992F2F" w:rsidRDefault="00992F2F" w:rsidP="00992F2F">
      <w:r w:rsidRPr="005435A6">
        <w:t xml:space="preserve">We respectfully acknowledge the Wurundjeri People of the Kulin Nation, who are the Traditional Owners of the land on which Centre for </w:t>
      </w:r>
      <w:r>
        <w:t xml:space="preserve">Inclusive Employment </w:t>
      </w:r>
      <w:r w:rsidRPr="005435A6">
        <w:t>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partners and visitors.</w:t>
      </w:r>
    </w:p>
    <w:p w14:paraId="3D07CD12" w14:textId="77777777" w:rsidR="00992F2F" w:rsidRDefault="00992F2F" w:rsidP="00992F2F">
      <w:r w:rsidRPr="005435A6">
        <w:t>We also acknowledge and respect the Traditional Owners of lands across Australia, their Elders, Ancestors, cultures, and heritage, and recognise the continuing sovereignties of all Aboriginal and Torres Strait Islander Nations. </w:t>
      </w:r>
    </w:p>
    <w:p w14:paraId="6F530779" w14:textId="77777777" w:rsidR="00992F2F" w:rsidRPr="005435A6" w:rsidRDefault="00992F2F" w:rsidP="00992F2F">
      <w:r w:rsidRPr="005435A6">
        <w:t>This evidence synthesis was commissioned by the Centre for Inclusive Employment</w:t>
      </w:r>
      <w:r>
        <w:t xml:space="preserve"> on behalf of the Department of Social Services.</w:t>
      </w:r>
      <w:r w:rsidRPr="005435A6">
        <w:t xml:space="preserve"> </w:t>
      </w:r>
    </w:p>
    <w:p w14:paraId="5F52A84A" w14:textId="77777777" w:rsidR="00992F2F" w:rsidRPr="00CE7644" w:rsidRDefault="00992F2F" w:rsidP="00992F2F">
      <w:pPr>
        <w:rPr>
          <w:b/>
          <w:bCs/>
        </w:rPr>
      </w:pPr>
      <w:r w:rsidRPr="00CE7644">
        <w:rPr>
          <w:b/>
          <w:bCs/>
        </w:rPr>
        <w:t>This report was prepared by:</w:t>
      </w:r>
    </w:p>
    <w:p w14:paraId="010EF7FA" w14:textId="77777777" w:rsidR="00992F2F" w:rsidRPr="005435A6" w:rsidRDefault="00992F2F" w:rsidP="00992F2F">
      <w:r w:rsidRPr="000E000B">
        <w:t>Dr June Alexander and Dr Angela Rong Yang Zhang</w:t>
      </w:r>
    </w:p>
    <w:p w14:paraId="364BE42C" w14:textId="77777777" w:rsidR="00992F2F" w:rsidRPr="005435A6" w:rsidRDefault="00992F2F" w:rsidP="00992F2F">
      <w:r>
        <w:t>April 2026</w:t>
      </w:r>
    </w:p>
    <w:p w14:paraId="187D483A" w14:textId="77777777" w:rsidR="00992F2F" w:rsidRPr="00CE7644" w:rsidRDefault="00992F2F" w:rsidP="00992F2F">
      <w:pPr>
        <w:rPr>
          <w:b/>
          <w:bCs/>
        </w:rPr>
      </w:pPr>
      <w:r w:rsidRPr="00CE7644">
        <w:rPr>
          <w:b/>
          <w:bCs/>
        </w:rPr>
        <w:t>Address for correspondence:</w:t>
      </w:r>
    </w:p>
    <w:p w14:paraId="194888A7" w14:textId="77777777" w:rsidR="00992F2F" w:rsidRPr="000E000B" w:rsidRDefault="00992F2F" w:rsidP="00992F2F">
      <w:r w:rsidRPr="000E000B">
        <w:t>College of Nursing and Health Sciences</w:t>
      </w:r>
      <w:r>
        <w:t xml:space="preserve">, </w:t>
      </w:r>
      <w:r w:rsidRPr="000E000B">
        <w:t>Flinders University</w:t>
      </w:r>
    </w:p>
    <w:p w14:paraId="0EAF2F42" w14:textId="6F3248D1" w:rsidR="00992F2F" w:rsidRPr="00895CA5" w:rsidRDefault="00992F2F" w:rsidP="00992F2F">
      <w:r w:rsidRPr="00B41256">
        <w:rPr>
          <w:b/>
          <w:bCs/>
        </w:rPr>
        <w:t>Suggested citation:</w:t>
      </w:r>
      <w:r>
        <w:t xml:space="preserve"> </w:t>
      </w:r>
      <w:r w:rsidRPr="00895CA5">
        <w:t xml:space="preserve">Alexander, J., &amp; Zhang, R. Y. A. (2026). </w:t>
      </w:r>
      <w:r w:rsidRPr="0012018A">
        <w:t>Employment support for people with intellectual disability: what works and how to implement it in Australia</w:t>
      </w:r>
      <w:r w:rsidR="00EF477C" w:rsidRPr="0012018A">
        <w:t>. Evidence synthesis report.</w:t>
      </w:r>
      <w:r w:rsidR="00554797">
        <w:t xml:space="preserve"> </w:t>
      </w:r>
      <w:r w:rsidR="00554797" w:rsidRPr="005A5608">
        <w:t>Centre for Inclusive Employment</w:t>
      </w:r>
      <w:r w:rsidR="007F3466">
        <w:t>.</w:t>
      </w:r>
      <w:r w:rsidR="00D96BCC">
        <w:t xml:space="preserve"> </w:t>
      </w:r>
      <w:hyperlink r:id="rId17" w:history="1">
        <w:r w:rsidR="00137883" w:rsidRPr="00137883">
          <w:rPr>
            <w:rStyle w:val="Hyperlink"/>
          </w:rPr>
          <w:t>https://doi.org/10.60836/g07s-0q42</w:t>
        </w:r>
      </w:hyperlink>
    </w:p>
    <w:p w14:paraId="71B4C07A" w14:textId="77777777" w:rsidR="00992F2F" w:rsidRPr="00CC334F" w:rsidRDefault="00992F2F" w:rsidP="00992F2F">
      <w:r w:rsidRPr="00B41256">
        <w:rPr>
          <w:b/>
          <w:bCs/>
        </w:rPr>
        <w:t>Disclaimer:</w:t>
      </w:r>
      <w:r w:rsidRPr="00CC334F">
        <w:t xml:space="preserve"> This evidence synthesis was produced using a methodology commissioned by the Centre for Inclusive Employment.</w:t>
      </w:r>
    </w:p>
    <w:p w14:paraId="3E490FCB" w14:textId="77777777" w:rsidR="00992F2F" w:rsidRPr="00CC334F" w:rsidRDefault="00992F2F" w:rsidP="00992F2F">
      <w:r w:rsidRPr="00CC334F">
        <w:t>The evidence was current at the time of production.</w:t>
      </w:r>
    </w:p>
    <w:p w14:paraId="42D1DFE1" w14:textId="77777777" w:rsidR="008E1368" w:rsidRDefault="008E1368" w:rsidP="00992F2F">
      <w:pPr>
        <w:rPr>
          <w:sz w:val="22"/>
        </w:rPr>
      </w:pPr>
    </w:p>
    <w:p w14:paraId="303DA993" w14:textId="77777777" w:rsidR="008E1368" w:rsidRDefault="008E1368" w:rsidP="00992F2F">
      <w:pPr>
        <w:rPr>
          <w:sz w:val="22"/>
        </w:rPr>
      </w:pPr>
    </w:p>
    <w:p w14:paraId="1E7C6B0C" w14:textId="77777777" w:rsidR="008E1368" w:rsidRDefault="008E1368" w:rsidP="00992F2F">
      <w:pPr>
        <w:rPr>
          <w:sz w:val="22"/>
        </w:rPr>
      </w:pPr>
    </w:p>
    <w:p w14:paraId="378C774F" w14:textId="77777777" w:rsidR="008E1368" w:rsidRDefault="008E1368" w:rsidP="00992F2F">
      <w:pPr>
        <w:rPr>
          <w:sz w:val="22"/>
        </w:rPr>
      </w:pPr>
    </w:p>
    <w:p w14:paraId="13EFA1CF" w14:textId="26236954" w:rsidR="00992F2F" w:rsidRPr="00CE7644" w:rsidRDefault="00992F2F" w:rsidP="00992F2F">
      <w:pPr>
        <w:rPr>
          <w:sz w:val="22"/>
        </w:rPr>
      </w:pPr>
      <w:r w:rsidRPr="00CE7644">
        <w:rPr>
          <w:sz w:val="22"/>
        </w:rPr>
        <w:t>© Commonwealth of Australia 2026</w:t>
      </w:r>
    </w:p>
    <w:p w14:paraId="2A9F79E3" w14:textId="77777777" w:rsidR="00992F2F" w:rsidRDefault="00992F2F" w:rsidP="00992F2F"/>
    <w:p w14:paraId="4313C8F7" w14:textId="77777777" w:rsidR="00992F2F" w:rsidRPr="00714F08" w:rsidRDefault="00992F2F" w:rsidP="00992F2F">
      <w:pPr>
        <w:rPr>
          <w:b/>
          <w:bCs/>
          <w:color w:val="65328F"/>
          <w:sz w:val="44"/>
          <w:szCs w:val="44"/>
        </w:rPr>
      </w:pPr>
      <w:r w:rsidRPr="00714F08">
        <w:rPr>
          <w:b/>
          <w:bCs/>
          <w:color w:val="65328F"/>
          <w:sz w:val="44"/>
          <w:szCs w:val="44"/>
        </w:rPr>
        <w:t>Contents</w:t>
      </w:r>
    </w:p>
    <w:p w14:paraId="77C6E71C" w14:textId="670C38B0" w:rsidR="003F466D" w:rsidRDefault="003F466D">
      <w:pPr>
        <w:pStyle w:val="TOC1"/>
        <w:rPr>
          <w:rFonts w:asciiTheme="minorHAnsi" w:eastAsiaTheme="minorEastAsia" w:hAnsiTheme="minorHAnsi" w:cstheme="minorBidi"/>
          <w:b w:val="0"/>
          <w:noProof/>
          <w:color w:val="auto"/>
          <w:kern w:val="2"/>
          <w:szCs w:val="24"/>
          <w:lang w:eastAsia="en-GB"/>
          <w14:ligatures w14:val="standardContextual"/>
        </w:rPr>
      </w:pPr>
      <w:r>
        <w:rPr>
          <w:sz w:val="22"/>
        </w:rPr>
        <w:fldChar w:fldCharType="begin"/>
      </w:r>
      <w:r>
        <w:rPr>
          <w:sz w:val="22"/>
        </w:rPr>
        <w:instrText xml:space="preserve"> TOC \o "1-3" \h \z </w:instrText>
      </w:r>
      <w:r>
        <w:rPr>
          <w:sz w:val="22"/>
        </w:rPr>
        <w:fldChar w:fldCharType="separate"/>
      </w:r>
      <w:hyperlink w:anchor="_Toc231484053" w:history="1">
        <w:r w:rsidRPr="00FC3B44">
          <w:rPr>
            <w:rStyle w:val="Hyperlink"/>
            <w:noProof/>
          </w:rPr>
          <w:t>Acronyms and abbreviations used in this report</w:t>
        </w:r>
        <w:r>
          <w:rPr>
            <w:noProof/>
            <w:webHidden/>
          </w:rPr>
          <w:tab/>
        </w:r>
        <w:r>
          <w:rPr>
            <w:noProof/>
            <w:webHidden/>
          </w:rPr>
          <w:fldChar w:fldCharType="begin"/>
        </w:r>
        <w:r>
          <w:rPr>
            <w:noProof/>
            <w:webHidden/>
          </w:rPr>
          <w:instrText xml:space="preserve"> PAGEREF _Toc231484053 \h </w:instrText>
        </w:r>
        <w:r>
          <w:rPr>
            <w:noProof/>
            <w:webHidden/>
          </w:rPr>
        </w:r>
        <w:r>
          <w:rPr>
            <w:noProof/>
            <w:webHidden/>
          </w:rPr>
          <w:fldChar w:fldCharType="separate"/>
        </w:r>
        <w:r w:rsidR="00771FBC">
          <w:rPr>
            <w:noProof/>
            <w:webHidden/>
          </w:rPr>
          <w:t>5</w:t>
        </w:r>
        <w:r>
          <w:rPr>
            <w:noProof/>
            <w:webHidden/>
          </w:rPr>
          <w:fldChar w:fldCharType="end"/>
        </w:r>
      </w:hyperlink>
    </w:p>
    <w:p w14:paraId="249D1908" w14:textId="5C5D7105" w:rsidR="003F466D" w:rsidRDefault="003F466D">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4054" w:history="1">
        <w:r w:rsidRPr="00FC3B44">
          <w:rPr>
            <w:rStyle w:val="Hyperlink"/>
            <w:noProof/>
          </w:rPr>
          <w:t>Executive summary</w:t>
        </w:r>
        <w:r>
          <w:rPr>
            <w:noProof/>
            <w:webHidden/>
          </w:rPr>
          <w:tab/>
        </w:r>
        <w:r>
          <w:rPr>
            <w:noProof/>
            <w:webHidden/>
          </w:rPr>
          <w:fldChar w:fldCharType="begin"/>
        </w:r>
        <w:r>
          <w:rPr>
            <w:noProof/>
            <w:webHidden/>
          </w:rPr>
          <w:instrText xml:space="preserve"> PAGEREF _Toc231484054 \h </w:instrText>
        </w:r>
        <w:r>
          <w:rPr>
            <w:noProof/>
            <w:webHidden/>
          </w:rPr>
        </w:r>
        <w:r>
          <w:rPr>
            <w:noProof/>
            <w:webHidden/>
          </w:rPr>
          <w:fldChar w:fldCharType="separate"/>
        </w:r>
        <w:r w:rsidR="00771FBC">
          <w:rPr>
            <w:noProof/>
            <w:webHidden/>
          </w:rPr>
          <w:t>6</w:t>
        </w:r>
        <w:r>
          <w:rPr>
            <w:noProof/>
            <w:webHidden/>
          </w:rPr>
          <w:fldChar w:fldCharType="end"/>
        </w:r>
      </w:hyperlink>
    </w:p>
    <w:p w14:paraId="39D60520" w14:textId="221DDBBE"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55" w:history="1">
        <w:r w:rsidRPr="00FC3B44">
          <w:rPr>
            <w:rStyle w:val="Hyperlink"/>
            <w:noProof/>
          </w:rPr>
          <w:t>What the topic is and why is it important?</w:t>
        </w:r>
        <w:r>
          <w:rPr>
            <w:noProof/>
            <w:webHidden/>
          </w:rPr>
          <w:tab/>
        </w:r>
        <w:r>
          <w:rPr>
            <w:noProof/>
            <w:webHidden/>
          </w:rPr>
          <w:fldChar w:fldCharType="begin"/>
        </w:r>
        <w:r>
          <w:rPr>
            <w:noProof/>
            <w:webHidden/>
          </w:rPr>
          <w:instrText xml:space="preserve"> PAGEREF _Toc231484055 \h </w:instrText>
        </w:r>
        <w:r>
          <w:rPr>
            <w:noProof/>
            <w:webHidden/>
          </w:rPr>
        </w:r>
        <w:r>
          <w:rPr>
            <w:noProof/>
            <w:webHidden/>
          </w:rPr>
          <w:fldChar w:fldCharType="separate"/>
        </w:r>
        <w:r w:rsidR="00771FBC">
          <w:rPr>
            <w:noProof/>
            <w:webHidden/>
          </w:rPr>
          <w:t>6</w:t>
        </w:r>
        <w:r>
          <w:rPr>
            <w:noProof/>
            <w:webHidden/>
          </w:rPr>
          <w:fldChar w:fldCharType="end"/>
        </w:r>
      </w:hyperlink>
    </w:p>
    <w:p w14:paraId="628F5F76" w14:textId="1C90175A"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56" w:history="1">
        <w:r w:rsidRPr="00FC3B44">
          <w:rPr>
            <w:rStyle w:val="Hyperlink"/>
            <w:noProof/>
          </w:rPr>
          <w:t>Background and context</w:t>
        </w:r>
        <w:r>
          <w:rPr>
            <w:noProof/>
            <w:webHidden/>
          </w:rPr>
          <w:tab/>
        </w:r>
        <w:r>
          <w:rPr>
            <w:noProof/>
            <w:webHidden/>
          </w:rPr>
          <w:fldChar w:fldCharType="begin"/>
        </w:r>
        <w:r>
          <w:rPr>
            <w:noProof/>
            <w:webHidden/>
          </w:rPr>
          <w:instrText xml:space="preserve"> PAGEREF _Toc231484056 \h </w:instrText>
        </w:r>
        <w:r>
          <w:rPr>
            <w:noProof/>
            <w:webHidden/>
          </w:rPr>
        </w:r>
        <w:r>
          <w:rPr>
            <w:noProof/>
            <w:webHidden/>
          </w:rPr>
          <w:fldChar w:fldCharType="separate"/>
        </w:r>
        <w:r w:rsidR="00771FBC">
          <w:rPr>
            <w:noProof/>
            <w:webHidden/>
          </w:rPr>
          <w:t>6</w:t>
        </w:r>
        <w:r>
          <w:rPr>
            <w:noProof/>
            <w:webHidden/>
          </w:rPr>
          <w:fldChar w:fldCharType="end"/>
        </w:r>
      </w:hyperlink>
    </w:p>
    <w:p w14:paraId="314E0C9B" w14:textId="351DD9FC"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57" w:history="1">
        <w:r w:rsidRPr="00FC3B44">
          <w:rPr>
            <w:rStyle w:val="Hyperlink"/>
            <w:noProof/>
          </w:rPr>
          <w:t>Purpose and audience</w:t>
        </w:r>
        <w:r>
          <w:rPr>
            <w:noProof/>
            <w:webHidden/>
          </w:rPr>
          <w:tab/>
        </w:r>
        <w:r>
          <w:rPr>
            <w:noProof/>
            <w:webHidden/>
          </w:rPr>
          <w:fldChar w:fldCharType="begin"/>
        </w:r>
        <w:r>
          <w:rPr>
            <w:noProof/>
            <w:webHidden/>
          </w:rPr>
          <w:instrText xml:space="preserve"> PAGEREF _Toc231484057 \h </w:instrText>
        </w:r>
        <w:r>
          <w:rPr>
            <w:noProof/>
            <w:webHidden/>
          </w:rPr>
        </w:r>
        <w:r>
          <w:rPr>
            <w:noProof/>
            <w:webHidden/>
          </w:rPr>
          <w:fldChar w:fldCharType="separate"/>
        </w:r>
        <w:r w:rsidR="00771FBC">
          <w:rPr>
            <w:noProof/>
            <w:webHidden/>
          </w:rPr>
          <w:t>7</w:t>
        </w:r>
        <w:r>
          <w:rPr>
            <w:noProof/>
            <w:webHidden/>
          </w:rPr>
          <w:fldChar w:fldCharType="end"/>
        </w:r>
      </w:hyperlink>
    </w:p>
    <w:p w14:paraId="1A466EE0" w14:textId="089C8369"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58" w:history="1">
        <w:r w:rsidRPr="00FC3B44">
          <w:rPr>
            <w:rStyle w:val="Hyperlink"/>
            <w:noProof/>
          </w:rPr>
          <w:t>Key findings</w:t>
        </w:r>
        <w:r>
          <w:rPr>
            <w:noProof/>
            <w:webHidden/>
          </w:rPr>
          <w:tab/>
        </w:r>
        <w:r>
          <w:rPr>
            <w:noProof/>
            <w:webHidden/>
          </w:rPr>
          <w:fldChar w:fldCharType="begin"/>
        </w:r>
        <w:r>
          <w:rPr>
            <w:noProof/>
            <w:webHidden/>
          </w:rPr>
          <w:instrText xml:space="preserve"> PAGEREF _Toc231484058 \h </w:instrText>
        </w:r>
        <w:r>
          <w:rPr>
            <w:noProof/>
            <w:webHidden/>
          </w:rPr>
        </w:r>
        <w:r>
          <w:rPr>
            <w:noProof/>
            <w:webHidden/>
          </w:rPr>
          <w:fldChar w:fldCharType="separate"/>
        </w:r>
        <w:r w:rsidR="00771FBC">
          <w:rPr>
            <w:noProof/>
            <w:webHidden/>
          </w:rPr>
          <w:t>7</w:t>
        </w:r>
        <w:r>
          <w:rPr>
            <w:noProof/>
            <w:webHidden/>
          </w:rPr>
          <w:fldChar w:fldCharType="end"/>
        </w:r>
      </w:hyperlink>
    </w:p>
    <w:p w14:paraId="1B1855AD" w14:textId="04064EFF" w:rsidR="003F466D" w:rsidRDefault="003F466D">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4059" w:history="1">
        <w:r w:rsidRPr="00FC3B44">
          <w:rPr>
            <w:rStyle w:val="Hyperlink"/>
            <w:noProof/>
          </w:rPr>
          <w:t>Introduction</w:t>
        </w:r>
        <w:r>
          <w:rPr>
            <w:noProof/>
            <w:webHidden/>
          </w:rPr>
          <w:tab/>
        </w:r>
        <w:r>
          <w:rPr>
            <w:noProof/>
            <w:webHidden/>
          </w:rPr>
          <w:fldChar w:fldCharType="begin"/>
        </w:r>
        <w:r>
          <w:rPr>
            <w:noProof/>
            <w:webHidden/>
          </w:rPr>
          <w:instrText xml:space="preserve"> PAGEREF _Toc231484059 \h </w:instrText>
        </w:r>
        <w:r>
          <w:rPr>
            <w:noProof/>
            <w:webHidden/>
          </w:rPr>
        </w:r>
        <w:r>
          <w:rPr>
            <w:noProof/>
            <w:webHidden/>
          </w:rPr>
          <w:fldChar w:fldCharType="separate"/>
        </w:r>
        <w:r w:rsidR="00771FBC">
          <w:rPr>
            <w:noProof/>
            <w:webHidden/>
          </w:rPr>
          <w:t>10</w:t>
        </w:r>
        <w:r>
          <w:rPr>
            <w:noProof/>
            <w:webHidden/>
          </w:rPr>
          <w:fldChar w:fldCharType="end"/>
        </w:r>
      </w:hyperlink>
    </w:p>
    <w:p w14:paraId="0F9BA092" w14:textId="1ACA3141"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60" w:history="1">
        <w:r w:rsidRPr="00FC3B44">
          <w:rPr>
            <w:rStyle w:val="Hyperlink"/>
            <w:noProof/>
          </w:rPr>
          <w:t>Aims</w:t>
        </w:r>
        <w:r>
          <w:rPr>
            <w:noProof/>
            <w:webHidden/>
          </w:rPr>
          <w:tab/>
        </w:r>
        <w:r>
          <w:rPr>
            <w:noProof/>
            <w:webHidden/>
          </w:rPr>
          <w:fldChar w:fldCharType="begin"/>
        </w:r>
        <w:r>
          <w:rPr>
            <w:noProof/>
            <w:webHidden/>
          </w:rPr>
          <w:instrText xml:space="preserve"> PAGEREF _Toc231484060 \h </w:instrText>
        </w:r>
        <w:r>
          <w:rPr>
            <w:noProof/>
            <w:webHidden/>
          </w:rPr>
        </w:r>
        <w:r>
          <w:rPr>
            <w:noProof/>
            <w:webHidden/>
          </w:rPr>
          <w:fldChar w:fldCharType="separate"/>
        </w:r>
        <w:r w:rsidR="00771FBC">
          <w:rPr>
            <w:noProof/>
            <w:webHidden/>
          </w:rPr>
          <w:t>11</w:t>
        </w:r>
        <w:r>
          <w:rPr>
            <w:noProof/>
            <w:webHidden/>
          </w:rPr>
          <w:fldChar w:fldCharType="end"/>
        </w:r>
      </w:hyperlink>
    </w:p>
    <w:p w14:paraId="606BC8E5" w14:textId="74E6A364"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61" w:history="1">
        <w:r w:rsidRPr="00FC3B44">
          <w:rPr>
            <w:rStyle w:val="Hyperlink"/>
            <w:noProof/>
          </w:rPr>
          <w:t>Methodology</w:t>
        </w:r>
        <w:r>
          <w:rPr>
            <w:noProof/>
            <w:webHidden/>
          </w:rPr>
          <w:tab/>
        </w:r>
        <w:r>
          <w:rPr>
            <w:noProof/>
            <w:webHidden/>
          </w:rPr>
          <w:fldChar w:fldCharType="begin"/>
        </w:r>
        <w:r>
          <w:rPr>
            <w:noProof/>
            <w:webHidden/>
          </w:rPr>
          <w:instrText xml:space="preserve"> PAGEREF _Toc231484061 \h </w:instrText>
        </w:r>
        <w:r>
          <w:rPr>
            <w:noProof/>
            <w:webHidden/>
          </w:rPr>
        </w:r>
        <w:r>
          <w:rPr>
            <w:noProof/>
            <w:webHidden/>
          </w:rPr>
          <w:fldChar w:fldCharType="separate"/>
        </w:r>
        <w:r w:rsidR="00771FBC">
          <w:rPr>
            <w:noProof/>
            <w:webHidden/>
          </w:rPr>
          <w:t>11</w:t>
        </w:r>
        <w:r>
          <w:rPr>
            <w:noProof/>
            <w:webHidden/>
          </w:rPr>
          <w:fldChar w:fldCharType="end"/>
        </w:r>
      </w:hyperlink>
    </w:p>
    <w:p w14:paraId="2206DA73" w14:textId="413D9E43" w:rsidR="003F466D" w:rsidRDefault="003F466D">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4062" w:history="1">
        <w:r w:rsidRPr="00FC3B44">
          <w:rPr>
            <w:rStyle w:val="Hyperlink"/>
            <w:noProof/>
          </w:rPr>
          <w:t>Findings</w:t>
        </w:r>
        <w:r>
          <w:rPr>
            <w:noProof/>
            <w:webHidden/>
          </w:rPr>
          <w:tab/>
        </w:r>
        <w:r>
          <w:rPr>
            <w:noProof/>
            <w:webHidden/>
          </w:rPr>
          <w:fldChar w:fldCharType="begin"/>
        </w:r>
        <w:r>
          <w:rPr>
            <w:noProof/>
            <w:webHidden/>
          </w:rPr>
          <w:instrText xml:space="preserve"> PAGEREF _Toc231484062 \h </w:instrText>
        </w:r>
        <w:r>
          <w:rPr>
            <w:noProof/>
            <w:webHidden/>
          </w:rPr>
        </w:r>
        <w:r>
          <w:rPr>
            <w:noProof/>
            <w:webHidden/>
          </w:rPr>
          <w:fldChar w:fldCharType="separate"/>
        </w:r>
        <w:r w:rsidR="00771FBC">
          <w:rPr>
            <w:noProof/>
            <w:webHidden/>
          </w:rPr>
          <w:t>12</w:t>
        </w:r>
        <w:r>
          <w:rPr>
            <w:noProof/>
            <w:webHidden/>
          </w:rPr>
          <w:fldChar w:fldCharType="end"/>
        </w:r>
      </w:hyperlink>
    </w:p>
    <w:p w14:paraId="7BF73EC6" w14:textId="73D100E5"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63" w:history="1">
        <w:r w:rsidRPr="00FC3B44">
          <w:rPr>
            <w:rStyle w:val="Hyperlink"/>
            <w:noProof/>
          </w:rPr>
          <w:t>What works to improve employment outcomes</w:t>
        </w:r>
        <w:r>
          <w:rPr>
            <w:noProof/>
            <w:webHidden/>
          </w:rPr>
          <w:tab/>
        </w:r>
        <w:r>
          <w:rPr>
            <w:noProof/>
            <w:webHidden/>
          </w:rPr>
          <w:fldChar w:fldCharType="begin"/>
        </w:r>
        <w:r>
          <w:rPr>
            <w:noProof/>
            <w:webHidden/>
          </w:rPr>
          <w:instrText xml:space="preserve"> PAGEREF _Toc231484063 \h </w:instrText>
        </w:r>
        <w:r>
          <w:rPr>
            <w:noProof/>
            <w:webHidden/>
          </w:rPr>
        </w:r>
        <w:r>
          <w:rPr>
            <w:noProof/>
            <w:webHidden/>
          </w:rPr>
          <w:fldChar w:fldCharType="separate"/>
        </w:r>
        <w:r w:rsidR="00771FBC">
          <w:rPr>
            <w:noProof/>
            <w:webHidden/>
          </w:rPr>
          <w:t>12</w:t>
        </w:r>
        <w:r>
          <w:rPr>
            <w:noProof/>
            <w:webHidden/>
          </w:rPr>
          <w:fldChar w:fldCharType="end"/>
        </w:r>
      </w:hyperlink>
    </w:p>
    <w:p w14:paraId="57301954" w14:textId="7A77C18C"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64" w:history="1">
        <w:r w:rsidRPr="00FC3B44">
          <w:rPr>
            <w:rStyle w:val="Hyperlink"/>
            <w:noProof/>
          </w:rPr>
          <w:t>How can effective practices be delivered in the Australian context?</w:t>
        </w:r>
        <w:r>
          <w:rPr>
            <w:noProof/>
            <w:webHidden/>
          </w:rPr>
          <w:tab/>
        </w:r>
        <w:r>
          <w:rPr>
            <w:noProof/>
            <w:webHidden/>
          </w:rPr>
          <w:fldChar w:fldCharType="begin"/>
        </w:r>
        <w:r>
          <w:rPr>
            <w:noProof/>
            <w:webHidden/>
          </w:rPr>
          <w:instrText xml:space="preserve"> PAGEREF _Toc231484064 \h </w:instrText>
        </w:r>
        <w:r>
          <w:rPr>
            <w:noProof/>
            <w:webHidden/>
          </w:rPr>
        </w:r>
        <w:r>
          <w:rPr>
            <w:noProof/>
            <w:webHidden/>
          </w:rPr>
          <w:fldChar w:fldCharType="separate"/>
        </w:r>
        <w:r w:rsidR="00771FBC">
          <w:rPr>
            <w:noProof/>
            <w:webHidden/>
          </w:rPr>
          <w:t>17</w:t>
        </w:r>
        <w:r>
          <w:rPr>
            <w:noProof/>
            <w:webHidden/>
          </w:rPr>
          <w:fldChar w:fldCharType="end"/>
        </w:r>
      </w:hyperlink>
    </w:p>
    <w:p w14:paraId="6B489ED4" w14:textId="75C0DD38"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65" w:history="1">
        <w:r w:rsidRPr="00FC3B44">
          <w:rPr>
            <w:rStyle w:val="Hyperlink"/>
            <w:noProof/>
          </w:rPr>
          <w:t>Insights from lived experience</w:t>
        </w:r>
        <w:r>
          <w:rPr>
            <w:noProof/>
            <w:webHidden/>
          </w:rPr>
          <w:tab/>
        </w:r>
        <w:r>
          <w:rPr>
            <w:noProof/>
            <w:webHidden/>
          </w:rPr>
          <w:fldChar w:fldCharType="begin"/>
        </w:r>
        <w:r>
          <w:rPr>
            <w:noProof/>
            <w:webHidden/>
          </w:rPr>
          <w:instrText xml:space="preserve"> PAGEREF _Toc231484065 \h </w:instrText>
        </w:r>
        <w:r>
          <w:rPr>
            <w:noProof/>
            <w:webHidden/>
          </w:rPr>
        </w:r>
        <w:r>
          <w:rPr>
            <w:noProof/>
            <w:webHidden/>
          </w:rPr>
          <w:fldChar w:fldCharType="separate"/>
        </w:r>
        <w:r w:rsidR="00771FBC">
          <w:rPr>
            <w:noProof/>
            <w:webHidden/>
          </w:rPr>
          <w:t>18</w:t>
        </w:r>
        <w:r>
          <w:rPr>
            <w:noProof/>
            <w:webHidden/>
          </w:rPr>
          <w:fldChar w:fldCharType="end"/>
        </w:r>
      </w:hyperlink>
    </w:p>
    <w:p w14:paraId="5C0219C2" w14:textId="2456E343" w:rsidR="003F466D" w:rsidRDefault="003F466D">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4066" w:history="1">
        <w:r w:rsidRPr="00FC3B44">
          <w:rPr>
            <w:rStyle w:val="Hyperlink"/>
            <w:noProof/>
          </w:rPr>
          <w:t>Discussion</w:t>
        </w:r>
        <w:r>
          <w:rPr>
            <w:noProof/>
            <w:webHidden/>
          </w:rPr>
          <w:tab/>
        </w:r>
        <w:r>
          <w:rPr>
            <w:noProof/>
            <w:webHidden/>
          </w:rPr>
          <w:fldChar w:fldCharType="begin"/>
        </w:r>
        <w:r>
          <w:rPr>
            <w:noProof/>
            <w:webHidden/>
          </w:rPr>
          <w:instrText xml:space="preserve"> PAGEREF _Toc231484066 \h </w:instrText>
        </w:r>
        <w:r>
          <w:rPr>
            <w:noProof/>
            <w:webHidden/>
          </w:rPr>
        </w:r>
        <w:r>
          <w:rPr>
            <w:noProof/>
            <w:webHidden/>
          </w:rPr>
          <w:fldChar w:fldCharType="separate"/>
        </w:r>
        <w:r w:rsidR="00771FBC">
          <w:rPr>
            <w:noProof/>
            <w:webHidden/>
          </w:rPr>
          <w:t>20</w:t>
        </w:r>
        <w:r>
          <w:rPr>
            <w:noProof/>
            <w:webHidden/>
          </w:rPr>
          <w:fldChar w:fldCharType="end"/>
        </w:r>
      </w:hyperlink>
    </w:p>
    <w:p w14:paraId="57A31326" w14:textId="35C6087A"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67" w:history="1">
        <w:r w:rsidRPr="00FC3B44">
          <w:rPr>
            <w:rStyle w:val="Hyperlink"/>
            <w:noProof/>
          </w:rPr>
          <w:t>What does “good” look like? Elements of effective practice</w:t>
        </w:r>
        <w:r>
          <w:rPr>
            <w:noProof/>
            <w:webHidden/>
          </w:rPr>
          <w:tab/>
        </w:r>
        <w:r>
          <w:rPr>
            <w:noProof/>
            <w:webHidden/>
          </w:rPr>
          <w:fldChar w:fldCharType="begin"/>
        </w:r>
        <w:r>
          <w:rPr>
            <w:noProof/>
            <w:webHidden/>
          </w:rPr>
          <w:instrText xml:space="preserve"> PAGEREF _Toc231484067 \h </w:instrText>
        </w:r>
        <w:r>
          <w:rPr>
            <w:noProof/>
            <w:webHidden/>
          </w:rPr>
        </w:r>
        <w:r>
          <w:rPr>
            <w:noProof/>
            <w:webHidden/>
          </w:rPr>
          <w:fldChar w:fldCharType="separate"/>
        </w:r>
        <w:r w:rsidR="00771FBC">
          <w:rPr>
            <w:noProof/>
            <w:webHidden/>
          </w:rPr>
          <w:t>20</w:t>
        </w:r>
        <w:r>
          <w:rPr>
            <w:noProof/>
            <w:webHidden/>
          </w:rPr>
          <w:fldChar w:fldCharType="end"/>
        </w:r>
      </w:hyperlink>
    </w:p>
    <w:p w14:paraId="26227352" w14:textId="30BFECB5"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68" w:history="1">
        <w:r w:rsidRPr="00FC3B44">
          <w:rPr>
            <w:rStyle w:val="Hyperlink"/>
            <w:noProof/>
          </w:rPr>
          <w:t>Resource considerations for implementation</w:t>
        </w:r>
        <w:r>
          <w:rPr>
            <w:noProof/>
            <w:webHidden/>
          </w:rPr>
          <w:tab/>
        </w:r>
        <w:r>
          <w:rPr>
            <w:noProof/>
            <w:webHidden/>
          </w:rPr>
          <w:fldChar w:fldCharType="begin"/>
        </w:r>
        <w:r>
          <w:rPr>
            <w:noProof/>
            <w:webHidden/>
          </w:rPr>
          <w:instrText xml:space="preserve"> PAGEREF _Toc231484068 \h </w:instrText>
        </w:r>
        <w:r>
          <w:rPr>
            <w:noProof/>
            <w:webHidden/>
          </w:rPr>
        </w:r>
        <w:r>
          <w:rPr>
            <w:noProof/>
            <w:webHidden/>
          </w:rPr>
          <w:fldChar w:fldCharType="separate"/>
        </w:r>
        <w:r w:rsidR="00771FBC">
          <w:rPr>
            <w:noProof/>
            <w:webHidden/>
          </w:rPr>
          <w:t>21</w:t>
        </w:r>
        <w:r>
          <w:rPr>
            <w:noProof/>
            <w:webHidden/>
          </w:rPr>
          <w:fldChar w:fldCharType="end"/>
        </w:r>
      </w:hyperlink>
    </w:p>
    <w:p w14:paraId="12AED474" w14:textId="24D75AFB"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69" w:history="1">
        <w:r w:rsidRPr="00FC3B44">
          <w:rPr>
            <w:rStyle w:val="Hyperlink"/>
            <w:noProof/>
          </w:rPr>
          <w:t>Evidence-based models of good practice</w:t>
        </w:r>
        <w:r>
          <w:rPr>
            <w:noProof/>
            <w:webHidden/>
          </w:rPr>
          <w:tab/>
        </w:r>
        <w:r>
          <w:rPr>
            <w:noProof/>
            <w:webHidden/>
          </w:rPr>
          <w:fldChar w:fldCharType="begin"/>
        </w:r>
        <w:r>
          <w:rPr>
            <w:noProof/>
            <w:webHidden/>
          </w:rPr>
          <w:instrText xml:space="preserve"> PAGEREF _Toc231484069 \h </w:instrText>
        </w:r>
        <w:r>
          <w:rPr>
            <w:noProof/>
            <w:webHidden/>
          </w:rPr>
        </w:r>
        <w:r>
          <w:rPr>
            <w:noProof/>
            <w:webHidden/>
          </w:rPr>
          <w:fldChar w:fldCharType="separate"/>
        </w:r>
        <w:r w:rsidR="00771FBC">
          <w:rPr>
            <w:noProof/>
            <w:webHidden/>
          </w:rPr>
          <w:t>22</w:t>
        </w:r>
        <w:r>
          <w:rPr>
            <w:noProof/>
            <w:webHidden/>
          </w:rPr>
          <w:fldChar w:fldCharType="end"/>
        </w:r>
      </w:hyperlink>
    </w:p>
    <w:p w14:paraId="58191A70" w14:textId="5A719C96"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70" w:history="1">
        <w:r w:rsidRPr="00FC3B44">
          <w:rPr>
            <w:rStyle w:val="Hyperlink"/>
            <w:noProof/>
          </w:rPr>
          <w:t>Practical guidance for employment services and employers</w:t>
        </w:r>
        <w:r>
          <w:rPr>
            <w:noProof/>
            <w:webHidden/>
          </w:rPr>
          <w:tab/>
        </w:r>
        <w:r>
          <w:rPr>
            <w:noProof/>
            <w:webHidden/>
          </w:rPr>
          <w:fldChar w:fldCharType="begin"/>
        </w:r>
        <w:r>
          <w:rPr>
            <w:noProof/>
            <w:webHidden/>
          </w:rPr>
          <w:instrText xml:space="preserve"> PAGEREF _Toc231484070 \h </w:instrText>
        </w:r>
        <w:r>
          <w:rPr>
            <w:noProof/>
            <w:webHidden/>
          </w:rPr>
        </w:r>
        <w:r>
          <w:rPr>
            <w:noProof/>
            <w:webHidden/>
          </w:rPr>
          <w:fldChar w:fldCharType="separate"/>
        </w:r>
        <w:r w:rsidR="00771FBC">
          <w:rPr>
            <w:noProof/>
            <w:webHidden/>
          </w:rPr>
          <w:t>24</w:t>
        </w:r>
        <w:r>
          <w:rPr>
            <w:noProof/>
            <w:webHidden/>
          </w:rPr>
          <w:fldChar w:fldCharType="end"/>
        </w:r>
      </w:hyperlink>
    </w:p>
    <w:p w14:paraId="561832A6" w14:textId="724B1390" w:rsidR="003F466D" w:rsidRDefault="003F466D">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4071" w:history="1">
        <w:r w:rsidRPr="00FC3B44">
          <w:rPr>
            <w:rStyle w:val="Hyperlink"/>
            <w:noProof/>
          </w:rPr>
          <w:t>Conclusion</w:t>
        </w:r>
        <w:r>
          <w:rPr>
            <w:noProof/>
            <w:webHidden/>
          </w:rPr>
          <w:tab/>
        </w:r>
        <w:r>
          <w:rPr>
            <w:noProof/>
            <w:webHidden/>
          </w:rPr>
          <w:fldChar w:fldCharType="begin"/>
        </w:r>
        <w:r>
          <w:rPr>
            <w:noProof/>
            <w:webHidden/>
          </w:rPr>
          <w:instrText xml:space="preserve"> PAGEREF _Toc231484071 \h </w:instrText>
        </w:r>
        <w:r>
          <w:rPr>
            <w:noProof/>
            <w:webHidden/>
          </w:rPr>
        </w:r>
        <w:r>
          <w:rPr>
            <w:noProof/>
            <w:webHidden/>
          </w:rPr>
          <w:fldChar w:fldCharType="separate"/>
        </w:r>
        <w:r w:rsidR="00771FBC">
          <w:rPr>
            <w:noProof/>
            <w:webHidden/>
          </w:rPr>
          <w:t>27</w:t>
        </w:r>
        <w:r>
          <w:rPr>
            <w:noProof/>
            <w:webHidden/>
          </w:rPr>
          <w:fldChar w:fldCharType="end"/>
        </w:r>
      </w:hyperlink>
    </w:p>
    <w:p w14:paraId="795BDCB9" w14:textId="1C064938"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72" w:history="1">
        <w:r w:rsidRPr="00FC3B44">
          <w:rPr>
            <w:rStyle w:val="Hyperlink"/>
            <w:noProof/>
          </w:rPr>
          <w:t>What good practice looks like</w:t>
        </w:r>
        <w:r>
          <w:rPr>
            <w:noProof/>
            <w:webHidden/>
          </w:rPr>
          <w:tab/>
        </w:r>
        <w:r>
          <w:rPr>
            <w:noProof/>
            <w:webHidden/>
          </w:rPr>
          <w:fldChar w:fldCharType="begin"/>
        </w:r>
        <w:r>
          <w:rPr>
            <w:noProof/>
            <w:webHidden/>
          </w:rPr>
          <w:instrText xml:space="preserve"> PAGEREF _Toc231484072 \h </w:instrText>
        </w:r>
        <w:r>
          <w:rPr>
            <w:noProof/>
            <w:webHidden/>
          </w:rPr>
        </w:r>
        <w:r>
          <w:rPr>
            <w:noProof/>
            <w:webHidden/>
          </w:rPr>
          <w:fldChar w:fldCharType="separate"/>
        </w:r>
        <w:r w:rsidR="00771FBC">
          <w:rPr>
            <w:noProof/>
            <w:webHidden/>
          </w:rPr>
          <w:t>27</w:t>
        </w:r>
        <w:r>
          <w:rPr>
            <w:noProof/>
            <w:webHidden/>
          </w:rPr>
          <w:fldChar w:fldCharType="end"/>
        </w:r>
      </w:hyperlink>
    </w:p>
    <w:p w14:paraId="542F9DEA" w14:textId="2D3D30C6" w:rsidR="003F466D" w:rsidRDefault="003F466D">
      <w:pPr>
        <w:pStyle w:val="TOC2"/>
        <w:rPr>
          <w:rFonts w:asciiTheme="minorHAnsi" w:eastAsiaTheme="minorEastAsia" w:hAnsiTheme="minorHAnsi" w:cstheme="minorBidi"/>
          <w:noProof/>
          <w:color w:val="auto"/>
          <w:kern w:val="2"/>
          <w:szCs w:val="24"/>
          <w:lang w:eastAsia="en-GB"/>
          <w14:ligatures w14:val="standardContextual"/>
        </w:rPr>
      </w:pPr>
      <w:hyperlink w:anchor="_Toc231484073" w:history="1">
        <w:r w:rsidRPr="00FC3B44">
          <w:rPr>
            <w:rStyle w:val="Hyperlink"/>
            <w:noProof/>
          </w:rPr>
          <w:t>Evidence strengths and gaps</w:t>
        </w:r>
        <w:r>
          <w:rPr>
            <w:noProof/>
            <w:webHidden/>
          </w:rPr>
          <w:tab/>
        </w:r>
        <w:r>
          <w:rPr>
            <w:noProof/>
            <w:webHidden/>
          </w:rPr>
          <w:fldChar w:fldCharType="begin"/>
        </w:r>
        <w:r>
          <w:rPr>
            <w:noProof/>
            <w:webHidden/>
          </w:rPr>
          <w:instrText xml:space="preserve"> PAGEREF _Toc231484073 \h </w:instrText>
        </w:r>
        <w:r>
          <w:rPr>
            <w:noProof/>
            <w:webHidden/>
          </w:rPr>
        </w:r>
        <w:r>
          <w:rPr>
            <w:noProof/>
            <w:webHidden/>
          </w:rPr>
          <w:fldChar w:fldCharType="separate"/>
        </w:r>
        <w:r w:rsidR="00771FBC">
          <w:rPr>
            <w:noProof/>
            <w:webHidden/>
          </w:rPr>
          <w:t>27</w:t>
        </w:r>
        <w:r>
          <w:rPr>
            <w:noProof/>
            <w:webHidden/>
          </w:rPr>
          <w:fldChar w:fldCharType="end"/>
        </w:r>
      </w:hyperlink>
    </w:p>
    <w:p w14:paraId="41CA0BD3" w14:textId="46650BEA" w:rsidR="003F466D" w:rsidRDefault="003F466D">
      <w:pPr>
        <w:pStyle w:val="TOC3"/>
        <w:rPr>
          <w:rFonts w:asciiTheme="minorHAnsi" w:eastAsiaTheme="minorEastAsia" w:hAnsiTheme="minorHAnsi" w:cstheme="minorBidi"/>
          <w:noProof/>
          <w:color w:val="auto"/>
          <w:kern w:val="2"/>
          <w:szCs w:val="24"/>
          <w:lang w:eastAsia="en-GB"/>
          <w14:ligatures w14:val="standardContextual"/>
        </w:rPr>
      </w:pPr>
      <w:hyperlink w:anchor="_Toc231484074" w:history="1">
        <w:r w:rsidRPr="00FC3B44">
          <w:rPr>
            <w:rStyle w:val="Hyperlink"/>
            <w:noProof/>
          </w:rPr>
          <w:t>Next steps</w:t>
        </w:r>
        <w:r>
          <w:rPr>
            <w:noProof/>
            <w:webHidden/>
          </w:rPr>
          <w:tab/>
        </w:r>
        <w:r>
          <w:rPr>
            <w:noProof/>
            <w:webHidden/>
          </w:rPr>
          <w:fldChar w:fldCharType="begin"/>
        </w:r>
        <w:r>
          <w:rPr>
            <w:noProof/>
            <w:webHidden/>
          </w:rPr>
          <w:instrText xml:space="preserve"> PAGEREF _Toc231484074 \h </w:instrText>
        </w:r>
        <w:r>
          <w:rPr>
            <w:noProof/>
            <w:webHidden/>
          </w:rPr>
        </w:r>
        <w:r>
          <w:rPr>
            <w:noProof/>
            <w:webHidden/>
          </w:rPr>
          <w:fldChar w:fldCharType="separate"/>
        </w:r>
        <w:r w:rsidR="00771FBC">
          <w:rPr>
            <w:noProof/>
            <w:webHidden/>
          </w:rPr>
          <w:t>28</w:t>
        </w:r>
        <w:r>
          <w:rPr>
            <w:noProof/>
            <w:webHidden/>
          </w:rPr>
          <w:fldChar w:fldCharType="end"/>
        </w:r>
      </w:hyperlink>
    </w:p>
    <w:p w14:paraId="7F34741E" w14:textId="4C7DD18E" w:rsidR="003F466D" w:rsidRDefault="003F466D">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4075" w:history="1">
        <w:r w:rsidRPr="00FC3B44">
          <w:rPr>
            <w:rStyle w:val="Hyperlink"/>
            <w:noProof/>
          </w:rPr>
          <w:t>References</w:t>
        </w:r>
        <w:r>
          <w:rPr>
            <w:noProof/>
            <w:webHidden/>
          </w:rPr>
          <w:tab/>
        </w:r>
        <w:r>
          <w:rPr>
            <w:noProof/>
            <w:webHidden/>
          </w:rPr>
          <w:fldChar w:fldCharType="begin"/>
        </w:r>
        <w:r>
          <w:rPr>
            <w:noProof/>
            <w:webHidden/>
          </w:rPr>
          <w:instrText xml:space="preserve"> PAGEREF _Toc231484075 \h </w:instrText>
        </w:r>
        <w:r>
          <w:rPr>
            <w:noProof/>
            <w:webHidden/>
          </w:rPr>
        </w:r>
        <w:r>
          <w:rPr>
            <w:noProof/>
            <w:webHidden/>
          </w:rPr>
          <w:fldChar w:fldCharType="separate"/>
        </w:r>
        <w:r w:rsidR="00771FBC">
          <w:rPr>
            <w:noProof/>
            <w:webHidden/>
          </w:rPr>
          <w:t>29</w:t>
        </w:r>
        <w:r>
          <w:rPr>
            <w:noProof/>
            <w:webHidden/>
          </w:rPr>
          <w:fldChar w:fldCharType="end"/>
        </w:r>
      </w:hyperlink>
    </w:p>
    <w:p w14:paraId="12A42641" w14:textId="1A579444" w:rsidR="00967927" w:rsidRDefault="003F466D">
      <w:pPr>
        <w:pStyle w:val="TOC1"/>
        <w:rPr>
          <w:rFonts w:asciiTheme="minorHAnsi" w:eastAsiaTheme="minorEastAsia" w:hAnsiTheme="minorHAnsi" w:cstheme="minorBidi"/>
          <w:b w:val="0"/>
          <w:noProof/>
          <w:color w:val="auto"/>
          <w:kern w:val="2"/>
          <w:szCs w:val="24"/>
          <w:lang w:eastAsia="en-GB"/>
          <w14:ligatures w14:val="standardContextual"/>
        </w:rPr>
      </w:pPr>
      <w:r>
        <w:rPr>
          <w:sz w:val="22"/>
        </w:rPr>
        <w:fldChar w:fldCharType="end"/>
      </w:r>
      <w:r w:rsidR="00967927">
        <w:rPr>
          <w:sz w:val="22"/>
        </w:rPr>
        <w:fldChar w:fldCharType="begin"/>
      </w:r>
      <w:r w:rsidR="00967927">
        <w:rPr>
          <w:sz w:val="22"/>
        </w:rPr>
        <w:instrText xml:space="preserve"> TOC \o "1-3" \h \z \u </w:instrText>
      </w:r>
      <w:r w:rsidR="00967927">
        <w:rPr>
          <w:sz w:val="22"/>
        </w:rPr>
        <w:fldChar w:fldCharType="separate"/>
      </w:r>
      <w:hyperlink w:anchor="_Toc231482867" w:history="1">
        <w:r w:rsidR="00967927" w:rsidRPr="003E0984">
          <w:rPr>
            <w:rStyle w:val="Hyperlink"/>
            <w:noProof/>
          </w:rPr>
          <w:t>Acronyms and abbreviations used in this report</w:t>
        </w:r>
        <w:r w:rsidR="00967927">
          <w:rPr>
            <w:noProof/>
            <w:webHidden/>
          </w:rPr>
          <w:tab/>
        </w:r>
        <w:r w:rsidR="00967927">
          <w:rPr>
            <w:noProof/>
            <w:webHidden/>
          </w:rPr>
          <w:fldChar w:fldCharType="begin"/>
        </w:r>
        <w:r w:rsidR="00967927">
          <w:rPr>
            <w:noProof/>
            <w:webHidden/>
          </w:rPr>
          <w:instrText xml:space="preserve"> PAGEREF _Toc231482867 \h </w:instrText>
        </w:r>
        <w:r w:rsidR="00967927">
          <w:rPr>
            <w:noProof/>
            <w:webHidden/>
          </w:rPr>
        </w:r>
        <w:r w:rsidR="00967927">
          <w:rPr>
            <w:noProof/>
            <w:webHidden/>
          </w:rPr>
          <w:fldChar w:fldCharType="separate"/>
        </w:r>
        <w:r w:rsidR="00967927">
          <w:rPr>
            <w:noProof/>
            <w:webHidden/>
          </w:rPr>
          <w:t>5</w:t>
        </w:r>
        <w:r w:rsidR="00967927">
          <w:rPr>
            <w:noProof/>
            <w:webHidden/>
          </w:rPr>
          <w:fldChar w:fldCharType="end"/>
        </w:r>
      </w:hyperlink>
    </w:p>
    <w:p w14:paraId="3E5C4A54" w14:textId="6E49C040" w:rsidR="00967927" w:rsidRDefault="00967927">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2868" w:history="1">
        <w:r w:rsidRPr="003E0984">
          <w:rPr>
            <w:rStyle w:val="Hyperlink"/>
            <w:noProof/>
          </w:rPr>
          <w:t>Executive summary</w:t>
        </w:r>
        <w:r>
          <w:rPr>
            <w:noProof/>
            <w:webHidden/>
          </w:rPr>
          <w:tab/>
        </w:r>
        <w:r>
          <w:rPr>
            <w:noProof/>
            <w:webHidden/>
          </w:rPr>
          <w:fldChar w:fldCharType="begin"/>
        </w:r>
        <w:r>
          <w:rPr>
            <w:noProof/>
            <w:webHidden/>
          </w:rPr>
          <w:instrText xml:space="preserve"> PAGEREF _Toc231482868 \h </w:instrText>
        </w:r>
        <w:r>
          <w:rPr>
            <w:noProof/>
            <w:webHidden/>
          </w:rPr>
        </w:r>
        <w:r>
          <w:rPr>
            <w:noProof/>
            <w:webHidden/>
          </w:rPr>
          <w:fldChar w:fldCharType="separate"/>
        </w:r>
        <w:r>
          <w:rPr>
            <w:noProof/>
            <w:webHidden/>
          </w:rPr>
          <w:t>6</w:t>
        </w:r>
        <w:r>
          <w:rPr>
            <w:noProof/>
            <w:webHidden/>
          </w:rPr>
          <w:fldChar w:fldCharType="end"/>
        </w:r>
      </w:hyperlink>
    </w:p>
    <w:p w14:paraId="759C53A0" w14:textId="127CA755"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69" w:history="1">
        <w:r w:rsidRPr="003E0984">
          <w:rPr>
            <w:rStyle w:val="Hyperlink"/>
            <w:noProof/>
          </w:rPr>
          <w:t>What the topic is and why is it important?</w:t>
        </w:r>
        <w:r>
          <w:rPr>
            <w:noProof/>
            <w:webHidden/>
          </w:rPr>
          <w:tab/>
        </w:r>
        <w:r>
          <w:rPr>
            <w:noProof/>
            <w:webHidden/>
          </w:rPr>
          <w:fldChar w:fldCharType="begin"/>
        </w:r>
        <w:r>
          <w:rPr>
            <w:noProof/>
            <w:webHidden/>
          </w:rPr>
          <w:instrText xml:space="preserve"> PAGEREF _Toc231482869 \h </w:instrText>
        </w:r>
        <w:r>
          <w:rPr>
            <w:noProof/>
            <w:webHidden/>
          </w:rPr>
        </w:r>
        <w:r>
          <w:rPr>
            <w:noProof/>
            <w:webHidden/>
          </w:rPr>
          <w:fldChar w:fldCharType="separate"/>
        </w:r>
        <w:r>
          <w:rPr>
            <w:noProof/>
            <w:webHidden/>
          </w:rPr>
          <w:t>6</w:t>
        </w:r>
        <w:r>
          <w:rPr>
            <w:noProof/>
            <w:webHidden/>
          </w:rPr>
          <w:fldChar w:fldCharType="end"/>
        </w:r>
      </w:hyperlink>
    </w:p>
    <w:p w14:paraId="09411C89" w14:textId="5DBDA841"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70" w:history="1">
        <w:r w:rsidRPr="003E0984">
          <w:rPr>
            <w:rStyle w:val="Hyperlink"/>
            <w:noProof/>
          </w:rPr>
          <w:t>Background and context</w:t>
        </w:r>
        <w:r>
          <w:rPr>
            <w:noProof/>
            <w:webHidden/>
          </w:rPr>
          <w:tab/>
        </w:r>
        <w:r>
          <w:rPr>
            <w:noProof/>
            <w:webHidden/>
          </w:rPr>
          <w:fldChar w:fldCharType="begin"/>
        </w:r>
        <w:r>
          <w:rPr>
            <w:noProof/>
            <w:webHidden/>
          </w:rPr>
          <w:instrText xml:space="preserve"> PAGEREF _Toc231482870 \h </w:instrText>
        </w:r>
        <w:r>
          <w:rPr>
            <w:noProof/>
            <w:webHidden/>
          </w:rPr>
        </w:r>
        <w:r>
          <w:rPr>
            <w:noProof/>
            <w:webHidden/>
          </w:rPr>
          <w:fldChar w:fldCharType="separate"/>
        </w:r>
        <w:r>
          <w:rPr>
            <w:noProof/>
            <w:webHidden/>
          </w:rPr>
          <w:t>6</w:t>
        </w:r>
        <w:r>
          <w:rPr>
            <w:noProof/>
            <w:webHidden/>
          </w:rPr>
          <w:fldChar w:fldCharType="end"/>
        </w:r>
      </w:hyperlink>
    </w:p>
    <w:p w14:paraId="21F06D8B" w14:textId="47FAE548"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71" w:history="1">
        <w:r w:rsidRPr="003E0984">
          <w:rPr>
            <w:rStyle w:val="Hyperlink"/>
            <w:noProof/>
          </w:rPr>
          <w:t>Purpose and audience</w:t>
        </w:r>
        <w:r>
          <w:rPr>
            <w:noProof/>
            <w:webHidden/>
          </w:rPr>
          <w:tab/>
        </w:r>
        <w:r>
          <w:rPr>
            <w:noProof/>
            <w:webHidden/>
          </w:rPr>
          <w:fldChar w:fldCharType="begin"/>
        </w:r>
        <w:r>
          <w:rPr>
            <w:noProof/>
            <w:webHidden/>
          </w:rPr>
          <w:instrText xml:space="preserve"> PAGEREF _Toc231482871 \h </w:instrText>
        </w:r>
        <w:r>
          <w:rPr>
            <w:noProof/>
            <w:webHidden/>
          </w:rPr>
        </w:r>
        <w:r>
          <w:rPr>
            <w:noProof/>
            <w:webHidden/>
          </w:rPr>
          <w:fldChar w:fldCharType="separate"/>
        </w:r>
        <w:r>
          <w:rPr>
            <w:noProof/>
            <w:webHidden/>
          </w:rPr>
          <w:t>7</w:t>
        </w:r>
        <w:r>
          <w:rPr>
            <w:noProof/>
            <w:webHidden/>
          </w:rPr>
          <w:fldChar w:fldCharType="end"/>
        </w:r>
      </w:hyperlink>
    </w:p>
    <w:p w14:paraId="1FA722B3" w14:textId="0E26F687"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72" w:history="1">
        <w:r w:rsidRPr="003E0984">
          <w:rPr>
            <w:rStyle w:val="Hyperlink"/>
            <w:noProof/>
          </w:rPr>
          <w:t>Key findings</w:t>
        </w:r>
        <w:r>
          <w:rPr>
            <w:noProof/>
            <w:webHidden/>
          </w:rPr>
          <w:tab/>
        </w:r>
        <w:r>
          <w:rPr>
            <w:noProof/>
            <w:webHidden/>
          </w:rPr>
          <w:fldChar w:fldCharType="begin"/>
        </w:r>
        <w:r>
          <w:rPr>
            <w:noProof/>
            <w:webHidden/>
          </w:rPr>
          <w:instrText xml:space="preserve"> PAGEREF _Toc231482872 \h </w:instrText>
        </w:r>
        <w:r>
          <w:rPr>
            <w:noProof/>
            <w:webHidden/>
          </w:rPr>
        </w:r>
        <w:r>
          <w:rPr>
            <w:noProof/>
            <w:webHidden/>
          </w:rPr>
          <w:fldChar w:fldCharType="separate"/>
        </w:r>
        <w:r>
          <w:rPr>
            <w:noProof/>
            <w:webHidden/>
          </w:rPr>
          <w:t>7</w:t>
        </w:r>
        <w:r>
          <w:rPr>
            <w:noProof/>
            <w:webHidden/>
          </w:rPr>
          <w:fldChar w:fldCharType="end"/>
        </w:r>
      </w:hyperlink>
    </w:p>
    <w:p w14:paraId="69EADF27" w14:textId="465DBC6F" w:rsidR="00967927" w:rsidRDefault="00967927">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2873" w:history="1">
        <w:r w:rsidRPr="003E0984">
          <w:rPr>
            <w:rStyle w:val="Hyperlink"/>
            <w:noProof/>
          </w:rPr>
          <w:t>Introduction</w:t>
        </w:r>
        <w:r>
          <w:rPr>
            <w:noProof/>
            <w:webHidden/>
          </w:rPr>
          <w:tab/>
        </w:r>
        <w:r>
          <w:rPr>
            <w:noProof/>
            <w:webHidden/>
          </w:rPr>
          <w:fldChar w:fldCharType="begin"/>
        </w:r>
        <w:r>
          <w:rPr>
            <w:noProof/>
            <w:webHidden/>
          </w:rPr>
          <w:instrText xml:space="preserve"> PAGEREF _Toc231482873 \h </w:instrText>
        </w:r>
        <w:r>
          <w:rPr>
            <w:noProof/>
            <w:webHidden/>
          </w:rPr>
        </w:r>
        <w:r>
          <w:rPr>
            <w:noProof/>
            <w:webHidden/>
          </w:rPr>
          <w:fldChar w:fldCharType="separate"/>
        </w:r>
        <w:r>
          <w:rPr>
            <w:noProof/>
            <w:webHidden/>
          </w:rPr>
          <w:t>10</w:t>
        </w:r>
        <w:r>
          <w:rPr>
            <w:noProof/>
            <w:webHidden/>
          </w:rPr>
          <w:fldChar w:fldCharType="end"/>
        </w:r>
      </w:hyperlink>
    </w:p>
    <w:p w14:paraId="727FC8DC" w14:textId="0B4E13AD"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74" w:history="1">
        <w:r w:rsidRPr="003E0984">
          <w:rPr>
            <w:rStyle w:val="Hyperlink"/>
            <w:noProof/>
          </w:rPr>
          <w:t>Aims</w:t>
        </w:r>
        <w:r>
          <w:rPr>
            <w:noProof/>
            <w:webHidden/>
          </w:rPr>
          <w:tab/>
        </w:r>
        <w:r>
          <w:rPr>
            <w:noProof/>
            <w:webHidden/>
          </w:rPr>
          <w:fldChar w:fldCharType="begin"/>
        </w:r>
        <w:r>
          <w:rPr>
            <w:noProof/>
            <w:webHidden/>
          </w:rPr>
          <w:instrText xml:space="preserve"> PAGEREF _Toc231482874 \h </w:instrText>
        </w:r>
        <w:r>
          <w:rPr>
            <w:noProof/>
            <w:webHidden/>
          </w:rPr>
        </w:r>
        <w:r>
          <w:rPr>
            <w:noProof/>
            <w:webHidden/>
          </w:rPr>
          <w:fldChar w:fldCharType="separate"/>
        </w:r>
        <w:r>
          <w:rPr>
            <w:noProof/>
            <w:webHidden/>
          </w:rPr>
          <w:t>11</w:t>
        </w:r>
        <w:r>
          <w:rPr>
            <w:noProof/>
            <w:webHidden/>
          </w:rPr>
          <w:fldChar w:fldCharType="end"/>
        </w:r>
      </w:hyperlink>
    </w:p>
    <w:p w14:paraId="2B499D21" w14:textId="668E3D4E"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75" w:history="1">
        <w:r w:rsidRPr="003E0984">
          <w:rPr>
            <w:rStyle w:val="Hyperlink"/>
            <w:noProof/>
          </w:rPr>
          <w:t>Methodology</w:t>
        </w:r>
        <w:r>
          <w:rPr>
            <w:noProof/>
            <w:webHidden/>
          </w:rPr>
          <w:tab/>
        </w:r>
        <w:r>
          <w:rPr>
            <w:noProof/>
            <w:webHidden/>
          </w:rPr>
          <w:fldChar w:fldCharType="begin"/>
        </w:r>
        <w:r>
          <w:rPr>
            <w:noProof/>
            <w:webHidden/>
          </w:rPr>
          <w:instrText xml:space="preserve"> PAGEREF _Toc231482875 \h </w:instrText>
        </w:r>
        <w:r>
          <w:rPr>
            <w:noProof/>
            <w:webHidden/>
          </w:rPr>
        </w:r>
        <w:r>
          <w:rPr>
            <w:noProof/>
            <w:webHidden/>
          </w:rPr>
          <w:fldChar w:fldCharType="separate"/>
        </w:r>
        <w:r>
          <w:rPr>
            <w:noProof/>
            <w:webHidden/>
          </w:rPr>
          <w:t>11</w:t>
        </w:r>
        <w:r>
          <w:rPr>
            <w:noProof/>
            <w:webHidden/>
          </w:rPr>
          <w:fldChar w:fldCharType="end"/>
        </w:r>
      </w:hyperlink>
    </w:p>
    <w:p w14:paraId="421DC28C" w14:textId="23C0508E" w:rsidR="00967927" w:rsidRDefault="00967927">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2876" w:history="1">
        <w:r w:rsidRPr="003E0984">
          <w:rPr>
            <w:rStyle w:val="Hyperlink"/>
            <w:noProof/>
          </w:rPr>
          <w:t>Findings</w:t>
        </w:r>
        <w:r>
          <w:rPr>
            <w:noProof/>
            <w:webHidden/>
          </w:rPr>
          <w:tab/>
        </w:r>
        <w:r>
          <w:rPr>
            <w:noProof/>
            <w:webHidden/>
          </w:rPr>
          <w:fldChar w:fldCharType="begin"/>
        </w:r>
        <w:r>
          <w:rPr>
            <w:noProof/>
            <w:webHidden/>
          </w:rPr>
          <w:instrText xml:space="preserve"> PAGEREF _Toc231482876 \h </w:instrText>
        </w:r>
        <w:r>
          <w:rPr>
            <w:noProof/>
            <w:webHidden/>
          </w:rPr>
        </w:r>
        <w:r>
          <w:rPr>
            <w:noProof/>
            <w:webHidden/>
          </w:rPr>
          <w:fldChar w:fldCharType="separate"/>
        </w:r>
        <w:r>
          <w:rPr>
            <w:noProof/>
            <w:webHidden/>
          </w:rPr>
          <w:t>12</w:t>
        </w:r>
        <w:r>
          <w:rPr>
            <w:noProof/>
            <w:webHidden/>
          </w:rPr>
          <w:fldChar w:fldCharType="end"/>
        </w:r>
      </w:hyperlink>
    </w:p>
    <w:p w14:paraId="0ABD3A3F" w14:textId="42448D9E"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77" w:history="1">
        <w:r w:rsidRPr="003E0984">
          <w:rPr>
            <w:rStyle w:val="Hyperlink"/>
            <w:noProof/>
          </w:rPr>
          <w:t>What works to improve employment outcomes</w:t>
        </w:r>
        <w:r>
          <w:rPr>
            <w:noProof/>
            <w:webHidden/>
          </w:rPr>
          <w:tab/>
        </w:r>
        <w:r>
          <w:rPr>
            <w:noProof/>
            <w:webHidden/>
          </w:rPr>
          <w:fldChar w:fldCharType="begin"/>
        </w:r>
        <w:r>
          <w:rPr>
            <w:noProof/>
            <w:webHidden/>
          </w:rPr>
          <w:instrText xml:space="preserve"> PAGEREF _Toc231482877 \h </w:instrText>
        </w:r>
        <w:r>
          <w:rPr>
            <w:noProof/>
            <w:webHidden/>
          </w:rPr>
        </w:r>
        <w:r>
          <w:rPr>
            <w:noProof/>
            <w:webHidden/>
          </w:rPr>
          <w:fldChar w:fldCharType="separate"/>
        </w:r>
        <w:r>
          <w:rPr>
            <w:noProof/>
            <w:webHidden/>
          </w:rPr>
          <w:t>13</w:t>
        </w:r>
        <w:r>
          <w:rPr>
            <w:noProof/>
            <w:webHidden/>
          </w:rPr>
          <w:fldChar w:fldCharType="end"/>
        </w:r>
      </w:hyperlink>
    </w:p>
    <w:p w14:paraId="18703E02" w14:textId="3A8FF2FD"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78" w:history="1">
        <w:r w:rsidRPr="003E0984">
          <w:rPr>
            <w:rStyle w:val="Hyperlink"/>
            <w:noProof/>
          </w:rPr>
          <w:t>How can effective practices be delivered in the Australian context?</w:t>
        </w:r>
        <w:r>
          <w:rPr>
            <w:noProof/>
            <w:webHidden/>
          </w:rPr>
          <w:tab/>
        </w:r>
        <w:r>
          <w:rPr>
            <w:noProof/>
            <w:webHidden/>
          </w:rPr>
          <w:fldChar w:fldCharType="begin"/>
        </w:r>
        <w:r>
          <w:rPr>
            <w:noProof/>
            <w:webHidden/>
          </w:rPr>
          <w:instrText xml:space="preserve"> PAGEREF _Toc231482878 \h </w:instrText>
        </w:r>
        <w:r>
          <w:rPr>
            <w:noProof/>
            <w:webHidden/>
          </w:rPr>
        </w:r>
        <w:r>
          <w:rPr>
            <w:noProof/>
            <w:webHidden/>
          </w:rPr>
          <w:fldChar w:fldCharType="separate"/>
        </w:r>
        <w:r>
          <w:rPr>
            <w:noProof/>
            <w:webHidden/>
          </w:rPr>
          <w:t>17</w:t>
        </w:r>
        <w:r>
          <w:rPr>
            <w:noProof/>
            <w:webHidden/>
          </w:rPr>
          <w:fldChar w:fldCharType="end"/>
        </w:r>
      </w:hyperlink>
    </w:p>
    <w:p w14:paraId="25079245" w14:textId="52138940"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79" w:history="1">
        <w:r w:rsidRPr="003E0984">
          <w:rPr>
            <w:rStyle w:val="Hyperlink"/>
            <w:noProof/>
          </w:rPr>
          <w:t>Insights from lived experience</w:t>
        </w:r>
        <w:r>
          <w:rPr>
            <w:noProof/>
            <w:webHidden/>
          </w:rPr>
          <w:tab/>
        </w:r>
        <w:r>
          <w:rPr>
            <w:noProof/>
            <w:webHidden/>
          </w:rPr>
          <w:fldChar w:fldCharType="begin"/>
        </w:r>
        <w:r>
          <w:rPr>
            <w:noProof/>
            <w:webHidden/>
          </w:rPr>
          <w:instrText xml:space="preserve"> PAGEREF _Toc231482879 \h </w:instrText>
        </w:r>
        <w:r>
          <w:rPr>
            <w:noProof/>
            <w:webHidden/>
          </w:rPr>
        </w:r>
        <w:r>
          <w:rPr>
            <w:noProof/>
            <w:webHidden/>
          </w:rPr>
          <w:fldChar w:fldCharType="separate"/>
        </w:r>
        <w:r>
          <w:rPr>
            <w:noProof/>
            <w:webHidden/>
          </w:rPr>
          <w:t>18</w:t>
        </w:r>
        <w:r>
          <w:rPr>
            <w:noProof/>
            <w:webHidden/>
          </w:rPr>
          <w:fldChar w:fldCharType="end"/>
        </w:r>
      </w:hyperlink>
    </w:p>
    <w:p w14:paraId="2E8315BE" w14:textId="5EFF796B" w:rsidR="00967927" w:rsidRDefault="00967927">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2880" w:history="1">
        <w:r w:rsidRPr="003E0984">
          <w:rPr>
            <w:rStyle w:val="Hyperlink"/>
            <w:noProof/>
          </w:rPr>
          <w:t>Discussion</w:t>
        </w:r>
        <w:r>
          <w:rPr>
            <w:noProof/>
            <w:webHidden/>
          </w:rPr>
          <w:tab/>
        </w:r>
        <w:r>
          <w:rPr>
            <w:noProof/>
            <w:webHidden/>
          </w:rPr>
          <w:fldChar w:fldCharType="begin"/>
        </w:r>
        <w:r>
          <w:rPr>
            <w:noProof/>
            <w:webHidden/>
          </w:rPr>
          <w:instrText xml:space="preserve"> PAGEREF _Toc231482880 \h </w:instrText>
        </w:r>
        <w:r>
          <w:rPr>
            <w:noProof/>
            <w:webHidden/>
          </w:rPr>
        </w:r>
        <w:r>
          <w:rPr>
            <w:noProof/>
            <w:webHidden/>
          </w:rPr>
          <w:fldChar w:fldCharType="separate"/>
        </w:r>
        <w:r>
          <w:rPr>
            <w:noProof/>
            <w:webHidden/>
          </w:rPr>
          <w:t>20</w:t>
        </w:r>
        <w:r>
          <w:rPr>
            <w:noProof/>
            <w:webHidden/>
          </w:rPr>
          <w:fldChar w:fldCharType="end"/>
        </w:r>
      </w:hyperlink>
    </w:p>
    <w:p w14:paraId="75E5E819" w14:textId="3998A1B8"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81" w:history="1">
        <w:r w:rsidRPr="003E0984">
          <w:rPr>
            <w:rStyle w:val="Hyperlink"/>
            <w:noProof/>
          </w:rPr>
          <w:t>What does “good” look like? Elements of effective practice</w:t>
        </w:r>
        <w:r>
          <w:rPr>
            <w:noProof/>
            <w:webHidden/>
          </w:rPr>
          <w:tab/>
        </w:r>
        <w:r>
          <w:rPr>
            <w:noProof/>
            <w:webHidden/>
          </w:rPr>
          <w:fldChar w:fldCharType="begin"/>
        </w:r>
        <w:r>
          <w:rPr>
            <w:noProof/>
            <w:webHidden/>
          </w:rPr>
          <w:instrText xml:space="preserve"> PAGEREF _Toc231482881 \h </w:instrText>
        </w:r>
        <w:r>
          <w:rPr>
            <w:noProof/>
            <w:webHidden/>
          </w:rPr>
        </w:r>
        <w:r>
          <w:rPr>
            <w:noProof/>
            <w:webHidden/>
          </w:rPr>
          <w:fldChar w:fldCharType="separate"/>
        </w:r>
        <w:r>
          <w:rPr>
            <w:noProof/>
            <w:webHidden/>
          </w:rPr>
          <w:t>20</w:t>
        </w:r>
        <w:r>
          <w:rPr>
            <w:noProof/>
            <w:webHidden/>
          </w:rPr>
          <w:fldChar w:fldCharType="end"/>
        </w:r>
      </w:hyperlink>
    </w:p>
    <w:p w14:paraId="1005EB44" w14:textId="7E77FCEB"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82" w:history="1">
        <w:r w:rsidRPr="003E0984">
          <w:rPr>
            <w:rStyle w:val="Hyperlink"/>
            <w:noProof/>
          </w:rPr>
          <w:t>Resource considerations for implementation</w:t>
        </w:r>
        <w:r>
          <w:rPr>
            <w:noProof/>
            <w:webHidden/>
          </w:rPr>
          <w:tab/>
        </w:r>
        <w:r>
          <w:rPr>
            <w:noProof/>
            <w:webHidden/>
          </w:rPr>
          <w:fldChar w:fldCharType="begin"/>
        </w:r>
        <w:r>
          <w:rPr>
            <w:noProof/>
            <w:webHidden/>
          </w:rPr>
          <w:instrText xml:space="preserve"> PAGEREF _Toc231482882 \h </w:instrText>
        </w:r>
        <w:r>
          <w:rPr>
            <w:noProof/>
            <w:webHidden/>
          </w:rPr>
        </w:r>
        <w:r>
          <w:rPr>
            <w:noProof/>
            <w:webHidden/>
          </w:rPr>
          <w:fldChar w:fldCharType="separate"/>
        </w:r>
        <w:r>
          <w:rPr>
            <w:noProof/>
            <w:webHidden/>
          </w:rPr>
          <w:t>21</w:t>
        </w:r>
        <w:r>
          <w:rPr>
            <w:noProof/>
            <w:webHidden/>
          </w:rPr>
          <w:fldChar w:fldCharType="end"/>
        </w:r>
      </w:hyperlink>
    </w:p>
    <w:p w14:paraId="4E1F3DA2" w14:textId="0648D03A"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83" w:history="1">
        <w:r w:rsidRPr="003E0984">
          <w:rPr>
            <w:rStyle w:val="Hyperlink"/>
            <w:noProof/>
          </w:rPr>
          <w:t>Evidence-based models of good practice</w:t>
        </w:r>
        <w:r>
          <w:rPr>
            <w:noProof/>
            <w:webHidden/>
          </w:rPr>
          <w:tab/>
        </w:r>
        <w:r>
          <w:rPr>
            <w:noProof/>
            <w:webHidden/>
          </w:rPr>
          <w:fldChar w:fldCharType="begin"/>
        </w:r>
        <w:r>
          <w:rPr>
            <w:noProof/>
            <w:webHidden/>
          </w:rPr>
          <w:instrText xml:space="preserve"> PAGEREF _Toc231482883 \h </w:instrText>
        </w:r>
        <w:r>
          <w:rPr>
            <w:noProof/>
            <w:webHidden/>
          </w:rPr>
        </w:r>
        <w:r>
          <w:rPr>
            <w:noProof/>
            <w:webHidden/>
          </w:rPr>
          <w:fldChar w:fldCharType="separate"/>
        </w:r>
        <w:r>
          <w:rPr>
            <w:noProof/>
            <w:webHidden/>
          </w:rPr>
          <w:t>22</w:t>
        </w:r>
        <w:r>
          <w:rPr>
            <w:noProof/>
            <w:webHidden/>
          </w:rPr>
          <w:fldChar w:fldCharType="end"/>
        </w:r>
      </w:hyperlink>
    </w:p>
    <w:p w14:paraId="1F8C56F5" w14:textId="7E639D13"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84" w:history="1">
        <w:r w:rsidRPr="003E0984">
          <w:rPr>
            <w:rStyle w:val="Hyperlink"/>
            <w:noProof/>
          </w:rPr>
          <w:t>Practical guidance for employment services and employers</w:t>
        </w:r>
        <w:r>
          <w:rPr>
            <w:noProof/>
            <w:webHidden/>
          </w:rPr>
          <w:tab/>
        </w:r>
        <w:r>
          <w:rPr>
            <w:noProof/>
            <w:webHidden/>
          </w:rPr>
          <w:fldChar w:fldCharType="begin"/>
        </w:r>
        <w:r>
          <w:rPr>
            <w:noProof/>
            <w:webHidden/>
          </w:rPr>
          <w:instrText xml:space="preserve"> PAGEREF _Toc231482884 \h </w:instrText>
        </w:r>
        <w:r>
          <w:rPr>
            <w:noProof/>
            <w:webHidden/>
          </w:rPr>
        </w:r>
        <w:r>
          <w:rPr>
            <w:noProof/>
            <w:webHidden/>
          </w:rPr>
          <w:fldChar w:fldCharType="separate"/>
        </w:r>
        <w:r>
          <w:rPr>
            <w:noProof/>
            <w:webHidden/>
          </w:rPr>
          <w:t>24</w:t>
        </w:r>
        <w:r>
          <w:rPr>
            <w:noProof/>
            <w:webHidden/>
          </w:rPr>
          <w:fldChar w:fldCharType="end"/>
        </w:r>
      </w:hyperlink>
    </w:p>
    <w:p w14:paraId="65F0A614" w14:textId="30C0FEAB" w:rsidR="00967927" w:rsidRDefault="00967927">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2885" w:history="1">
        <w:r w:rsidRPr="003E0984">
          <w:rPr>
            <w:rStyle w:val="Hyperlink"/>
            <w:noProof/>
          </w:rPr>
          <w:t>Conclusion</w:t>
        </w:r>
        <w:r>
          <w:rPr>
            <w:noProof/>
            <w:webHidden/>
          </w:rPr>
          <w:tab/>
        </w:r>
        <w:r>
          <w:rPr>
            <w:noProof/>
            <w:webHidden/>
          </w:rPr>
          <w:fldChar w:fldCharType="begin"/>
        </w:r>
        <w:r>
          <w:rPr>
            <w:noProof/>
            <w:webHidden/>
          </w:rPr>
          <w:instrText xml:space="preserve"> PAGEREF _Toc231482885 \h </w:instrText>
        </w:r>
        <w:r>
          <w:rPr>
            <w:noProof/>
            <w:webHidden/>
          </w:rPr>
        </w:r>
        <w:r>
          <w:rPr>
            <w:noProof/>
            <w:webHidden/>
          </w:rPr>
          <w:fldChar w:fldCharType="separate"/>
        </w:r>
        <w:r>
          <w:rPr>
            <w:noProof/>
            <w:webHidden/>
          </w:rPr>
          <w:t>27</w:t>
        </w:r>
        <w:r>
          <w:rPr>
            <w:noProof/>
            <w:webHidden/>
          </w:rPr>
          <w:fldChar w:fldCharType="end"/>
        </w:r>
      </w:hyperlink>
    </w:p>
    <w:p w14:paraId="5C204C7E" w14:textId="7085D0B0"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86" w:history="1">
        <w:r w:rsidRPr="003E0984">
          <w:rPr>
            <w:rStyle w:val="Hyperlink"/>
            <w:noProof/>
          </w:rPr>
          <w:t>What good practice looks like</w:t>
        </w:r>
        <w:r>
          <w:rPr>
            <w:noProof/>
            <w:webHidden/>
          </w:rPr>
          <w:tab/>
        </w:r>
        <w:r>
          <w:rPr>
            <w:noProof/>
            <w:webHidden/>
          </w:rPr>
          <w:fldChar w:fldCharType="begin"/>
        </w:r>
        <w:r>
          <w:rPr>
            <w:noProof/>
            <w:webHidden/>
          </w:rPr>
          <w:instrText xml:space="preserve"> PAGEREF _Toc231482886 \h </w:instrText>
        </w:r>
        <w:r>
          <w:rPr>
            <w:noProof/>
            <w:webHidden/>
          </w:rPr>
        </w:r>
        <w:r>
          <w:rPr>
            <w:noProof/>
            <w:webHidden/>
          </w:rPr>
          <w:fldChar w:fldCharType="separate"/>
        </w:r>
        <w:r>
          <w:rPr>
            <w:noProof/>
            <w:webHidden/>
          </w:rPr>
          <w:t>27</w:t>
        </w:r>
        <w:r>
          <w:rPr>
            <w:noProof/>
            <w:webHidden/>
          </w:rPr>
          <w:fldChar w:fldCharType="end"/>
        </w:r>
      </w:hyperlink>
    </w:p>
    <w:p w14:paraId="5E2367F2" w14:textId="2115CB4C" w:rsidR="00967927" w:rsidRDefault="00967927">
      <w:pPr>
        <w:pStyle w:val="TOC2"/>
        <w:rPr>
          <w:rFonts w:asciiTheme="minorHAnsi" w:eastAsiaTheme="minorEastAsia" w:hAnsiTheme="minorHAnsi" w:cstheme="minorBidi"/>
          <w:noProof/>
          <w:color w:val="auto"/>
          <w:kern w:val="2"/>
          <w:szCs w:val="24"/>
          <w:lang w:eastAsia="en-GB"/>
          <w14:ligatures w14:val="standardContextual"/>
        </w:rPr>
      </w:pPr>
      <w:hyperlink w:anchor="_Toc231482887" w:history="1">
        <w:r w:rsidRPr="003E0984">
          <w:rPr>
            <w:rStyle w:val="Hyperlink"/>
            <w:noProof/>
          </w:rPr>
          <w:t>Evidence strengths and gaps</w:t>
        </w:r>
        <w:r>
          <w:rPr>
            <w:noProof/>
            <w:webHidden/>
          </w:rPr>
          <w:tab/>
        </w:r>
        <w:r>
          <w:rPr>
            <w:noProof/>
            <w:webHidden/>
          </w:rPr>
          <w:fldChar w:fldCharType="begin"/>
        </w:r>
        <w:r>
          <w:rPr>
            <w:noProof/>
            <w:webHidden/>
          </w:rPr>
          <w:instrText xml:space="preserve"> PAGEREF _Toc231482887 \h </w:instrText>
        </w:r>
        <w:r>
          <w:rPr>
            <w:noProof/>
            <w:webHidden/>
          </w:rPr>
        </w:r>
        <w:r>
          <w:rPr>
            <w:noProof/>
            <w:webHidden/>
          </w:rPr>
          <w:fldChar w:fldCharType="separate"/>
        </w:r>
        <w:r>
          <w:rPr>
            <w:noProof/>
            <w:webHidden/>
          </w:rPr>
          <w:t>27</w:t>
        </w:r>
        <w:r>
          <w:rPr>
            <w:noProof/>
            <w:webHidden/>
          </w:rPr>
          <w:fldChar w:fldCharType="end"/>
        </w:r>
      </w:hyperlink>
    </w:p>
    <w:p w14:paraId="0F579784" w14:textId="0EDF1D04" w:rsidR="00967927" w:rsidRDefault="00967927">
      <w:pPr>
        <w:pStyle w:val="TOC3"/>
        <w:rPr>
          <w:rFonts w:asciiTheme="minorHAnsi" w:eastAsiaTheme="minorEastAsia" w:hAnsiTheme="minorHAnsi" w:cstheme="minorBidi"/>
          <w:noProof/>
          <w:color w:val="auto"/>
          <w:kern w:val="2"/>
          <w:szCs w:val="24"/>
          <w:lang w:eastAsia="en-GB"/>
          <w14:ligatures w14:val="standardContextual"/>
        </w:rPr>
      </w:pPr>
      <w:hyperlink w:anchor="_Toc231482888" w:history="1">
        <w:r w:rsidRPr="003E0984">
          <w:rPr>
            <w:rStyle w:val="Hyperlink"/>
            <w:noProof/>
          </w:rPr>
          <w:t>Next steps</w:t>
        </w:r>
        <w:r>
          <w:rPr>
            <w:noProof/>
            <w:webHidden/>
          </w:rPr>
          <w:tab/>
        </w:r>
        <w:r>
          <w:rPr>
            <w:noProof/>
            <w:webHidden/>
          </w:rPr>
          <w:fldChar w:fldCharType="begin"/>
        </w:r>
        <w:r>
          <w:rPr>
            <w:noProof/>
            <w:webHidden/>
          </w:rPr>
          <w:instrText xml:space="preserve"> PAGEREF _Toc231482888 \h </w:instrText>
        </w:r>
        <w:r>
          <w:rPr>
            <w:noProof/>
            <w:webHidden/>
          </w:rPr>
        </w:r>
        <w:r>
          <w:rPr>
            <w:noProof/>
            <w:webHidden/>
          </w:rPr>
          <w:fldChar w:fldCharType="separate"/>
        </w:r>
        <w:r>
          <w:rPr>
            <w:noProof/>
            <w:webHidden/>
          </w:rPr>
          <w:t>28</w:t>
        </w:r>
        <w:r>
          <w:rPr>
            <w:noProof/>
            <w:webHidden/>
          </w:rPr>
          <w:fldChar w:fldCharType="end"/>
        </w:r>
      </w:hyperlink>
    </w:p>
    <w:p w14:paraId="2E5C6C4F" w14:textId="73EEDA15" w:rsidR="00967927" w:rsidRDefault="00967927">
      <w:pPr>
        <w:pStyle w:val="TOC1"/>
        <w:rPr>
          <w:rFonts w:asciiTheme="minorHAnsi" w:eastAsiaTheme="minorEastAsia" w:hAnsiTheme="minorHAnsi" w:cstheme="minorBidi"/>
          <w:b w:val="0"/>
          <w:noProof/>
          <w:color w:val="auto"/>
          <w:kern w:val="2"/>
          <w:szCs w:val="24"/>
          <w:lang w:eastAsia="en-GB"/>
          <w14:ligatures w14:val="standardContextual"/>
        </w:rPr>
      </w:pPr>
      <w:hyperlink w:anchor="_Toc231482889" w:history="1">
        <w:r w:rsidRPr="003E0984">
          <w:rPr>
            <w:rStyle w:val="Hyperlink"/>
            <w:noProof/>
          </w:rPr>
          <w:t>References</w:t>
        </w:r>
        <w:r>
          <w:rPr>
            <w:noProof/>
            <w:webHidden/>
          </w:rPr>
          <w:tab/>
        </w:r>
        <w:r>
          <w:rPr>
            <w:noProof/>
            <w:webHidden/>
          </w:rPr>
          <w:fldChar w:fldCharType="begin"/>
        </w:r>
        <w:r>
          <w:rPr>
            <w:noProof/>
            <w:webHidden/>
          </w:rPr>
          <w:instrText xml:space="preserve"> PAGEREF _Toc231482889 \h </w:instrText>
        </w:r>
        <w:r>
          <w:rPr>
            <w:noProof/>
            <w:webHidden/>
          </w:rPr>
        </w:r>
        <w:r>
          <w:rPr>
            <w:noProof/>
            <w:webHidden/>
          </w:rPr>
          <w:fldChar w:fldCharType="separate"/>
        </w:r>
        <w:r>
          <w:rPr>
            <w:noProof/>
            <w:webHidden/>
          </w:rPr>
          <w:t>29</w:t>
        </w:r>
        <w:r>
          <w:rPr>
            <w:noProof/>
            <w:webHidden/>
          </w:rPr>
          <w:fldChar w:fldCharType="end"/>
        </w:r>
      </w:hyperlink>
    </w:p>
    <w:p w14:paraId="15E155A4" w14:textId="2AB3E5DF" w:rsidR="001B4AC8" w:rsidRDefault="00967927" w:rsidP="001B4AC8">
      <w:r>
        <w:rPr>
          <w:sz w:val="22"/>
        </w:rPr>
        <w:fldChar w:fldCharType="end"/>
      </w:r>
      <w:r w:rsidR="001B4AC8">
        <w:t xml:space="preserve"> </w:t>
      </w:r>
    </w:p>
    <w:p w14:paraId="7E92493F" w14:textId="751F0807" w:rsidR="000400F7" w:rsidRDefault="000400F7" w:rsidP="0001058C"/>
    <w:p w14:paraId="14A2A984" w14:textId="77777777" w:rsidR="00000B56" w:rsidRDefault="00000B56" w:rsidP="00992F2F">
      <w:pPr>
        <w:pStyle w:val="Heading1"/>
        <w:sectPr w:rsidR="00000B56" w:rsidSect="00992F2F">
          <w:footerReference w:type="first" r:id="rId18"/>
          <w:pgSz w:w="11906" w:h="16838" w:code="9"/>
          <w:pgMar w:top="1134" w:right="1134" w:bottom="1134" w:left="1134" w:header="454" w:footer="0" w:gutter="0"/>
          <w:cols w:space="708"/>
          <w:docGrid w:linePitch="360"/>
        </w:sectPr>
      </w:pPr>
      <w:bookmarkStart w:id="1" w:name="_Toc231482867"/>
      <w:bookmarkStart w:id="2" w:name="_Toc231484053"/>
    </w:p>
    <w:p w14:paraId="46DD4A33" w14:textId="77777777" w:rsidR="00992F2F" w:rsidRPr="00ED0558" w:rsidRDefault="00992F2F" w:rsidP="00992F2F">
      <w:pPr>
        <w:pStyle w:val="Heading1"/>
      </w:pPr>
      <w:r w:rsidRPr="00ED0558">
        <w:lastRenderedPageBreak/>
        <w:t>Acronyms and abbreviations used in this report</w:t>
      </w:r>
      <w:bookmarkEnd w:id="1"/>
      <w:bookmarkEnd w:id="2"/>
    </w:p>
    <w:p w14:paraId="3274726D" w14:textId="77777777" w:rsidR="00992F2F" w:rsidRPr="008F6B1B" w:rsidRDefault="00992F2F" w:rsidP="00000B56">
      <w:pPr>
        <w:pStyle w:val="ListBullet"/>
        <w:numPr>
          <w:ilvl w:val="0"/>
          <w:numId w:val="0"/>
        </w:numPr>
        <w:contextualSpacing w:val="0"/>
      </w:pPr>
      <w:r w:rsidRPr="006955DF">
        <w:rPr>
          <w:b/>
          <w:bCs/>
        </w:rPr>
        <w:t>CIE</w:t>
      </w:r>
      <w:r w:rsidRPr="008F6B1B">
        <w:t xml:space="preserve"> – </w:t>
      </w:r>
      <w:r w:rsidRPr="006955DF">
        <w:rPr>
          <w:i/>
          <w:iCs/>
        </w:rPr>
        <w:t>Competitive Integrated Employment</w:t>
      </w:r>
      <w:r w:rsidRPr="008F6B1B">
        <w:t xml:space="preserve"> (</w:t>
      </w:r>
      <w:r w:rsidRPr="00463C3A">
        <w:t>open employment</w:t>
      </w:r>
      <w:r w:rsidRPr="008F6B1B">
        <w:t xml:space="preserve">): </w:t>
      </w:r>
      <w:r w:rsidRPr="00463C3A">
        <w:t>Paid work in mainstream settings alongside people without disability, with at least minimum wages and standard conditions, and opportunities for advancement.</w:t>
      </w:r>
    </w:p>
    <w:p w14:paraId="385688A7" w14:textId="77777777" w:rsidR="00992F2F" w:rsidRPr="008F6B1B" w:rsidRDefault="00992F2F" w:rsidP="00000B56">
      <w:pPr>
        <w:pStyle w:val="ListBullet"/>
        <w:numPr>
          <w:ilvl w:val="0"/>
          <w:numId w:val="0"/>
        </w:numPr>
        <w:contextualSpacing w:val="0"/>
      </w:pPr>
      <w:r w:rsidRPr="006955DF">
        <w:rPr>
          <w:b/>
          <w:bCs/>
        </w:rPr>
        <w:t>ID</w:t>
      </w:r>
      <w:r w:rsidRPr="008F6B1B">
        <w:t xml:space="preserve"> – </w:t>
      </w:r>
      <w:r w:rsidRPr="006955DF">
        <w:rPr>
          <w:i/>
          <w:iCs/>
        </w:rPr>
        <w:t>Intellectual Disability</w:t>
      </w:r>
      <w:r w:rsidRPr="008F6B1B">
        <w:t xml:space="preserve">: A disability involving significant limitations in cognitive functioning and adaptive skills, originating before adulthood. In this report, </w:t>
      </w:r>
      <w:r w:rsidRPr="006955DF">
        <w:rPr>
          <w:i/>
          <w:iCs/>
        </w:rPr>
        <w:t>ID</w:t>
      </w:r>
      <w:r w:rsidRPr="008F6B1B">
        <w:t xml:space="preserve"> refers to </w:t>
      </w:r>
      <w:r w:rsidRPr="00A314DF">
        <w:t>people</w:t>
      </w:r>
      <w:r w:rsidRPr="008F6B1B">
        <w:t xml:space="preserve"> identified by researchers as having intellectual disability (sometimes alongside other developmental disabilities or autism).</w:t>
      </w:r>
    </w:p>
    <w:p w14:paraId="6AC54C53" w14:textId="77777777" w:rsidR="00992F2F" w:rsidRPr="008F6B1B" w:rsidRDefault="00992F2F" w:rsidP="00000B56">
      <w:pPr>
        <w:pStyle w:val="ListBullet"/>
        <w:numPr>
          <w:ilvl w:val="0"/>
          <w:numId w:val="0"/>
        </w:numPr>
        <w:contextualSpacing w:val="0"/>
      </w:pPr>
      <w:r w:rsidRPr="006955DF">
        <w:rPr>
          <w:b/>
          <w:bCs/>
        </w:rPr>
        <w:t>NDIS</w:t>
      </w:r>
      <w:r w:rsidRPr="008F6B1B">
        <w:t xml:space="preserve"> – </w:t>
      </w:r>
      <w:r w:rsidRPr="006955DF">
        <w:rPr>
          <w:i/>
          <w:iCs/>
        </w:rPr>
        <w:t>National Disability Insurance Scheme</w:t>
      </w:r>
      <w:r w:rsidRPr="008F6B1B">
        <w:t xml:space="preserve">: </w:t>
      </w:r>
      <w:r w:rsidRPr="00A314DF">
        <w:t>Australia’s</w:t>
      </w:r>
      <w:r w:rsidRPr="008F6B1B">
        <w:t xml:space="preserve"> national system for funding disability supports, including employment-related supports.</w:t>
      </w:r>
    </w:p>
    <w:p w14:paraId="2E0E0E4E" w14:textId="77777777" w:rsidR="00992F2F" w:rsidRPr="008F6B1B" w:rsidRDefault="00992F2F" w:rsidP="00000B56">
      <w:pPr>
        <w:pStyle w:val="ListBullet"/>
        <w:numPr>
          <w:ilvl w:val="0"/>
          <w:numId w:val="0"/>
        </w:numPr>
        <w:contextualSpacing w:val="0"/>
      </w:pPr>
      <w:r w:rsidRPr="006955DF">
        <w:rPr>
          <w:b/>
          <w:bCs/>
        </w:rPr>
        <w:t>ADE</w:t>
      </w:r>
      <w:r w:rsidRPr="008F6B1B">
        <w:t xml:space="preserve"> – </w:t>
      </w:r>
      <w:r w:rsidRPr="006955DF">
        <w:rPr>
          <w:i/>
          <w:iCs/>
        </w:rPr>
        <w:t>Australian Disability Enterprise</w:t>
      </w:r>
      <w:r w:rsidRPr="008F6B1B">
        <w:t>: A traditionally segregated workplace (such as a sheltered workshop) employing people with disability, often paying a productivity-based wage.</w:t>
      </w:r>
    </w:p>
    <w:p w14:paraId="6C478D71" w14:textId="77777777" w:rsidR="00992F2F" w:rsidRPr="00B143DA" w:rsidRDefault="00992F2F" w:rsidP="00992F2F"/>
    <w:p w14:paraId="100A105B" w14:textId="77777777" w:rsidR="00992F2F" w:rsidRDefault="00992F2F" w:rsidP="00992F2F">
      <w:r>
        <w:br w:type="page"/>
      </w:r>
    </w:p>
    <w:p w14:paraId="6D22208A" w14:textId="77777777" w:rsidR="00992F2F" w:rsidRPr="00ED0558" w:rsidRDefault="00992F2F" w:rsidP="00992F2F">
      <w:pPr>
        <w:pStyle w:val="Heading1"/>
      </w:pPr>
      <w:bookmarkStart w:id="3" w:name="_Toc231482868"/>
      <w:bookmarkStart w:id="4" w:name="_Toc231484054"/>
      <w:r w:rsidRPr="00ED0558">
        <w:lastRenderedPageBreak/>
        <w:t>Executive summary</w:t>
      </w:r>
      <w:bookmarkEnd w:id="3"/>
      <w:bookmarkEnd w:id="4"/>
    </w:p>
    <w:p w14:paraId="514731C9" w14:textId="77777777" w:rsidR="00992F2F" w:rsidRPr="00ED0558" w:rsidRDefault="00992F2F" w:rsidP="00992F2F">
      <w:pPr>
        <w:pStyle w:val="Heading2"/>
      </w:pPr>
      <w:bookmarkStart w:id="5" w:name="_Toc231482869"/>
      <w:bookmarkStart w:id="6" w:name="_Toc231484055"/>
      <w:r w:rsidRPr="004B6997">
        <w:t xml:space="preserve">What the topic is and why </w:t>
      </w:r>
      <w:r>
        <w:t>is it</w:t>
      </w:r>
      <w:r w:rsidRPr="004B6997">
        <w:t xml:space="preserve"> important</w:t>
      </w:r>
      <w:r>
        <w:t>?</w:t>
      </w:r>
      <w:bookmarkEnd w:id="5"/>
      <w:bookmarkEnd w:id="6"/>
    </w:p>
    <w:p w14:paraId="334DDC30" w14:textId="77777777" w:rsidR="00992F2F" w:rsidRPr="00A91DC2" w:rsidRDefault="00992F2F" w:rsidP="00992F2F">
      <w:r w:rsidRPr="00A91DC2">
        <w:t xml:space="preserve">People with intellectual disability in Australia are much less likely to work in </w:t>
      </w:r>
      <w:r>
        <w:t>open</w:t>
      </w:r>
      <w:r w:rsidRPr="00A91DC2">
        <w:t xml:space="preserve"> employment than people without disability</w:t>
      </w:r>
      <w:r>
        <w:t xml:space="preserve"> </w:t>
      </w:r>
      <w:r>
        <w:rPr>
          <w:noProof/>
        </w:rPr>
        <w:t>(Australian Institute of Health and Welfare, 2024)</w:t>
      </w:r>
      <w:r>
        <w:t>.</w:t>
      </w:r>
      <w:r w:rsidRPr="00A91DC2">
        <w:t xml:space="preserve"> Even when they do find jobs, they often face challenges in keeping them or progressing. </w:t>
      </w:r>
      <w:r>
        <w:t>Common b</w:t>
      </w:r>
      <w:r w:rsidRPr="00A91DC2">
        <w:t>arriers include limited work experience, low expectations, and a lack of ongoing support</w:t>
      </w:r>
      <w:r>
        <w:t xml:space="preserve"> </w:t>
      </w:r>
      <w:r>
        <w:rPr>
          <w:noProof/>
        </w:rPr>
        <w:t>(Carlson et al., 2020; Enticott &amp; Dew, 2026; Gilson et al., 2018)</w:t>
      </w:r>
      <w:r>
        <w:t xml:space="preserve">. </w:t>
      </w:r>
      <w:r w:rsidRPr="00A91DC2">
        <w:t xml:space="preserve">With the launch of Inclusive </w:t>
      </w:r>
      <w:r w:rsidRPr="0013299D">
        <w:t>Employment</w:t>
      </w:r>
      <w:r w:rsidRPr="00A91DC2">
        <w:t xml:space="preserve"> Australia in 2025 and reforms to end segregated employment</w:t>
      </w:r>
      <w:r>
        <w:t xml:space="preserve"> </w:t>
      </w:r>
      <w:r>
        <w:rPr>
          <w:noProof/>
        </w:rPr>
        <w:t>(Department of Social Services, 2024, 2025)</w:t>
      </w:r>
      <w:r>
        <w:t xml:space="preserve">, </w:t>
      </w:r>
      <w:r w:rsidRPr="00A91DC2">
        <w:t>now is a critical time to apply evidence-based strategies that help people with intellectual disability succeed in mainstream jobs.</w:t>
      </w:r>
    </w:p>
    <w:p w14:paraId="4D04F40E" w14:textId="77777777" w:rsidR="00992F2F" w:rsidRPr="00ED0558" w:rsidRDefault="00992F2F" w:rsidP="00992F2F">
      <w:pPr>
        <w:pStyle w:val="Heading2"/>
      </w:pPr>
      <w:bookmarkStart w:id="7" w:name="_Toc231482870"/>
      <w:bookmarkStart w:id="8" w:name="_Toc231484056"/>
      <w:r w:rsidRPr="00ED0558">
        <w:t>Background and context</w:t>
      </w:r>
      <w:bookmarkEnd w:id="7"/>
      <w:bookmarkEnd w:id="8"/>
      <w:r w:rsidRPr="00ED0558">
        <w:t xml:space="preserve">  </w:t>
      </w:r>
    </w:p>
    <w:p w14:paraId="52139606" w14:textId="77777777" w:rsidR="00992F2F" w:rsidRPr="00E8219F" w:rsidRDefault="00992F2F" w:rsidP="00992F2F">
      <w:r w:rsidRPr="00A04B1B">
        <w:t>Australia has entered a period of renewed national focus on improving employment outcomes for people with disability</w:t>
      </w:r>
      <w:r>
        <w:t xml:space="preserve">. </w:t>
      </w:r>
      <w:r w:rsidRPr="00E8219F">
        <w:t>This evidence synthesis was commissioned to support the implementation of Inclusive Employment Australia, the new national disability employment programme launched in late 2025</w:t>
      </w:r>
      <w:r>
        <w:t xml:space="preserve"> </w:t>
      </w:r>
      <w:r>
        <w:rPr>
          <w:noProof/>
        </w:rPr>
        <w:t>(Department of Social Services, 2025)</w:t>
      </w:r>
      <w:r>
        <w:t>. Inclusive Employment Australia</w:t>
      </w:r>
      <w:r w:rsidRPr="00E8219F">
        <w:t xml:space="preserve"> replaces the former Disability Employment Services (DES) model and aims to provide longer-term, flexible support for people with disability in open employment. It forms part of a broader shift in Australian disability policy</w:t>
      </w:r>
      <w:r>
        <w:t xml:space="preserve">, </w:t>
      </w:r>
      <w:r w:rsidRPr="00E8219F">
        <w:t>including the phasing out of segregated employment and sub-minimum wages</w:t>
      </w:r>
      <w:r>
        <w:t xml:space="preserve">, </w:t>
      </w:r>
      <w:r>
        <w:rPr>
          <w:noProof/>
        </w:rPr>
        <w:t>(Department of Health, 2025)</w:t>
      </w:r>
      <w:r>
        <w:t xml:space="preserve"> </w:t>
      </w:r>
      <w:r w:rsidRPr="00E8219F">
        <w:t>towards more inclusive, rights</w:t>
      </w:r>
      <w:r>
        <w:t>-</w:t>
      </w:r>
      <w:r w:rsidRPr="00E8219F">
        <w:t>based approaches.</w:t>
      </w:r>
    </w:p>
    <w:p w14:paraId="546F5552" w14:textId="77777777" w:rsidR="00992F2F" w:rsidRPr="00E8219F" w:rsidRDefault="00992F2F" w:rsidP="00992F2F">
      <w:r w:rsidRPr="00E8219F">
        <w:t>At the same time, the National Disability Insurance Scheme (NDIS) continues to fund individualised employment supports, such as School Leaver Employment Supports (SLES) and on-the-job assistance. These changes create new opportunities</w:t>
      </w:r>
      <w:r>
        <w:t xml:space="preserve"> – and </w:t>
      </w:r>
      <w:r w:rsidRPr="00E8219F">
        <w:t xml:space="preserve">new responsibilities </w:t>
      </w:r>
      <w:r>
        <w:t xml:space="preserve">– </w:t>
      </w:r>
      <w:r w:rsidRPr="00E8219F">
        <w:t>for employment services, support providers, and employers to deliver evidence-informed practices that lead to better outcomes.</w:t>
      </w:r>
    </w:p>
    <w:p w14:paraId="4E290F44" w14:textId="2FC4D800" w:rsidR="00992F2F" w:rsidRPr="00B143DA" w:rsidRDefault="00992F2F" w:rsidP="00992F2F">
      <w:r w:rsidRPr="00E8219F">
        <w:t xml:space="preserve">This review brings together the latest research from Australia and internationally to identify what works in supporting people with intellectual disability to find and keep meaningful, paid work in mainstream settings. </w:t>
      </w:r>
      <w:r w:rsidRPr="00B143DA">
        <w:t xml:space="preserve">This report focuses on employment supports in the context of recent reforms (see </w:t>
      </w:r>
      <w:r w:rsidRPr="00930D3C">
        <w:t>Appendix H</w:t>
      </w:r>
      <w:r w:rsidR="00930D3C">
        <w:t xml:space="preserve"> of </w:t>
      </w:r>
      <w:r w:rsidR="005F6FCF">
        <w:t>t</w:t>
      </w:r>
      <w:r w:rsidR="00216F13">
        <w:t>echnical report (</w:t>
      </w:r>
      <w:r w:rsidR="00FD58B0">
        <w:t>Alexander &amp; Zhang</w:t>
      </w:r>
      <w:r w:rsidR="008A040D">
        <w:t>,</w:t>
      </w:r>
      <w:r w:rsidR="0077074C" w:rsidRPr="0077074C">
        <w:t xml:space="preserve"> 2026)</w:t>
      </w:r>
      <w:r w:rsidRPr="00B143DA">
        <w:t xml:space="preserve"> for a timeline of policy milestones</w:t>
      </w:r>
      <w:r>
        <w:t>).</w:t>
      </w:r>
    </w:p>
    <w:p w14:paraId="40A1C8C2" w14:textId="77777777" w:rsidR="00992F2F" w:rsidRPr="00ED0558" w:rsidRDefault="00992F2F" w:rsidP="00992F2F">
      <w:pPr>
        <w:pStyle w:val="Heading2"/>
      </w:pPr>
      <w:bookmarkStart w:id="9" w:name="_Toc231482871"/>
      <w:bookmarkStart w:id="10" w:name="_Toc231484057"/>
      <w:r w:rsidRPr="00ED0558">
        <w:lastRenderedPageBreak/>
        <w:t>Purpose and audience</w:t>
      </w:r>
      <w:bookmarkEnd w:id="9"/>
      <w:bookmarkEnd w:id="10"/>
    </w:p>
    <w:p w14:paraId="199F978A" w14:textId="77777777" w:rsidR="00992F2F" w:rsidRPr="00F47BC4" w:rsidRDefault="00992F2F" w:rsidP="00992F2F">
      <w:r w:rsidRPr="00F47BC4">
        <w:t>This review aims to identify the most effective ways to support people with intellectual disability to achieve meaningful, sustained employment in open settings. It focuses on practical strategies that can be implemented by employment services, disability support providers, and employers, and is intended to inform day</w:t>
      </w:r>
      <w:r>
        <w:t>-</w:t>
      </w:r>
      <w:r w:rsidRPr="00F47BC4">
        <w:t>to-day practice, workforce training, and programme design.</w:t>
      </w:r>
    </w:p>
    <w:p w14:paraId="1A85538A" w14:textId="77777777" w:rsidR="00992F2F" w:rsidRPr="00640837" w:rsidRDefault="00992F2F" w:rsidP="00992F2F">
      <w:r w:rsidRPr="000B2C20">
        <w:t>This report is for frontline employment consultants and job coaches, NDIS</w:t>
      </w:r>
      <w:r>
        <w:t>-</w:t>
      </w:r>
      <w:r w:rsidRPr="000B2C20">
        <w:t>funded support providers, service managers, employers, and policymakers. It summarises what works, what doesn</w:t>
      </w:r>
      <w:r w:rsidRPr="000B2C20">
        <w:rPr>
          <w:rFonts w:ascii="Verdana" w:hAnsi="Verdana" w:cs="Verdana"/>
        </w:rPr>
        <w:t>’</w:t>
      </w:r>
      <w:r w:rsidRPr="000B2C20">
        <w:t>t, and how to apply evidence</w:t>
      </w:r>
      <w:r>
        <w:t>-</w:t>
      </w:r>
      <w:r w:rsidRPr="000B2C20">
        <w:t>informed strategies in real workplaces and services.</w:t>
      </w:r>
    </w:p>
    <w:p w14:paraId="07E296C6" w14:textId="77777777" w:rsidR="00992F2F" w:rsidRDefault="00992F2F" w:rsidP="00992F2F">
      <w:pPr>
        <w:pStyle w:val="Heading2"/>
      </w:pPr>
      <w:bookmarkStart w:id="11" w:name="_Toc231482872"/>
      <w:bookmarkStart w:id="12" w:name="_Toc231484058"/>
      <w:r w:rsidRPr="00ED0558">
        <w:t>Key findings</w:t>
      </w:r>
      <w:bookmarkEnd w:id="11"/>
      <w:bookmarkEnd w:id="12"/>
    </w:p>
    <w:p w14:paraId="53E330EF" w14:textId="2F73A688" w:rsidR="003005BE" w:rsidRDefault="00992F2F" w:rsidP="00992F2F">
      <w:r w:rsidRPr="00832D39">
        <w:t>This report looked at what helps people with intellectual disability get and keep good jobs in regular workplaces. It also looked at what doesn’t work, what makes jobs better, and what services and employers can do to help.</w:t>
      </w:r>
    </w:p>
    <w:tbl>
      <w:tblPr>
        <w:tblStyle w:val="CIETable"/>
        <w:tblW w:w="0" w:type="auto"/>
        <w:tblLook w:val="04A0" w:firstRow="1" w:lastRow="0" w:firstColumn="1" w:lastColumn="0" w:noHBand="0" w:noVBand="1"/>
      </w:tblPr>
      <w:tblGrid>
        <w:gridCol w:w="9628"/>
      </w:tblGrid>
      <w:tr w:rsidR="00880AFD" w:rsidRPr="00880AFD" w14:paraId="7BF161DC" w14:textId="77777777" w:rsidTr="00C6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E13E2D2" w14:textId="77777777" w:rsidR="00880AFD" w:rsidRPr="00880AFD" w:rsidRDefault="00880AFD" w:rsidP="00880AFD">
            <w:pPr>
              <w:spacing w:before="60" w:after="60" w:line="280" w:lineRule="atLeast"/>
              <w:rPr>
                <w:rFonts w:cs="Poppins"/>
                <w:b/>
                <w:szCs w:val="36"/>
              </w:rPr>
            </w:pPr>
            <w:r w:rsidRPr="00880AFD">
              <w:rPr>
                <w:rFonts w:cs="Poppins"/>
                <w:b/>
                <w:szCs w:val="36"/>
              </w:rPr>
              <w:t>Actions for providers:</w:t>
            </w:r>
          </w:p>
        </w:tc>
      </w:tr>
      <w:tr w:rsidR="00880AFD" w:rsidRPr="00880AFD" w14:paraId="798C3777" w14:textId="77777777" w:rsidTr="00C6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6443160" w14:textId="77777777" w:rsidR="00880AFD" w:rsidRPr="00880AFD" w:rsidRDefault="00880AFD" w:rsidP="00880AFD">
            <w:pPr>
              <w:numPr>
                <w:ilvl w:val="0"/>
                <w:numId w:val="54"/>
              </w:numPr>
              <w:spacing w:before="120" w:after="120"/>
              <w:ind w:left="360"/>
              <w:rPr>
                <w:rFonts w:cs="Poppins"/>
                <w:b w:val="0"/>
                <w:szCs w:val="20"/>
                <w:lang w:val="en-US"/>
              </w:rPr>
            </w:pPr>
            <w:r w:rsidRPr="00880AFD">
              <w:rPr>
                <w:rFonts w:cs="Poppins"/>
                <w:b w:val="0"/>
                <w:szCs w:val="20"/>
                <w:lang w:val="en-US"/>
              </w:rPr>
              <w:t>Work with employers across the whole employment journey, not just when there's a job to fill.</w:t>
            </w:r>
          </w:p>
          <w:p w14:paraId="312724D7" w14:textId="77777777" w:rsidR="00880AFD" w:rsidRPr="00880AFD" w:rsidRDefault="00880AFD" w:rsidP="00880AFD">
            <w:pPr>
              <w:numPr>
                <w:ilvl w:val="0"/>
                <w:numId w:val="54"/>
              </w:numPr>
              <w:spacing w:before="120" w:after="120"/>
              <w:ind w:left="360"/>
              <w:rPr>
                <w:rFonts w:cs="Poppins"/>
                <w:b w:val="0"/>
                <w:szCs w:val="20"/>
                <w:lang w:val="en-US"/>
              </w:rPr>
            </w:pPr>
            <w:r w:rsidRPr="00880AFD">
              <w:rPr>
                <w:rFonts w:cs="Poppins"/>
                <w:b w:val="0"/>
                <w:szCs w:val="20"/>
                <w:lang w:val="en-US"/>
              </w:rPr>
              <w:t xml:space="preserve">Focus on building relationships, making practical adjustments, and keeping people included at every stage – this is what makes jobs last. </w:t>
            </w:r>
          </w:p>
          <w:p w14:paraId="45BD1469" w14:textId="77777777" w:rsidR="00880AFD" w:rsidRPr="00880AFD" w:rsidRDefault="00880AFD" w:rsidP="00880AFD">
            <w:pPr>
              <w:numPr>
                <w:ilvl w:val="0"/>
                <w:numId w:val="54"/>
              </w:numPr>
              <w:spacing w:before="120" w:after="120"/>
              <w:ind w:left="360"/>
              <w:rPr>
                <w:rFonts w:cs="Poppins"/>
                <w:b w:val="0"/>
                <w:szCs w:val="20"/>
                <w:lang w:val="en-US"/>
              </w:rPr>
            </w:pPr>
            <w:r w:rsidRPr="00880AFD">
              <w:rPr>
                <w:rFonts w:cs="Poppins"/>
                <w:b w:val="0"/>
                <w:szCs w:val="20"/>
                <w:lang w:val="en-US"/>
              </w:rPr>
              <w:t>Be willing to adjust how much support and what kind of support you offer based on where the employer is at, their organisation, and what's happening around them.</w:t>
            </w:r>
          </w:p>
          <w:p w14:paraId="01C4E4DA" w14:textId="77777777" w:rsidR="00880AFD" w:rsidRPr="00880AFD" w:rsidRDefault="00880AFD" w:rsidP="00880AFD">
            <w:pPr>
              <w:numPr>
                <w:ilvl w:val="0"/>
                <w:numId w:val="54"/>
              </w:numPr>
              <w:spacing w:before="120" w:after="120"/>
              <w:ind w:left="360"/>
              <w:rPr>
                <w:rFonts w:cs="Poppins"/>
                <w:b w:val="0"/>
                <w:szCs w:val="20"/>
                <w:lang w:val="en-US"/>
              </w:rPr>
            </w:pPr>
            <w:r w:rsidRPr="00880AFD">
              <w:rPr>
                <w:rFonts w:cs="Poppins"/>
                <w:b w:val="0"/>
                <w:szCs w:val="20"/>
                <w:lang w:val="en-US"/>
              </w:rPr>
              <w:t>Build employer confidence and capability over time, matching your approach to what they actually need.</w:t>
            </w:r>
          </w:p>
        </w:tc>
      </w:tr>
    </w:tbl>
    <w:p w14:paraId="097A2990" w14:textId="77777777" w:rsidR="00880AFD" w:rsidRDefault="00880AFD" w:rsidP="00992F2F"/>
    <w:tbl>
      <w:tblPr>
        <w:tblStyle w:val="CIETable"/>
        <w:tblW w:w="0" w:type="auto"/>
        <w:tblLook w:val="04A0" w:firstRow="1" w:lastRow="0" w:firstColumn="1" w:lastColumn="0" w:noHBand="0" w:noVBand="1"/>
      </w:tblPr>
      <w:tblGrid>
        <w:gridCol w:w="9628"/>
      </w:tblGrid>
      <w:tr w:rsidR="00CE45A4" w14:paraId="5F0DD571" w14:textId="77777777" w:rsidTr="002E2A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tcPr>
          <w:p w14:paraId="1A844312" w14:textId="692F0464" w:rsidR="00CE45A4" w:rsidRPr="00CE45A4" w:rsidRDefault="00CE45A4" w:rsidP="00CE45A4">
            <w:pPr>
              <w:pStyle w:val="TableHeading"/>
            </w:pPr>
            <w:r w:rsidRPr="00CE45A4">
              <w:t>What works</w:t>
            </w:r>
            <w:r>
              <w:t>?</w:t>
            </w:r>
          </w:p>
        </w:tc>
      </w:tr>
      <w:tr w:rsidR="00CE45A4" w14:paraId="23D0C15F" w14:textId="77777777" w:rsidTr="00CE45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CBAD74B" w14:textId="1BB635A3" w:rsidR="00CE45A4" w:rsidRPr="001D16CA" w:rsidRDefault="00CE45A4" w:rsidP="001D16CA">
            <w:pPr>
              <w:pStyle w:val="TableBullet"/>
              <w:ind w:left="360"/>
              <w:rPr>
                <w:b w:val="0"/>
                <w:bCs w:val="0"/>
              </w:rPr>
            </w:pPr>
            <w:r w:rsidRPr="00A5080F">
              <w:t>People do best when they get a full package of support</w:t>
            </w:r>
            <w:r w:rsidRPr="001D16CA">
              <w:rPr>
                <w:b w:val="0"/>
                <w:bCs w:val="0"/>
              </w:rPr>
              <w:t xml:space="preserve"> – not just one or two things. This includes help finding a job, working with employers, matching the job to the</w:t>
            </w:r>
            <w:r w:rsidRPr="00880AFD">
              <w:t xml:space="preserve"> </w:t>
            </w:r>
            <w:r w:rsidRPr="001D16CA">
              <w:rPr>
                <w:b w:val="0"/>
                <w:bCs w:val="0"/>
              </w:rPr>
              <w:t>person, training on the job, and support after they start work.</w:t>
            </w:r>
          </w:p>
          <w:p w14:paraId="16E2116B" w14:textId="4E19BE13" w:rsidR="00CE45A4" w:rsidRPr="001D16CA" w:rsidRDefault="00CE45A4" w:rsidP="001D16CA">
            <w:pPr>
              <w:pStyle w:val="TableBullet"/>
              <w:ind w:left="360"/>
              <w:rPr>
                <w:b w:val="0"/>
                <w:bCs w:val="0"/>
              </w:rPr>
            </w:pPr>
            <w:r w:rsidRPr="00A5080F">
              <w:t>It’s important to work with employers</w:t>
            </w:r>
            <w:r w:rsidRPr="001D16CA">
              <w:rPr>
                <w:b w:val="0"/>
                <w:bCs w:val="0"/>
              </w:rPr>
              <w:t xml:space="preserve"> – this means helping them design jobs that suit the person, training supervisors, and making sure the </w:t>
            </w:r>
            <w:r w:rsidRPr="001D16CA">
              <w:rPr>
                <w:b w:val="0"/>
                <w:bCs w:val="0"/>
              </w:rPr>
              <w:lastRenderedPageBreak/>
              <w:t>workplace is welcoming and inclusive.</w:t>
            </w:r>
          </w:p>
          <w:p w14:paraId="79C3000C" w14:textId="217C628A" w:rsidR="00CE45A4" w:rsidRPr="00A5080F" w:rsidRDefault="00CE45A4" w:rsidP="00A5080F">
            <w:pPr>
              <w:pStyle w:val="TableBullet"/>
              <w:ind w:left="360"/>
              <w:rPr>
                <w:b w:val="0"/>
                <w:bCs w:val="0"/>
              </w:rPr>
            </w:pPr>
            <w:r w:rsidRPr="00A5080F">
              <w:t>Sometimes the problem isn’t the person</w:t>
            </w:r>
            <w:r w:rsidRPr="00A5080F">
              <w:rPr>
                <w:b w:val="0"/>
                <w:bCs w:val="0"/>
              </w:rPr>
              <w:t xml:space="preserve"> – it’s the job. Changing the job or the environment to suit the person’s strengths can work better than just trying to build the person’s skills.</w:t>
            </w:r>
          </w:p>
          <w:p w14:paraId="48E5C5D1" w14:textId="2CBDC705" w:rsidR="00CE45A4" w:rsidRPr="00A5080F" w:rsidRDefault="00CE45A4" w:rsidP="00A5080F">
            <w:pPr>
              <w:pStyle w:val="TableBullet"/>
              <w:ind w:left="360"/>
              <w:rPr>
                <w:b w:val="0"/>
                <w:bCs w:val="0"/>
              </w:rPr>
            </w:pPr>
            <w:r w:rsidRPr="009549BC">
              <w:t>Workplaces that are clear, calm and supportive help people stay in their jobs</w:t>
            </w:r>
            <w:r w:rsidRPr="00A5080F">
              <w:rPr>
                <w:b w:val="0"/>
                <w:bCs w:val="0"/>
              </w:rPr>
              <w:t xml:space="preserve"> – things like clear instructions, regular routines, and kind supervisors make a big difference.</w:t>
            </w:r>
          </w:p>
          <w:p w14:paraId="30C229F7" w14:textId="27155119" w:rsidR="00CE45A4" w:rsidRDefault="00CE45A4" w:rsidP="009549BC">
            <w:pPr>
              <w:pStyle w:val="TableBullet"/>
              <w:ind w:left="357" w:hanging="357"/>
            </w:pPr>
            <w:r w:rsidRPr="009549BC">
              <w:t>Young people need to start planning early</w:t>
            </w:r>
            <w:r w:rsidRPr="00A5080F">
              <w:rPr>
                <w:b w:val="0"/>
                <w:bCs w:val="0"/>
              </w:rPr>
              <w:t xml:space="preserve"> – it helps when schools, families, employers and disability services work together before the young person finishes school.</w:t>
            </w:r>
          </w:p>
        </w:tc>
      </w:tr>
    </w:tbl>
    <w:p w14:paraId="75408814" w14:textId="77777777" w:rsidR="0022008D" w:rsidRDefault="0022008D" w:rsidP="00992F2F"/>
    <w:tbl>
      <w:tblPr>
        <w:tblStyle w:val="CIETable"/>
        <w:tblW w:w="0" w:type="auto"/>
        <w:tblLook w:val="04A0" w:firstRow="1" w:lastRow="0" w:firstColumn="1" w:lastColumn="0" w:noHBand="0" w:noVBand="1"/>
      </w:tblPr>
      <w:tblGrid>
        <w:gridCol w:w="9628"/>
      </w:tblGrid>
      <w:tr w:rsidR="009549BC" w14:paraId="4EFB1BCC" w14:textId="77777777" w:rsidTr="009549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620AF8B" w14:textId="02DBB53F" w:rsidR="009549BC" w:rsidRDefault="009549BC" w:rsidP="009549BC">
            <w:pPr>
              <w:pStyle w:val="TableHeading"/>
            </w:pPr>
            <w:r>
              <w:t>What doesn’t work?</w:t>
            </w:r>
          </w:p>
        </w:tc>
      </w:tr>
      <w:tr w:rsidR="009549BC" w14:paraId="75B41C2C" w14:textId="77777777" w:rsidTr="00954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27A826A" w14:textId="541BE452" w:rsidR="009549BC" w:rsidRPr="000953C3" w:rsidRDefault="009549BC" w:rsidP="009549BC">
            <w:pPr>
              <w:pStyle w:val="TableBullet"/>
              <w:ind w:left="357" w:hanging="357"/>
              <w:rPr>
                <w:b w:val="0"/>
                <w:bCs w:val="0"/>
              </w:rPr>
            </w:pPr>
            <w:r>
              <w:t xml:space="preserve">Support that ends too soon or is too weak doesn’t help much. </w:t>
            </w:r>
            <w:r w:rsidRPr="000953C3">
              <w:rPr>
                <w:b w:val="0"/>
                <w:bCs w:val="0"/>
              </w:rPr>
              <w:t>People need support that lasts and can be adjusted when things change.</w:t>
            </w:r>
          </w:p>
          <w:p w14:paraId="30E9DC0C" w14:textId="64D46201" w:rsidR="009549BC" w:rsidRDefault="009549BC" w:rsidP="009549BC">
            <w:pPr>
              <w:pStyle w:val="TableBullet"/>
              <w:ind w:left="357" w:hanging="357"/>
            </w:pPr>
            <w:r>
              <w:t>J</w:t>
            </w:r>
            <w:r>
              <w:t xml:space="preserve">ust helping the jobseeker isn’t enough. </w:t>
            </w:r>
            <w:r w:rsidRPr="000953C3">
              <w:rPr>
                <w:b w:val="0"/>
                <w:bCs w:val="0"/>
              </w:rPr>
              <w:t>If employers and workplaces aren’t involved, it’s harder for the person to succeed.</w:t>
            </w:r>
          </w:p>
          <w:p w14:paraId="126632B6" w14:textId="0715C271" w:rsidR="009549BC" w:rsidRDefault="009549BC" w:rsidP="009549BC">
            <w:pPr>
              <w:pStyle w:val="TableBullet"/>
              <w:ind w:left="357" w:hanging="357"/>
            </w:pPr>
            <w:r>
              <w:t xml:space="preserve">Work experience that isn’t linked to real jobs </w:t>
            </w:r>
            <w:r w:rsidRPr="000953C3">
              <w:rPr>
                <w:b w:val="0"/>
                <w:bCs w:val="0"/>
              </w:rPr>
              <w:t>or doesn’t lead to paid work isn’t very useful.</w:t>
            </w:r>
          </w:p>
        </w:tc>
      </w:tr>
    </w:tbl>
    <w:p w14:paraId="7C98E415" w14:textId="77777777" w:rsidR="009549BC" w:rsidRDefault="009549BC" w:rsidP="00992F2F"/>
    <w:tbl>
      <w:tblPr>
        <w:tblStyle w:val="CIETable"/>
        <w:tblW w:w="0" w:type="auto"/>
        <w:tblLook w:val="04A0" w:firstRow="1" w:lastRow="0" w:firstColumn="1" w:lastColumn="0" w:noHBand="0" w:noVBand="1"/>
      </w:tblPr>
      <w:tblGrid>
        <w:gridCol w:w="9628"/>
      </w:tblGrid>
      <w:tr w:rsidR="000953C3" w14:paraId="78DD73E9" w14:textId="77777777" w:rsidTr="000953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53B8EAE" w14:textId="047DB813" w:rsidR="000953C3" w:rsidRDefault="000953C3" w:rsidP="000953C3">
            <w:pPr>
              <w:pStyle w:val="TableHeading"/>
            </w:pPr>
            <w:r w:rsidRPr="000953C3">
              <w:t>What makes jobs better and helps people stay in work?</w:t>
            </w:r>
          </w:p>
        </w:tc>
      </w:tr>
      <w:tr w:rsidR="000953C3" w14:paraId="49A47D2B" w14:textId="77777777" w:rsidTr="00095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DDEC445" w14:textId="5E08C07A" w:rsidR="000953C3" w:rsidRPr="000953C3" w:rsidRDefault="000953C3" w:rsidP="000953C3">
            <w:pPr>
              <w:pStyle w:val="TableBullet"/>
              <w:ind w:left="357" w:hanging="357"/>
              <w:rPr>
                <w:b w:val="0"/>
                <w:bCs w:val="0"/>
              </w:rPr>
            </w:pPr>
            <w:r>
              <w:t xml:space="preserve">Jobs that are clear and well-structured </w:t>
            </w:r>
            <w:r w:rsidRPr="000953C3">
              <w:rPr>
                <w:b w:val="0"/>
                <w:bCs w:val="0"/>
              </w:rPr>
              <w:t>help people feel safe and confident.</w:t>
            </w:r>
          </w:p>
          <w:p w14:paraId="061C5CBE" w14:textId="20DBDBBF" w:rsidR="000953C3" w:rsidRPr="000953C3" w:rsidRDefault="000953C3" w:rsidP="000953C3">
            <w:pPr>
              <w:pStyle w:val="TableBullet"/>
              <w:ind w:left="357" w:hanging="357"/>
              <w:rPr>
                <w:b w:val="0"/>
                <w:bCs w:val="0"/>
              </w:rPr>
            </w:pPr>
            <w:r>
              <w:t>When the job matches the person’s strengths</w:t>
            </w:r>
            <w:r w:rsidRPr="00551341">
              <w:rPr>
                <w:b w:val="0"/>
                <w:bCs w:val="0"/>
              </w:rPr>
              <w:t>,</w:t>
            </w:r>
            <w:r>
              <w:t xml:space="preserve"> </w:t>
            </w:r>
            <w:r w:rsidRPr="000953C3">
              <w:rPr>
                <w:b w:val="0"/>
                <w:bCs w:val="0"/>
              </w:rPr>
              <w:t>they are more likely to enjoy it and do well.</w:t>
            </w:r>
          </w:p>
          <w:p w14:paraId="091E980E" w14:textId="21A71F0C" w:rsidR="000953C3" w:rsidRPr="00551341" w:rsidRDefault="000953C3" w:rsidP="000953C3">
            <w:pPr>
              <w:pStyle w:val="TableBullet"/>
              <w:ind w:left="357" w:hanging="357"/>
              <w:rPr>
                <w:b w:val="0"/>
                <w:bCs w:val="0"/>
              </w:rPr>
            </w:pPr>
            <w:r>
              <w:t xml:space="preserve">Good relationships with supervisors, co-workers, family and support staff </w:t>
            </w:r>
            <w:r w:rsidRPr="00551341">
              <w:rPr>
                <w:b w:val="0"/>
                <w:bCs w:val="0"/>
              </w:rPr>
              <w:t>help people stay in work.</w:t>
            </w:r>
          </w:p>
          <w:p w14:paraId="62B4B584" w14:textId="0A4D84E7" w:rsidR="000953C3" w:rsidRDefault="000953C3" w:rsidP="000953C3">
            <w:pPr>
              <w:pStyle w:val="TableBullet"/>
              <w:ind w:left="357" w:hanging="357"/>
            </w:pPr>
            <w:r>
              <w:t>Support needs to continue</w:t>
            </w:r>
            <w:r w:rsidRPr="00551341">
              <w:rPr>
                <w:b w:val="0"/>
                <w:bCs w:val="0"/>
              </w:rPr>
              <w:t>, especially when the job changes or gets harder. Being able to get help again quickly is important.</w:t>
            </w:r>
          </w:p>
        </w:tc>
      </w:tr>
    </w:tbl>
    <w:p w14:paraId="1740C903" w14:textId="77777777" w:rsidR="007D2E34" w:rsidRDefault="007D2E34" w:rsidP="00E03EC5">
      <w:pPr>
        <w:pStyle w:val="ListBullet"/>
        <w:numPr>
          <w:ilvl w:val="0"/>
          <w:numId w:val="0"/>
        </w:numPr>
      </w:pPr>
    </w:p>
    <w:p w14:paraId="72BB3EE2" w14:textId="77777777" w:rsidR="009A4F9A" w:rsidRDefault="009A4F9A" w:rsidP="00E03EC5">
      <w:pPr>
        <w:pStyle w:val="ListBullet"/>
        <w:numPr>
          <w:ilvl w:val="0"/>
          <w:numId w:val="0"/>
        </w:numPr>
        <w:ind w:left="340"/>
      </w:pPr>
    </w:p>
    <w:tbl>
      <w:tblPr>
        <w:tblStyle w:val="CIETable"/>
        <w:tblW w:w="0" w:type="auto"/>
        <w:tblLook w:val="04A0" w:firstRow="1" w:lastRow="0" w:firstColumn="1" w:lastColumn="0" w:noHBand="0" w:noVBand="1"/>
      </w:tblPr>
      <w:tblGrid>
        <w:gridCol w:w="9628"/>
      </w:tblGrid>
      <w:tr w:rsidR="00CD51FE" w14:paraId="09743BF0" w14:textId="77777777" w:rsidTr="00CD51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55E306B" w14:textId="3BCA7C47" w:rsidR="00CD51FE" w:rsidRDefault="00CD51FE" w:rsidP="00CD51FE">
            <w:pPr>
              <w:pStyle w:val="TableHeading"/>
            </w:pPr>
            <w:r w:rsidRPr="00CD51FE">
              <w:lastRenderedPageBreak/>
              <w:t>What services and employers should do</w:t>
            </w:r>
          </w:p>
        </w:tc>
      </w:tr>
      <w:tr w:rsidR="00CD51FE" w14:paraId="73661D02" w14:textId="77777777" w:rsidTr="00CD5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AC37C12" w14:textId="77777777" w:rsidR="00CD51FE" w:rsidRDefault="00CD51FE" w:rsidP="00CD51FE">
            <w:pPr>
              <w:pStyle w:val="ListBullet"/>
              <w:numPr>
                <w:ilvl w:val="0"/>
                <w:numId w:val="0"/>
              </w:numPr>
              <w:ind w:left="340" w:hanging="340"/>
            </w:pPr>
            <w:r>
              <w:t xml:space="preserve">Employment supports should focus on: </w:t>
            </w:r>
          </w:p>
          <w:p w14:paraId="687BAA0F" w14:textId="7DBADF55" w:rsidR="00CD51FE" w:rsidRPr="004870B2" w:rsidRDefault="00CD51FE" w:rsidP="004870B2">
            <w:pPr>
              <w:pStyle w:val="TableBullet"/>
              <w:ind w:left="357" w:hanging="357"/>
              <w:rPr>
                <w:b w:val="0"/>
                <w:bCs w:val="0"/>
              </w:rPr>
            </w:pPr>
            <w:r>
              <w:t xml:space="preserve">Building strong relationships </w:t>
            </w:r>
            <w:r w:rsidRPr="004870B2">
              <w:rPr>
                <w:b w:val="0"/>
                <w:bCs w:val="0"/>
              </w:rPr>
              <w:t>with employers and helping them design jobs that fit the person.</w:t>
            </w:r>
          </w:p>
          <w:p w14:paraId="6B37F463" w14:textId="544C9D61" w:rsidR="00CD51FE" w:rsidRPr="004870B2" w:rsidRDefault="00CD51FE" w:rsidP="004870B2">
            <w:pPr>
              <w:pStyle w:val="TableBullet"/>
              <w:ind w:left="357" w:hanging="357"/>
              <w:rPr>
                <w:b w:val="0"/>
                <w:bCs w:val="0"/>
              </w:rPr>
            </w:pPr>
            <w:r>
              <w:t xml:space="preserve">Providing regular, flexible support </w:t>
            </w:r>
            <w:r w:rsidRPr="004870B2">
              <w:rPr>
                <w:b w:val="0"/>
                <w:bCs w:val="0"/>
              </w:rPr>
              <w:t>after the person starts work to prevent small issues becoming big problems.</w:t>
            </w:r>
          </w:p>
          <w:p w14:paraId="5CA76C3B" w14:textId="67FBAA7A" w:rsidR="00CD51FE" w:rsidRPr="004870B2" w:rsidRDefault="00CD51FE" w:rsidP="004870B2">
            <w:pPr>
              <w:pStyle w:val="TableBullet"/>
              <w:ind w:left="357" w:hanging="357"/>
              <w:rPr>
                <w:b w:val="0"/>
                <w:bCs w:val="0"/>
              </w:rPr>
            </w:pPr>
            <w:r>
              <w:t xml:space="preserve">Planning early </w:t>
            </w:r>
            <w:r w:rsidRPr="004870B2">
              <w:rPr>
                <w:b w:val="0"/>
                <w:bCs w:val="0"/>
              </w:rPr>
              <w:t>for school</w:t>
            </w:r>
            <w:r w:rsidRPr="004870B2">
              <w:rPr>
                <w:rFonts w:ascii="Cambria Math" w:hAnsi="Cambria Math" w:cs="Cambria Math"/>
                <w:b w:val="0"/>
                <w:bCs w:val="0"/>
              </w:rPr>
              <w:t>‑</w:t>
            </w:r>
            <w:r w:rsidRPr="004870B2">
              <w:rPr>
                <w:b w:val="0"/>
                <w:bCs w:val="0"/>
              </w:rPr>
              <w:t>leavers and coordinating across schools, employment services, and disability supports.</w:t>
            </w:r>
          </w:p>
          <w:p w14:paraId="4B2C091B" w14:textId="60FAEBD7" w:rsidR="00CD51FE" w:rsidRDefault="00CD51FE" w:rsidP="004870B2">
            <w:pPr>
              <w:pStyle w:val="TableBullet"/>
              <w:ind w:left="357" w:hanging="357"/>
            </w:pPr>
            <w:r>
              <w:t xml:space="preserve">Designing jobs and workplaces </w:t>
            </w:r>
            <w:r w:rsidRPr="004870B2">
              <w:rPr>
                <w:b w:val="0"/>
                <w:bCs w:val="0"/>
              </w:rPr>
              <w:t>so tasks are easier to understand and do (not harder).</w:t>
            </w:r>
          </w:p>
        </w:tc>
      </w:tr>
    </w:tbl>
    <w:p w14:paraId="4E9BA3FE" w14:textId="77777777" w:rsidR="00992F2F" w:rsidRPr="00D97071" w:rsidRDefault="00992F2F" w:rsidP="00992F2F">
      <w:r w:rsidRPr="00D97071">
        <w:t>Together, these findings show that employment outcomes improve when services focus on real jobs, employer partnership, and ongoing support. Systems that prioritise short</w:t>
      </w:r>
      <w:r>
        <w:t>-</w:t>
      </w:r>
      <w:r w:rsidRPr="00D97071">
        <w:t>term placements or limit follow</w:t>
      </w:r>
      <w:r>
        <w:t>-</w:t>
      </w:r>
      <w:r w:rsidRPr="00D97071">
        <w:t>up are unlikely to deliver sustained outcomes.</w:t>
      </w:r>
      <w:r w:rsidRPr="00D97071">
        <w:br w:type="page"/>
      </w:r>
    </w:p>
    <w:p w14:paraId="43EF18CC" w14:textId="77777777" w:rsidR="00992F2F" w:rsidRPr="00ED0558" w:rsidRDefault="00992F2F" w:rsidP="00992F2F">
      <w:pPr>
        <w:pStyle w:val="Heading1"/>
      </w:pPr>
      <w:bookmarkStart w:id="13" w:name="_Toc231482873"/>
      <w:bookmarkStart w:id="14" w:name="_Toc231484059"/>
      <w:r w:rsidRPr="00ED0558">
        <w:lastRenderedPageBreak/>
        <w:t>Introduction</w:t>
      </w:r>
      <w:bookmarkEnd w:id="13"/>
      <w:bookmarkEnd w:id="14"/>
    </w:p>
    <w:p w14:paraId="46971590" w14:textId="77777777" w:rsidR="00992F2F" w:rsidRPr="00A1320B" w:rsidRDefault="00992F2F" w:rsidP="00992F2F">
      <w:pPr>
        <w:rPr>
          <w:b/>
          <w:bCs/>
        </w:rPr>
      </w:pPr>
      <w:r w:rsidRPr="00A1320B">
        <w:rPr>
          <w:b/>
          <w:bCs/>
        </w:rPr>
        <w:t>Open employment for Australians with intellectual disability: why now?</w:t>
      </w:r>
    </w:p>
    <w:p w14:paraId="2D230BC8" w14:textId="77777777" w:rsidR="00992F2F" w:rsidRPr="00427596" w:rsidRDefault="00992F2F" w:rsidP="00992F2F">
      <w:r w:rsidRPr="003457A7">
        <w:t>Australia is making major changes to how it supports people with disability to find and keep jobs. In 2025, the government launched Inclusive Employment Australia to replace Disability Employment Services. Reforms are also underway to reduce segregated employment and sub</w:t>
      </w:r>
      <w:r w:rsidRPr="006955DF">
        <w:rPr>
          <w:rFonts w:ascii="Cambria Math" w:hAnsi="Cambria Math" w:cs="Cambria Math"/>
        </w:rPr>
        <w:t>‑</w:t>
      </w:r>
      <w:r w:rsidRPr="003457A7">
        <w:t>minimum wages. Together, these shifts signal a move towards fairer and more inclusive work for everyone.</w:t>
      </w:r>
    </w:p>
    <w:p w14:paraId="3487C2A9" w14:textId="77777777" w:rsidR="00992F2F" w:rsidRDefault="00992F2F" w:rsidP="00992F2F">
      <w:r w:rsidRPr="003457A7">
        <w:t xml:space="preserve">This is a turning point. With more people receiving employment support through the NDIS, and with new national arrangements under </w:t>
      </w:r>
      <w:r>
        <w:t>Inclusive Employment Australia</w:t>
      </w:r>
      <w:r w:rsidRPr="003457A7">
        <w:t xml:space="preserve">, there is an opportunity to improve job outcomes for people with intellectual disability. But success will depend on using approaches that are proven </w:t>
      </w:r>
      <w:r>
        <w:t xml:space="preserve">– </w:t>
      </w:r>
      <w:r w:rsidRPr="003457A7">
        <w:t>not just to help people get jobs, but to help them keep jobs and grow.</w:t>
      </w:r>
    </w:p>
    <w:p w14:paraId="5743A06A" w14:textId="77777777" w:rsidR="00992F2F" w:rsidRPr="003457A7" w:rsidRDefault="00992F2F" w:rsidP="00992F2F">
      <w:r w:rsidRPr="00D139CF">
        <w:t>The next section explains what types of support work best, followed by practical actions for services, employers and policymakers.</w:t>
      </w:r>
    </w:p>
    <w:p w14:paraId="586DE63C" w14:textId="77777777" w:rsidR="00992F2F" w:rsidRPr="00D73D82" w:rsidRDefault="00992F2F" w:rsidP="00992F2F">
      <w:pPr>
        <w:rPr>
          <w:b/>
          <w:bCs/>
        </w:rPr>
      </w:pPr>
      <w:r w:rsidRPr="00D73D82">
        <w:rPr>
          <w:b/>
          <w:bCs/>
        </w:rPr>
        <w:t>What this review offers</w:t>
      </w:r>
    </w:p>
    <w:p w14:paraId="0B2682F0" w14:textId="77777777" w:rsidR="00992F2F" w:rsidRPr="00E5166F" w:rsidRDefault="00992F2F" w:rsidP="00992F2F">
      <w:r w:rsidRPr="00D139CF">
        <w:t xml:space="preserve">This evidence synthesis was commissioned to identify what works, what doesn’t, and how effective practices can be delivered in real settings. It draws on Australian and international evidence relevant to </w:t>
      </w:r>
      <w:r>
        <w:t>Inclusive Employment Australia</w:t>
      </w:r>
      <w:r w:rsidRPr="00D139CF">
        <w:t>, NDIS</w:t>
      </w:r>
      <w:r>
        <w:t>-</w:t>
      </w:r>
      <w:r w:rsidRPr="00D139CF">
        <w:t>funded supports, and school</w:t>
      </w:r>
      <w:r>
        <w:t>-</w:t>
      </w:r>
      <w:r w:rsidRPr="00D139CF">
        <w:t>to</w:t>
      </w:r>
      <w:r>
        <w:t>-</w:t>
      </w:r>
      <w:r w:rsidRPr="00D139CF">
        <w:t>work transition pathways.</w:t>
      </w:r>
    </w:p>
    <w:p w14:paraId="5F79DD52" w14:textId="77777777" w:rsidR="00992F2F" w:rsidRPr="00C95C3F" w:rsidRDefault="00992F2F" w:rsidP="00992F2F">
      <w:r w:rsidRPr="00E5166F">
        <w:t>The findings are intended to support practitioners, programme designers, and policymakers in improving employment outcomes for people with intellectual disability. The report is structured to provide clear, actionable insights, with an emphasis on practical strategies that can be applied across services and sectors</w:t>
      </w:r>
      <w:r>
        <w:t xml:space="preserve">. </w:t>
      </w:r>
    </w:p>
    <w:p w14:paraId="612C6C1A" w14:textId="77777777" w:rsidR="00992F2F" w:rsidRPr="00FC6F4E" w:rsidRDefault="00992F2F" w:rsidP="00992F2F">
      <w:pPr>
        <w:rPr>
          <w:b/>
          <w:bCs/>
        </w:rPr>
      </w:pPr>
      <w:r w:rsidRPr="00FC6F4E">
        <w:rPr>
          <w:b/>
          <w:bCs/>
        </w:rPr>
        <w:t>Service context, practice or interventions reviewed</w:t>
      </w:r>
    </w:p>
    <w:p w14:paraId="003C0F12" w14:textId="77777777" w:rsidR="00992F2F" w:rsidRDefault="00992F2F" w:rsidP="00992F2F">
      <w:r w:rsidRPr="00D139CF">
        <w:t>The review covers three broad types of employment support:</w:t>
      </w:r>
      <w:r w:rsidRPr="00C95C3F">
        <w:t xml:space="preserve"> </w:t>
      </w:r>
    </w:p>
    <w:p w14:paraId="1B1ACF0D" w14:textId="77777777" w:rsidR="00992F2F" w:rsidRDefault="00992F2F" w:rsidP="00992F2F">
      <w:pPr>
        <w:pStyle w:val="ListNumber"/>
      </w:pPr>
      <w:r w:rsidRPr="00871092">
        <w:rPr>
          <w:b/>
          <w:bCs/>
        </w:rPr>
        <w:t>Jobseeker</w:t>
      </w:r>
      <w:r w:rsidRPr="00871092">
        <w:rPr>
          <w:rFonts w:ascii="Cambria Math" w:hAnsi="Cambria Math" w:cs="Cambria Math"/>
          <w:b/>
          <w:bCs/>
        </w:rPr>
        <w:t>‑</w:t>
      </w:r>
      <w:r w:rsidRPr="00871092">
        <w:rPr>
          <w:b/>
          <w:bCs/>
        </w:rPr>
        <w:t>facing supports</w:t>
      </w:r>
      <w:r w:rsidRPr="00D139CF">
        <w:t xml:space="preserve"> (</w:t>
      </w:r>
      <w:r>
        <w:t>e.g.</w:t>
      </w:r>
      <w:r w:rsidRPr="00D139CF">
        <w:t xml:space="preserve"> vocational skills, career planning, travel training, Discovery)</w:t>
      </w:r>
      <w:r w:rsidRPr="00C95C3F">
        <w:t xml:space="preserve">; </w:t>
      </w:r>
    </w:p>
    <w:p w14:paraId="6E85F153" w14:textId="77777777" w:rsidR="00992F2F" w:rsidRDefault="00992F2F" w:rsidP="00992F2F">
      <w:pPr>
        <w:pStyle w:val="ListNumber"/>
      </w:pPr>
      <w:r w:rsidRPr="00871092">
        <w:rPr>
          <w:b/>
          <w:bCs/>
        </w:rPr>
        <w:t>Employer/workplace supports</w:t>
      </w:r>
      <w:r w:rsidRPr="00D139CF">
        <w:t xml:space="preserve"> (</w:t>
      </w:r>
      <w:r>
        <w:t>e.g.</w:t>
      </w:r>
      <w:r w:rsidRPr="00D139CF">
        <w:t xml:space="preserve"> job redesign, adjustments, assistive technology, supervisor and co</w:t>
      </w:r>
      <w:r w:rsidRPr="00D139CF">
        <w:rPr>
          <w:rFonts w:ascii="Cambria Math" w:hAnsi="Cambria Math" w:cs="Cambria Math"/>
        </w:rPr>
        <w:t>‑</w:t>
      </w:r>
      <w:r w:rsidRPr="00D139CF">
        <w:t>worker training)</w:t>
      </w:r>
      <w:r w:rsidRPr="00C95C3F">
        <w:t xml:space="preserve">; and </w:t>
      </w:r>
    </w:p>
    <w:p w14:paraId="2387EFF2" w14:textId="77777777" w:rsidR="00992F2F" w:rsidRDefault="00992F2F" w:rsidP="00992F2F">
      <w:pPr>
        <w:pStyle w:val="ListNumber"/>
      </w:pPr>
      <w:r w:rsidRPr="00871092">
        <w:rPr>
          <w:b/>
          <w:bCs/>
        </w:rPr>
        <w:t>Bridging and ongoing supports</w:t>
      </w:r>
      <w:r w:rsidRPr="00D139CF">
        <w:t xml:space="preserve"> (</w:t>
      </w:r>
      <w:r>
        <w:t>e.g.</w:t>
      </w:r>
      <w:r w:rsidRPr="00D139CF">
        <w:t xml:space="preserve"> job matching, on</w:t>
      </w:r>
      <w:r w:rsidRPr="00D139CF">
        <w:rPr>
          <w:rFonts w:ascii="Cambria Math" w:hAnsi="Cambria Math" w:cs="Cambria Math"/>
        </w:rPr>
        <w:t>‑</w:t>
      </w:r>
      <w:r w:rsidRPr="00D139CF">
        <w:t>the</w:t>
      </w:r>
      <w:r w:rsidRPr="00D139CF">
        <w:rPr>
          <w:rFonts w:ascii="Cambria Math" w:hAnsi="Cambria Math" w:cs="Cambria Math"/>
        </w:rPr>
        <w:t>‑</w:t>
      </w:r>
      <w:r w:rsidRPr="00D139CF">
        <w:t>job coaching, systematic instruction, follow</w:t>
      </w:r>
      <w:r w:rsidRPr="00D139CF">
        <w:rPr>
          <w:rFonts w:ascii="Cambria Math" w:hAnsi="Cambria Math" w:cs="Cambria Math"/>
        </w:rPr>
        <w:t>‑</w:t>
      </w:r>
      <w:r w:rsidRPr="00D139CF">
        <w:t>along support)</w:t>
      </w:r>
      <w:r w:rsidRPr="00C95C3F">
        <w:t xml:space="preserve">. </w:t>
      </w:r>
    </w:p>
    <w:p w14:paraId="310CD4E2" w14:textId="77777777" w:rsidR="00992F2F" w:rsidRDefault="00992F2F" w:rsidP="00992F2F">
      <w:r w:rsidRPr="00D73D82">
        <w:t>T</w:t>
      </w:r>
      <w:r w:rsidRPr="00C95C3F">
        <w:t xml:space="preserve">hese categories overlap in practice – effective programs usually include elements of all three. </w:t>
      </w:r>
    </w:p>
    <w:p w14:paraId="544F9DE5" w14:textId="77777777" w:rsidR="00992F2F" w:rsidRDefault="00992F2F" w:rsidP="00992F2F">
      <w:r w:rsidRPr="00C95C3F">
        <w:lastRenderedPageBreak/>
        <w:t xml:space="preserve">In reviewing the evidence, </w:t>
      </w:r>
      <w:r w:rsidRPr="00D71961">
        <w:t>we looked at what was delivered, how it was delivered, and what conditions helped it work. We also included qualitative evidence from people with disability, families, employers, and support staff so lived experience informs what “good support” looks like.</w:t>
      </w:r>
      <w:r w:rsidRPr="00C95C3F">
        <w:t xml:space="preserve"> By integrating these diverse sources, the synthesis aims to paint a clear picture of how to improve employment outcomes for people with intellectual disability in the current Australian context.</w:t>
      </w:r>
    </w:p>
    <w:p w14:paraId="0D693216" w14:textId="77777777" w:rsidR="00992F2F" w:rsidRDefault="00992F2F" w:rsidP="00992F2F">
      <w:pPr>
        <w:pStyle w:val="Heading2"/>
      </w:pPr>
      <w:bookmarkStart w:id="15" w:name="_Toc231482874"/>
      <w:bookmarkStart w:id="16" w:name="_Toc231484060"/>
      <w:r w:rsidRPr="00ED0558">
        <w:t>Aims</w:t>
      </w:r>
      <w:bookmarkEnd w:id="15"/>
      <w:bookmarkEnd w:id="16"/>
    </w:p>
    <w:p w14:paraId="17B32BF1" w14:textId="77777777" w:rsidR="00992F2F" w:rsidRPr="00332E04" w:rsidRDefault="00992F2F" w:rsidP="00992F2F">
      <w:r w:rsidRPr="00231CF4">
        <w:t>This synthesis addresses two questions:</w:t>
      </w:r>
    </w:p>
    <w:p w14:paraId="4FA98DFF" w14:textId="77777777" w:rsidR="00992F2F" w:rsidRPr="00332E04" w:rsidRDefault="00992F2F" w:rsidP="00E03EC5">
      <w:pPr>
        <w:pStyle w:val="ListBullet"/>
      </w:pPr>
      <w:r w:rsidRPr="00231CF4">
        <w:rPr>
          <w:b/>
          <w:bCs/>
        </w:rPr>
        <w:t>What works</w:t>
      </w:r>
      <w:r w:rsidRPr="00B92CDD">
        <w:rPr>
          <w:b/>
          <w:bCs/>
        </w:rPr>
        <w:t>?</w:t>
      </w:r>
      <w:r>
        <w:t xml:space="preserve"> </w:t>
      </w:r>
      <w:r w:rsidRPr="00231CF4">
        <w:t>Which supports and workplace strategies help people with intellectual disability get and keep open employment?</w:t>
      </w:r>
    </w:p>
    <w:p w14:paraId="36B95A7C" w14:textId="77777777" w:rsidR="00992F2F" w:rsidRDefault="00992F2F" w:rsidP="00E03EC5">
      <w:pPr>
        <w:pStyle w:val="ListBullet"/>
      </w:pPr>
      <w:r w:rsidRPr="00231CF4">
        <w:rPr>
          <w:b/>
          <w:bCs/>
        </w:rPr>
        <w:t>How can we deliver it?</w:t>
      </w:r>
      <w:r>
        <w:t xml:space="preserve"> </w:t>
      </w:r>
      <w:r w:rsidRPr="00231CF4">
        <w:t xml:space="preserve">What helps or hinders implementation in Australia across </w:t>
      </w:r>
      <w:r>
        <w:t>Inclusive Employment Australia</w:t>
      </w:r>
      <w:r w:rsidRPr="00231CF4">
        <w:t xml:space="preserve"> providers, NDIS supports, schools, and workplaces?</w:t>
      </w:r>
    </w:p>
    <w:p w14:paraId="7FD121A2" w14:textId="545873AC" w:rsidR="00992F2F" w:rsidRPr="00B5034F" w:rsidRDefault="00992F2F" w:rsidP="00992F2F">
      <w:r w:rsidRPr="00332E04">
        <w:t>The review aims to provide practical, evidence</w:t>
      </w:r>
      <w:r>
        <w:t>-</w:t>
      </w:r>
      <w:r w:rsidRPr="00332E04">
        <w:t>informed guidance for practitioners, service providers, employers, and policymakers. It highlights what to do, how to do it, and what to avoid — with a focus on strategies that are realistic, transferable, and aligned with current reforms in disability employment policy.</w:t>
      </w:r>
      <w:r w:rsidRPr="00B5034F">
        <w:rPr>
          <w:rFonts w:ascii="Segoe UI" w:eastAsia="Times New Roman" w:hAnsi="Segoe UI" w:cs="Segoe UI"/>
          <w:color w:val="auto"/>
          <w:sz w:val="21"/>
          <w:szCs w:val="21"/>
          <w:lang w:eastAsia="zh-CN"/>
        </w:rPr>
        <w:t xml:space="preserve"> </w:t>
      </w:r>
      <w:r w:rsidRPr="00B5034F">
        <w:t xml:space="preserve">A full description of the population, intervention, comparison, outcomes, and setting criteria is provided in </w:t>
      </w:r>
      <w:r w:rsidRPr="007D2E34">
        <w:t>Appendix A</w:t>
      </w:r>
      <w:r w:rsidR="007D2E34">
        <w:t xml:space="preserve"> </w:t>
      </w:r>
      <w:r w:rsidR="00331A51">
        <w:t>of the</w:t>
      </w:r>
      <w:r w:rsidR="00331A51" w:rsidRPr="0077074C">
        <w:t xml:space="preserve"> </w:t>
      </w:r>
      <w:r w:rsidR="005F6FCF">
        <w:t>t</w:t>
      </w:r>
      <w:r w:rsidR="00216F13">
        <w:t>echnical report (</w:t>
      </w:r>
      <w:r w:rsidR="00FD58B0">
        <w:t>Alexander &amp; Zhang</w:t>
      </w:r>
      <w:r w:rsidR="00331A51">
        <w:t>,</w:t>
      </w:r>
      <w:r w:rsidR="00331A51" w:rsidRPr="0077074C">
        <w:t xml:space="preserve"> 2026)</w:t>
      </w:r>
      <w:r w:rsidRPr="00B5034F">
        <w:t>.</w:t>
      </w:r>
    </w:p>
    <w:p w14:paraId="150434D9" w14:textId="77777777" w:rsidR="00992F2F" w:rsidRPr="00ED0558" w:rsidRDefault="00992F2F" w:rsidP="00992F2F">
      <w:pPr>
        <w:pStyle w:val="Heading2"/>
      </w:pPr>
      <w:bookmarkStart w:id="17" w:name="_Toc231482875"/>
      <w:bookmarkStart w:id="18" w:name="_Toc231484061"/>
      <w:r w:rsidRPr="00FC6F4E">
        <w:t>Methodology</w:t>
      </w:r>
      <w:bookmarkEnd w:id="17"/>
      <w:bookmarkEnd w:id="18"/>
    </w:p>
    <w:p w14:paraId="5D6C1902" w14:textId="77777777" w:rsidR="00992F2F" w:rsidRPr="00166101" w:rsidRDefault="00992F2F" w:rsidP="00992F2F">
      <w:r w:rsidRPr="00166101">
        <w:t>This review was conducted as a rapid evidence synthesis, using a structured and transparent approach to identify, assess, and summarise the best available evidence on employment supports for people with intellectual disability. The focus was on practices relevant to open employment in the Australian context.</w:t>
      </w:r>
      <w:r w:rsidRPr="0065042E">
        <w:t xml:space="preserve"> As a rapid synthesis, the review prioritised timely, applicable evidence over exhaustive retrieval and meta</w:t>
      </w:r>
      <w:r>
        <w:t>-</w:t>
      </w:r>
      <w:r w:rsidRPr="0065042E">
        <w:t>analysis.</w:t>
      </w:r>
    </w:p>
    <w:p w14:paraId="17085A10" w14:textId="77777777" w:rsidR="00992F2F" w:rsidRPr="00166101" w:rsidRDefault="00992F2F" w:rsidP="00992F2F">
      <w:r w:rsidRPr="00166101">
        <w:t>Key steps included:</w:t>
      </w:r>
    </w:p>
    <w:p w14:paraId="3673E6B7" w14:textId="099651AB" w:rsidR="00992F2F" w:rsidRPr="00166101" w:rsidRDefault="00992F2F" w:rsidP="000744BC">
      <w:pPr>
        <w:pStyle w:val="ListNumber"/>
        <w:numPr>
          <w:ilvl w:val="0"/>
          <w:numId w:val="35"/>
        </w:numPr>
      </w:pPr>
      <w:r w:rsidRPr="00C77C7F">
        <w:rPr>
          <w:b/>
          <w:bCs/>
        </w:rPr>
        <w:t>Defining the scope and inclusion criteria</w:t>
      </w:r>
      <w:r>
        <w:t xml:space="preserve">: </w:t>
      </w:r>
      <w:r w:rsidRPr="00166101">
        <w:t xml:space="preserve">We included studies published in English from 2015 onwards that examined employment supports for people with intellectual disability in mainstream (open) employment. Both peer-reviewed research and high-quality grey literature were considered, including evaluations, government reports, and practice-based evidence. Studies focused solely on segregated employment were excluded unless they provided comparative insights or addressed transitions to open </w:t>
      </w:r>
      <w:r w:rsidRPr="00166101">
        <w:lastRenderedPageBreak/>
        <w:t>employment. Full inclusion criteria are outlined in Appendix A</w:t>
      </w:r>
      <w:r w:rsidR="000B5FFD">
        <w:t xml:space="preserve"> of the</w:t>
      </w:r>
      <w:r w:rsidR="000B5FFD" w:rsidRPr="0077074C">
        <w:t xml:space="preserve"> </w:t>
      </w:r>
      <w:r w:rsidR="005F6FCF">
        <w:t>t</w:t>
      </w:r>
      <w:r w:rsidR="00A94DA9">
        <w:t>echnical report (</w:t>
      </w:r>
      <w:r w:rsidR="000B5FFD" w:rsidRPr="0077074C">
        <w:t>Alexander &amp; Zhang</w:t>
      </w:r>
      <w:r w:rsidR="000B5FFD">
        <w:t>,</w:t>
      </w:r>
      <w:r w:rsidR="000B5FFD" w:rsidRPr="0077074C">
        <w:t xml:space="preserve"> 2026)</w:t>
      </w:r>
      <w:r w:rsidRPr="00166101">
        <w:t xml:space="preserve"> (PICOS).</w:t>
      </w:r>
    </w:p>
    <w:p w14:paraId="1766B839" w14:textId="4AEF8419" w:rsidR="00992F2F" w:rsidRPr="00166101" w:rsidRDefault="00992F2F" w:rsidP="00992F2F">
      <w:pPr>
        <w:pStyle w:val="ListNumber"/>
      </w:pPr>
      <w:r w:rsidRPr="009427DB">
        <w:rPr>
          <w:b/>
          <w:bCs/>
        </w:rPr>
        <w:t>Searching and selecting evidence</w:t>
      </w:r>
      <w:r>
        <w:t xml:space="preserve">: </w:t>
      </w:r>
      <w:r w:rsidRPr="00166101">
        <w:t xml:space="preserve">A comprehensive search was conducted across major academic databases (e.g. PsycINFO, Scopus, Web of Science, CINAHL, ProQuest) and targeted sources of grey literature. Over 1,400 records were screened, </w:t>
      </w:r>
      <w:r w:rsidRPr="00EE3D0E">
        <w:t>of which 76 studies</w:t>
      </w:r>
      <w:r w:rsidRPr="00166101">
        <w:t xml:space="preserve"> </w:t>
      </w:r>
      <w:r w:rsidRPr="009427DB">
        <w:rPr>
          <w:iCs/>
        </w:rPr>
        <w:t>met eligibility criteria</w:t>
      </w:r>
      <w:r>
        <w:rPr>
          <w:iCs/>
        </w:rPr>
        <w:t xml:space="preserve">, 8 </w:t>
      </w:r>
      <w:r w:rsidRPr="009427DB">
        <w:rPr>
          <w:iCs/>
        </w:rPr>
        <w:t>systematic reviews</w:t>
      </w:r>
      <w:r>
        <w:rPr>
          <w:iCs/>
        </w:rPr>
        <w:t xml:space="preserve"> and 28 </w:t>
      </w:r>
      <w:r w:rsidRPr="009427DB">
        <w:rPr>
          <w:iCs/>
        </w:rPr>
        <w:t>Post</w:t>
      </w:r>
      <w:r>
        <w:rPr>
          <w:iCs/>
        </w:rPr>
        <w:t>-</w:t>
      </w:r>
      <w:r w:rsidRPr="009427DB">
        <w:rPr>
          <w:iCs/>
        </w:rPr>
        <w:t>SR primary studies</w:t>
      </w:r>
      <w:r w:rsidRPr="00166101">
        <w:t xml:space="preserve"> included in the final synthesis</w:t>
      </w:r>
      <w:r>
        <w:t xml:space="preserve"> (see </w:t>
      </w:r>
      <w:r w:rsidRPr="000B5FFD">
        <w:t>Appendix E</w:t>
      </w:r>
      <w:r w:rsidR="000B5FFD">
        <w:t xml:space="preserve"> of the</w:t>
      </w:r>
      <w:r w:rsidR="000B5FFD" w:rsidRPr="0077074C">
        <w:t xml:space="preserve"> </w:t>
      </w:r>
      <w:r w:rsidR="005F6FCF">
        <w:t>t</w:t>
      </w:r>
      <w:r w:rsidR="00A94DA9">
        <w:t>echnical report (</w:t>
      </w:r>
      <w:r w:rsidR="00FD58B0">
        <w:t>Alexander &amp; Zhang</w:t>
      </w:r>
      <w:r w:rsidR="000B5FFD">
        <w:t>,</w:t>
      </w:r>
      <w:r w:rsidR="000B5FFD" w:rsidRPr="0077074C">
        <w:t xml:space="preserve"> 2026)</w:t>
      </w:r>
      <w:r>
        <w:t>)</w:t>
      </w:r>
      <w:r w:rsidRPr="00166101">
        <w:t xml:space="preserve">. The selection process is summarised in </w:t>
      </w:r>
      <w:r w:rsidR="007E3C2F">
        <w:t xml:space="preserve">the </w:t>
      </w:r>
      <w:r w:rsidR="007E3C2F" w:rsidRPr="009427DB">
        <w:t>PRISMA Flow Diagram</w:t>
      </w:r>
      <w:r w:rsidR="007E3C2F">
        <w:t xml:space="preserve"> in</w:t>
      </w:r>
      <w:r w:rsidR="007E3C2F" w:rsidRPr="000B5FFD">
        <w:t xml:space="preserve"> </w:t>
      </w:r>
      <w:r w:rsidRPr="000B5FFD">
        <w:t>Appendix D</w:t>
      </w:r>
      <w:r w:rsidR="000B5FFD">
        <w:t xml:space="preserve"> of the</w:t>
      </w:r>
      <w:r w:rsidR="000B5FFD" w:rsidRPr="0077074C">
        <w:t xml:space="preserve"> </w:t>
      </w:r>
      <w:r w:rsidR="005F6FCF">
        <w:t>t</w:t>
      </w:r>
      <w:r w:rsidR="00A94DA9">
        <w:t>echnical report (</w:t>
      </w:r>
      <w:r w:rsidR="00FD58B0">
        <w:t>Alexander &amp; Zhang</w:t>
      </w:r>
      <w:r w:rsidR="000B5FFD">
        <w:t>,</w:t>
      </w:r>
      <w:r w:rsidR="000B5FFD" w:rsidRPr="0077074C">
        <w:t xml:space="preserve"> 2026)</w:t>
      </w:r>
      <w:r w:rsidRPr="00166101">
        <w:t>.</w:t>
      </w:r>
    </w:p>
    <w:p w14:paraId="5AB62FF5" w14:textId="77777777" w:rsidR="00992F2F" w:rsidRPr="00166101" w:rsidRDefault="00992F2F" w:rsidP="00992F2F">
      <w:pPr>
        <w:pStyle w:val="ListNumber"/>
      </w:pPr>
      <w:r w:rsidRPr="009427DB">
        <w:rPr>
          <w:b/>
          <w:bCs/>
        </w:rPr>
        <w:t>Extracting and analysing data</w:t>
      </w:r>
      <w:r>
        <w:t xml:space="preserve">: </w:t>
      </w:r>
      <w:r w:rsidRPr="00166101">
        <w:t>For each included study, we extracted key details about the population, setting, type of support, outcomes, and implementation factors. Findings were grouped into three main categories: jobseeker</w:t>
      </w:r>
      <w:r>
        <w:t>-</w:t>
      </w:r>
      <w:r w:rsidRPr="00166101">
        <w:t xml:space="preserve">focused supports, employer and workplace </w:t>
      </w:r>
      <w:proofErr w:type="gramStart"/>
      <w:r w:rsidRPr="00166101">
        <w:t>supports</w:t>
      </w:r>
      <w:proofErr w:type="gramEnd"/>
      <w:r w:rsidRPr="00166101">
        <w:t xml:space="preserve"> and bridging and ongoing supports. We used a narrative synthesis approach to identify consistent patterns and practical insights across diverse study types.</w:t>
      </w:r>
    </w:p>
    <w:p w14:paraId="1A5AAE43" w14:textId="0C27B879" w:rsidR="00992F2F" w:rsidRPr="00166101" w:rsidRDefault="00992F2F" w:rsidP="00992F2F">
      <w:pPr>
        <w:pStyle w:val="ListNumber"/>
      </w:pPr>
      <w:r w:rsidRPr="009427DB">
        <w:rPr>
          <w:b/>
          <w:bCs/>
        </w:rPr>
        <w:t>Assessing quality and relevance</w:t>
      </w:r>
      <w:r>
        <w:t xml:space="preserve">: </w:t>
      </w:r>
      <w:r w:rsidRPr="00166101">
        <w:t xml:space="preserve">We </w:t>
      </w:r>
      <w:r w:rsidRPr="00C77C7F">
        <w:t>used</w:t>
      </w:r>
      <w:r w:rsidRPr="00166101">
        <w:t xml:space="preserve"> established tools to assess the quality and strength of the evidence including the AERO Standards of Evidence to assess practical relevance. We also applied a transferability rubric to ensure findings were applicable to the Australian context.</w:t>
      </w:r>
      <w:r>
        <w:t xml:space="preserve"> </w:t>
      </w:r>
      <w:r w:rsidRPr="00B124B2">
        <w:t xml:space="preserve">Details are provided in </w:t>
      </w:r>
      <w:r w:rsidRPr="000B5FFD">
        <w:t>Appendices F and G</w:t>
      </w:r>
      <w:r w:rsidR="000B5FFD">
        <w:t xml:space="preserve"> of the</w:t>
      </w:r>
      <w:r w:rsidR="000B5FFD" w:rsidRPr="0077074C">
        <w:t xml:space="preserve"> </w:t>
      </w:r>
      <w:r w:rsidR="007E3C2F">
        <w:t>t</w:t>
      </w:r>
      <w:r w:rsidR="00A94DA9">
        <w:t>echnical report (</w:t>
      </w:r>
      <w:r w:rsidR="00FD58B0">
        <w:t>Alexander &amp; Zhang</w:t>
      </w:r>
      <w:r w:rsidR="000B5FFD">
        <w:t>,</w:t>
      </w:r>
      <w:r w:rsidR="000B5FFD" w:rsidRPr="0077074C">
        <w:t xml:space="preserve"> 2026)</w:t>
      </w:r>
      <w:r w:rsidRPr="00B124B2">
        <w:t>.</w:t>
      </w:r>
    </w:p>
    <w:p w14:paraId="23DBF52B" w14:textId="77777777" w:rsidR="00992F2F" w:rsidRPr="00640837" w:rsidRDefault="00992F2F" w:rsidP="00E03EC5">
      <w:pPr>
        <w:pStyle w:val="ListBullet"/>
      </w:pPr>
      <w:r w:rsidRPr="00166101">
        <w:t>The review prioritised findings that are both evidence-informed and actionable. Where possible, we highlighted practices supported by multiple high-quality studies, while also including promising approaches identified through lived experience and practice-based evidence.</w:t>
      </w:r>
    </w:p>
    <w:p w14:paraId="48592845" w14:textId="77777777" w:rsidR="00992F2F" w:rsidRPr="00ED0558" w:rsidRDefault="00992F2F" w:rsidP="00992F2F">
      <w:pPr>
        <w:pStyle w:val="Heading1"/>
      </w:pPr>
      <w:bookmarkStart w:id="19" w:name="_Toc231482876"/>
      <w:bookmarkStart w:id="20" w:name="_Toc231484062"/>
      <w:r w:rsidRPr="00ED0558">
        <w:t>Findings</w:t>
      </w:r>
      <w:bookmarkEnd w:id="19"/>
      <w:bookmarkEnd w:id="20"/>
    </w:p>
    <w:p w14:paraId="1F6ABB01" w14:textId="77777777" w:rsidR="00992F2F" w:rsidRPr="00170E3D" w:rsidRDefault="00992F2F" w:rsidP="00992F2F">
      <w:r w:rsidRPr="00170E3D">
        <w:t>This section presents the key findings from the evidence synthesis, structured around the two guiding questions:</w:t>
      </w:r>
    </w:p>
    <w:p w14:paraId="5C94EA55" w14:textId="77777777" w:rsidR="00992F2F" w:rsidRPr="00170E3D" w:rsidRDefault="00992F2F" w:rsidP="00E03EC5">
      <w:pPr>
        <w:pStyle w:val="ListBullet"/>
        <w:numPr>
          <w:ilvl w:val="0"/>
          <w:numId w:val="34"/>
        </w:numPr>
      </w:pPr>
      <w:r w:rsidRPr="00271DF9">
        <w:rPr>
          <w:b/>
          <w:bCs/>
        </w:rPr>
        <w:t>What works to improve employment outcomes</w:t>
      </w:r>
      <w:r w:rsidRPr="00170E3D">
        <w:t xml:space="preserve"> for people with intellectual disability?</w:t>
      </w:r>
    </w:p>
    <w:p w14:paraId="57EE97F8" w14:textId="77777777" w:rsidR="00992F2F" w:rsidRDefault="00992F2F" w:rsidP="00E03EC5">
      <w:pPr>
        <w:pStyle w:val="ListBullet"/>
        <w:numPr>
          <w:ilvl w:val="0"/>
          <w:numId w:val="34"/>
        </w:numPr>
      </w:pPr>
      <w:r w:rsidRPr="00FD1CAE">
        <w:t>How can these practices be delivered effectively</w:t>
      </w:r>
      <w:r w:rsidRPr="00170E3D">
        <w:t xml:space="preserve"> in the Australian context?</w:t>
      </w:r>
    </w:p>
    <w:p w14:paraId="7748DDCE" w14:textId="77777777" w:rsidR="00992F2F" w:rsidRPr="00170E3D" w:rsidRDefault="00992F2F" w:rsidP="00992F2F">
      <w:r w:rsidRPr="00EE3D0E">
        <w:t xml:space="preserve">If you want quick practice actions, jump to </w:t>
      </w:r>
      <w:r w:rsidRPr="006955DF">
        <w:rPr>
          <w:b/>
          <w:bCs/>
        </w:rPr>
        <w:t>Boxes 9-11</w:t>
      </w:r>
      <w:r w:rsidRPr="00EE3D0E">
        <w:t>.</w:t>
      </w:r>
    </w:p>
    <w:p w14:paraId="41722A70" w14:textId="77777777" w:rsidR="00992F2F" w:rsidRDefault="00992F2F" w:rsidP="00992F2F">
      <w:pPr>
        <w:pStyle w:val="Heading2"/>
      </w:pPr>
      <w:bookmarkStart w:id="21" w:name="_Toc231482877"/>
      <w:bookmarkStart w:id="22" w:name="_Toc231484063"/>
      <w:r w:rsidRPr="00C90372">
        <w:t>What works to improve employment outcomes</w:t>
      </w:r>
      <w:bookmarkEnd w:id="21"/>
      <w:bookmarkEnd w:id="22"/>
    </w:p>
    <w:p w14:paraId="53D2D53E" w14:textId="77777777" w:rsidR="00992F2F" w:rsidRDefault="00992F2F" w:rsidP="00992F2F">
      <w:r w:rsidRPr="00EE3D0E">
        <w:t xml:space="preserve">Across the evidence, the same practices appear repeatedly in programs that </w:t>
      </w:r>
      <w:r w:rsidRPr="00EE3D0E">
        <w:lastRenderedPageBreak/>
        <w:t xml:space="preserve">achieve better outcomes </w:t>
      </w:r>
      <w:r>
        <w:t xml:space="preserve">– </w:t>
      </w:r>
      <w:r w:rsidRPr="00EE3D0E">
        <w:t>including more people getting jobs, staying employed longer, and reporting better job quality. These practices fall into three overlapping areas: supports for the jobseeker, supports for the employer</w:t>
      </w:r>
      <w:r>
        <w:t xml:space="preserve"> </w:t>
      </w:r>
      <w:r w:rsidRPr="00EE3D0E">
        <w:t>/</w:t>
      </w:r>
      <w:r>
        <w:t xml:space="preserve"> </w:t>
      </w:r>
      <w:r w:rsidRPr="00EE3D0E">
        <w:t>workplace, and bridging plus ongoing supports that keep work stable over time.</w:t>
      </w:r>
    </w:p>
    <w:p w14:paraId="11DB20BA" w14:textId="77777777" w:rsidR="000C410D" w:rsidRDefault="00D8143A" w:rsidP="007200C6">
      <w:pPr>
        <w:pStyle w:val="BlockText"/>
      </w:pPr>
      <w:r w:rsidRPr="000B5FFD">
        <w:rPr>
          <w:b/>
          <w:bCs/>
          <w:i/>
          <w:iCs/>
        </w:rPr>
        <w:t>Box 1: Jobseeker-focused supports</w:t>
      </w:r>
      <w:r w:rsidRPr="00D0104C">
        <w:t xml:space="preserve"> </w:t>
      </w:r>
    </w:p>
    <w:p w14:paraId="3996E9A7" w14:textId="77777777" w:rsidR="000C410D" w:rsidRDefault="000C410D" w:rsidP="007200C6">
      <w:pPr>
        <w:pStyle w:val="BlockText"/>
      </w:pPr>
      <w:r>
        <w:t>These are strategies that help individuals build the skills, confidence, and readiness needed for work.</w:t>
      </w:r>
    </w:p>
    <w:p w14:paraId="6D8E885A" w14:textId="70C88C1F" w:rsidR="000C410D" w:rsidRDefault="000C410D" w:rsidP="007200C6">
      <w:pPr>
        <w:pStyle w:val="BlockText"/>
        <w:numPr>
          <w:ilvl w:val="0"/>
          <w:numId w:val="36"/>
        </w:numPr>
      </w:pPr>
      <w:r w:rsidRPr="000C410D">
        <w:rPr>
          <w:b/>
          <w:bCs/>
        </w:rPr>
        <w:t xml:space="preserve">Build early and hands-on work experience: </w:t>
      </w:r>
      <w:r>
        <w:t>Internships and real-world job trials during or after school increase the chances of paid work (</w:t>
      </w:r>
      <w:proofErr w:type="spellStart"/>
      <w:r>
        <w:t>Enticott</w:t>
      </w:r>
      <w:proofErr w:type="spellEnd"/>
      <w:r>
        <w:t xml:space="preserve"> &amp; Dew, 2026).</w:t>
      </w:r>
    </w:p>
    <w:p w14:paraId="1011D8FD" w14:textId="1BF6D6B7" w:rsidR="000C410D" w:rsidRDefault="000C410D" w:rsidP="007200C6">
      <w:pPr>
        <w:pStyle w:val="BlockText"/>
        <w:numPr>
          <w:ilvl w:val="0"/>
          <w:numId w:val="36"/>
        </w:numPr>
      </w:pPr>
      <w:r w:rsidRPr="000C410D">
        <w:rPr>
          <w:b/>
          <w:bCs/>
        </w:rPr>
        <w:t>Use personalised planning (Discovery)</w:t>
      </w:r>
      <w:r>
        <w:t>: Explore strengths, interests, and support needs to match people to the right job (Park &amp; Bouck, 2018).</w:t>
      </w:r>
    </w:p>
    <w:p w14:paraId="17BE11CB" w14:textId="3A2AF563" w:rsidR="000C410D" w:rsidRDefault="000C410D" w:rsidP="007200C6">
      <w:pPr>
        <w:pStyle w:val="BlockText"/>
        <w:numPr>
          <w:ilvl w:val="0"/>
          <w:numId w:val="36"/>
        </w:numPr>
      </w:pPr>
      <w:r w:rsidRPr="000C410D">
        <w:rPr>
          <w:b/>
          <w:bCs/>
        </w:rPr>
        <w:t>Teach practical skills in real settings:</w:t>
      </w:r>
      <w:r>
        <w:t xml:space="preserve"> Travel, communication, time-management, and job tasks work best when taught in real or simulated workplaces (Alexander et al., 2024).</w:t>
      </w:r>
    </w:p>
    <w:p w14:paraId="251A1994" w14:textId="0147D8F6" w:rsidR="00D8143A" w:rsidRPr="00D0104C" w:rsidRDefault="000C410D" w:rsidP="007200C6">
      <w:pPr>
        <w:pStyle w:val="BlockText"/>
        <w:numPr>
          <w:ilvl w:val="0"/>
          <w:numId w:val="36"/>
        </w:numPr>
      </w:pPr>
      <w:r w:rsidRPr="000C410D">
        <w:rPr>
          <w:b/>
          <w:bCs/>
        </w:rPr>
        <w:t>Support self-determination:</w:t>
      </w:r>
      <w:r>
        <w:t xml:space="preserve"> Help people set goals, understand rights, and make informed choices (Dean et al., 2017)</w:t>
      </w:r>
      <w:r w:rsidR="00D8143A" w:rsidRPr="00D0104C">
        <w:t xml:space="preserve">. </w:t>
      </w:r>
    </w:p>
    <w:p w14:paraId="06AE219D" w14:textId="77777777" w:rsidR="00992F2F" w:rsidRDefault="00992F2F" w:rsidP="00992F2F">
      <w:r w:rsidRPr="006955DF">
        <w:rPr>
          <w:b/>
          <w:bCs/>
        </w:rPr>
        <w:t>In summary</w:t>
      </w:r>
      <w:r w:rsidRPr="00882428">
        <w:t xml:space="preserve">, </w:t>
      </w:r>
      <w:r>
        <w:t>j</w:t>
      </w:r>
      <w:r w:rsidRPr="00882428">
        <w:t>obseeker</w:t>
      </w:r>
      <w:r>
        <w:t>-</w:t>
      </w:r>
      <w:r w:rsidRPr="00882428">
        <w:t xml:space="preserve">facing supports are most effective when they are embedded in a broader strategy that leads to real jobs, rather than treating people as if they must be made </w:t>
      </w:r>
      <w:r>
        <w:t>“</w:t>
      </w:r>
      <w:r w:rsidRPr="00882428">
        <w:t>job-ready” in a segregated setting first. Skills and confidence develop best when people engage in actual work or work-like activities, supported by staff who can tailor the experience to their strengths and needs. Programs that simply offer generic pre-employment training without strong connections to real employers or follow-up tend to show limited success by comparison</w:t>
      </w:r>
      <w:r>
        <w:t xml:space="preserve"> </w:t>
      </w:r>
      <w:r>
        <w:rPr>
          <w:noProof/>
        </w:rPr>
        <w:t>(Daviso et al., 2016)</w:t>
      </w:r>
      <w:r>
        <w:t>.</w:t>
      </w:r>
    </w:p>
    <w:p w14:paraId="614C3DF4" w14:textId="77777777" w:rsidR="00940802" w:rsidRDefault="00940802" w:rsidP="007200C6">
      <w:pPr>
        <w:pStyle w:val="BlockText"/>
      </w:pPr>
      <w:r w:rsidRPr="00940802">
        <w:rPr>
          <w:b/>
          <w:bCs/>
          <w:i/>
          <w:iCs/>
        </w:rPr>
        <w:t>Project SEARCH</w:t>
      </w:r>
      <w:r>
        <w:t xml:space="preserve"> </w:t>
      </w:r>
      <w:r w:rsidRPr="00AA443F">
        <w:t xml:space="preserve">is a school-to-work program </w:t>
      </w:r>
      <w:proofErr w:type="gramStart"/>
      <w:r w:rsidRPr="00AA443F">
        <w:t>where</w:t>
      </w:r>
      <w:proofErr w:type="gramEnd"/>
      <w:r w:rsidRPr="00AA443F">
        <w:t xml:space="preserve"> students complete internships in real workplaces. Participants receive structured on-the-job training, mentoring, and classroom instruction. Evidence suggests graduates are more likely to gain and keep open employment than peers in standard transition programs </w:t>
      </w:r>
      <w:r w:rsidRPr="00AA443F">
        <w:rPr>
          <w:noProof/>
        </w:rPr>
        <w:t>(The Disability Trust, n.d.)</w:t>
      </w:r>
      <w:r w:rsidRPr="00AA443F">
        <w:t>.</w:t>
      </w:r>
    </w:p>
    <w:p w14:paraId="5F82C7DE" w14:textId="77777777" w:rsidR="00940802" w:rsidRDefault="00940802" w:rsidP="00992F2F"/>
    <w:p w14:paraId="44F1A324" w14:textId="77777777" w:rsidR="00940802" w:rsidRDefault="00940802" w:rsidP="007200C6">
      <w:pPr>
        <w:pStyle w:val="BlockText"/>
      </w:pPr>
      <w:r w:rsidRPr="00940802">
        <w:rPr>
          <w:b/>
          <w:bCs/>
          <w:i/>
          <w:iCs/>
        </w:rPr>
        <w:lastRenderedPageBreak/>
        <w:t>School Leaver Employment Supports (SLES)</w:t>
      </w:r>
      <w:r>
        <w:t xml:space="preserve"> </w:t>
      </w:r>
      <w:r w:rsidRPr="00AA443F">
        <w:t>helps young people with disability transition from school to work. Supports may include work experience, travel training, job-readiness coaching, and help with building confidence. SLES is designed as a two-year (maximum) post-school support, which aims to be flexible and tailored to each person’s goals. To date, no public data on SLES’s overall employment outcomes is available, indicating an important evidence gap for future evaluation.</w:t>
      </w:r>
    </w:p>
    <w:p w14:paraId="34BD3F0C" w14:textId="77777777" w:rsidR="00940802" w:rsidRDefault="00940802" w:rsidP="00992F2F"/>
    <w:p w14:paraId="050C6C55" w14:textId="77777777" w:rsidR="00992F2F" w:rsidRDefault="00992F2F" w:rsidP="007200C6">
      <w:pPr>
        <w:pStyle w:val="BlockText"/>
      </w:pPr>
      <w:r w:rsidRPr="00940802">
        <w:rPr>
          <w:b/>
          <w:bCs/>
          <w:i/>
          <w:iCs/>
        </w:rPr>
        <w:t>Ticket to Work (Australia)</w:t>
      </w:r>
      <w:r w:rsidRPr="006955DF">
        <w:rPr>
          <w:b/>
          <w:bCs/>
        </w:rPr>
        <w:t xml:space="preserve"> </w:t>
      </w:r>
      <w:r w:rsidRPr="00AA443F">
        <w:t>is a national initiative that brings together schools, employment services, employers, and families to support young people with disability into work. It focuses on early engagement, real work experience, and coordinated support. National evaluations show that participants are more likely to complete Year 12 and enter open employment</w:t>
      </w:r>
      <w:r w:rsidRPr="00AA443F">
        <w:rPr>
          <w:rFonts w:ascii="Segoe UI" w:eastAsia="Times New Roman" w:hAnsi="Segoe UI" w:cs="Segoe UI"/>
          <w:sz w:val="21"/>
          <w:szCs w:val="21"/>
          <w:lang w:eastAsia="zh-CN"/>
        </w:rPr>
        <w:t xml:space="preserve"> </w:t>
      </w:r>
      <w:r w:rsidRPr="00AA443F">
        <w:t xml:space="preserve">than a comparison group </w:t>
      </w:r>
      <w:r w:rsidRPr="00AA443F">
        <w:rPr>
          <w:noProof/>
        </w:rPr>
        <w:t>(National Disability Services, 2020)</w:t>
      </w:r>
      <w:r>
        <w:t>.</w:t>
      </w:r>
    </w:p>
    <w:p w14:paraId="48A49A99" w14:textId="77777777" w:rsidR="00992F2F" w:rsidRDefault="00992F2F" w:rsidP="00992F2F"/>
    <w:p w14:paraId="30BBEE5B" w14:textId="38D37C03" w:rsidR="000C410D" w:rsidRDefault="000C410D" w:rsidP="007200C6">
      <w:pPr>
        <w:pStyle w:val="BlockText"/>
      </w:pPr>
      <w:r w:rsidRPr="000B5FFD">
        <w:rPr>
          <w:b/>
          <w:bCs/>
          <w:i/>
          <w:iCs/>
        </w:rPr>
        <w:t xml:space="preserve">Box 2: Employer and workplace </w:t>
      </w:r>
      <w:proofErr w:type="gramStart"/>
      <w:r w:rsidRPr="000B5FFD">
        <w:rPr>
          <w:b/>
          <w:bCs/>
          <w:i/>
          <w:iCs/>
        </w:rPr>
        <w:t>supports</w:t>
      </w:r>
      <w:proofErr w:type="gramEnd"/>
    </w:p>
    <w:p w14:paraId="6995A7DB" w14:textId="05AF68C1" w:rsidR="000C410D" w:rsidRDefault="000C410D" w:rsidP="007200C6">
      <w:pPr>
        <w:pStyle w:val="BlockText"/>
        <w:rPr>
          <w:bCs/>
        </w:rPr>
      </w:pPr>
      <w:r w:rsidRPr="007B6C81">
        <w:t>These practices help employers create inclusive roles and supportive environments</w:t>
      </w:r>
      <w:r w:rsidRPr="00CC79CB">
        <w:rPr>
          <w:bCs/>
        </w:rPr>
        <w:t>.</w:t>
      </w:r>
    </w:p>
    <w:p w14:paraId="1618EBBF" w14:textId="731319B6" w:rsidR="000C410D" w:rsidRDefault="000C410D" w:rsidP="007200C6">
      <w:pPr>
        <w:pStyle w:val="BlockText"/>
        <w:numPr>
          <w:ilvl w:val="0"/>
          <w:numId w:val="37"/>
        </w:numPr>
      </w:pPr>
      <w:r w:rsidRPr="0013299D">
        <w:rPr>
          <w:b/>
          <w:bCs/>
        </w:rPr>
        <w:t>Engage employers and develop jobs:</w:t>
      </w:r>
      <w:r w:rsidRPr="007B6C81">
        <w:t xml:space="preserve"> </w:t>
      </w:r>
      <w:r w:rsidRPr="00187516">
        <w:t>Build relationships and create roles rather than relying only on advertised vacancies</w:t>
      </w:r>
      <w:r>
        <w:t xml:space="preserve"> </w:t>
      </w:r>
      <w:r>
        <w:rPr>
          <w:noProof/>
        </w:rPr>
        <w:t>(Butterworth et al., 2020).</w:t>
      </w:r>
    </w:p>
    <w:p w14:paraId="0A702E8C" w14:textId="1E29283D" w:rsidR="000C410D" w:rsidRDefault="000C410D" w:rsidP="007200C6">
      <w:pPr>
        <w:pStyle w:val="BlockText"/>
        <w:numPr>
          <w:ilvl w:val="0"/>
          <w:numId w:val="37"/>
        </w:numPr>
      </w:pPr>
      <w:r w:rsidRPr="0013299D">
        <w:rPr>
          <w:b/>
          <w:bCs/>
        </w:rPr>
        <w:t>Customise roles where needed:</w:t>
      </w:r>
      <w:r w:rsidRPr="007B6C81">
        <w:t xml:space="preserve"> </w:t>
      </w:r>
      <w:r w:rsidRPr="00187516">
        <w:t>Redesign tasks (“job carving”) so the role fits the person and the business</w:t>
      </w:r>
      <w:r>
        <w:t xml:space="preserve">. This helps to </w:t>
      </w:r>
      <w:r w:rsidRPr="007B6C81">
        <w:t>open up new opportunities.</w:t>
      </w:r>
      <w:r>
        <w:t xml:space="preserve"> </w:t>
      </w:r>
      <w:r w:rsidRPr="0074091E">
        <w:t>Research on Customi</w:t>
      </w:r>
      <w:r>
        <w:t>s</w:t>
      </w:r>
      <w:r w:rsidRPr="0074091E">
        <w:t>ed Employment shows that it can significantly improve employment outcomes for people with intellectual disability</w:t>
      </w:r>
      <w:r>
        <w:t xml:space="preserve"> </w:t>
      </w:r>
      <w:r>
        <w:rPr>
          <w:noProof/>
        </w:rPr>
        <w:t>(Inge et al., 2024)</w:t>
      </w:r>
      <w:r>
        <w:t>.</w:t>
      </w:r>
      <w:r w:rsidRPr="0074091E">
        <w:t xml:space="preserve"> (See also </w:t>
      </w:r>
      <w:r w:rsidRPr="0013299D">
        <w:rPr>
          <w:b/>
          <w:bCs/>
        </w:rPr>
        <w:t>Box 8a</w:t>
      </w:r>
      <w:r w:rsidRPr="0074091E">
        <w:t xml:space="preserve"> in the </w:t>
      </w:r>
      <w:r w:rsidRPr="0013299D">
        <w:rPr>
          <w:b/>
          <w:bCs/>
        </w:rPr>
        <w:t>Discussion</w:t>
      </w:r>
      <w:r w:rsidRPr="0074091E">
        <w:t xml:space="preserve"> for more on evidence-based Customi</w:t>
      </w:r>
      <w:r>
        <w:t>s</w:t>
      </w:r>
      <w:r w:rsidRPr="0074091E">
        <w:t>ed Employment models.</w:t>
      </w:r>
      <w:r>
        <w:t>)</w:t>
      </w:r>
    </w:p>
    <w:p w14:paraId="19695B4B" w14:textId="714DD13D" w:rsidR="000C410D" w:rsidRDefault="000C410D" w:rsidP="007200C6">
      <w:pPr>
        <w:pStyle w:val="BlockText"/>
        <w:numPr>
          <w:ilvl w:val="0"/>
          <w:numId w:val="37"/>
        </w:numPr>
      </w:pPr>
      <w:r w:rsidRPr="0013299D">
        <w:rPr>
          <w:b/>
          <w:bCs/>
        </w:rPr>
        <w:t>Support onboarding and training:</w:t>
      </w:r>
      <w:r w:rsidRPr="007B6C81">
        <w:t xml:space="preserve"> </w:t>
      </w:r>
      <w:r w:rsidRPr="00187516">
        <w:t>Prepare supervisors and co</w:t>
      </w:r>
      <w:r w:rsidRPr="0013299D">
        <w:rPr>
          <w:rFonts w:ascii="Cambria Math" w:hAnsi="Cambria Math" w:cs="Cambria Math"/>
        </w:rPr>
        <w:t>‑</w:t>
      </w:r>
      <w:r w:rsidRPr="00187516">
        <w:t>workers to support the new employee</w:t>
      </w:r>
      <w:r>
        <w:t xml:space="preserve"> </w:t>
      </w:r>
      <w:r>
        <w:rPr>
          <w:noProof/>
        </w:rPr>
        <w:t>(Carlson et al., 2020).</w:t>
      </w:r>
    </w:p>
    <w:p w14:paraId="146DE854" w14:textId="00FCB6FC" w:rsidR="000C410D" w:rsidRDefault="000C410D" w:rsidP="007200C6">
      <w:pPr>
        <w:pStyle w:val="BlockText"/>
        <w:numPr>
          <w:ilvl w:val="0"/>
          <w:numId w:val="37"/>
        </w:numPr>
      </w:pPr>
      <w:r w:rsidRPr="0013299D">
        <w:rPr>
          <w:b/>
          <w:bCs/>
        </w:rPr>
        <w:t>Make practical adjustments:</w:t>
      </w:r>
      <w:r w:rsidRPr="007B6C81">
        <w:t xml:space="preserve"> </w:t>
      </w:r>
      <w:r w:rsidRPr="00187516">
        <w:t>Visual instructions, flexible hours, and assistive technology can remove barriers</w:t>
      </w:r>
      <w:r>
        <w:t xml:space="preserve"> </w:t>
      </w:r>
      <w:r>
        <w:rPr>
          <w:noProof/>
        </w:rPr>
        <w:t>(Morash-Macneil et al., 2018).</w:t>
      </w:r>
    </w:p>
    <w:p w14:paraId="556F69CC" w14:textId="3C203657" w:rsidR="000C410D" w:rsidRDefault="000C410D" w:rsidP="007200C6">
      <w:pPr>
        <w:pStyle w:val="BlockText"/>
        <w:numPr>
          <w:ilvl w:val="0"/>
          <w:numId w:val="37"/>
        </w:numPr>
      </w:pPr>
      <w:r w:rsidRPr="0013299D">
        <w:rPr>
          <w:b/>
          <w:bCs/>
        </w:rPr>
        <w:t xml:space="preserve">Build an inclusive culture: </w:t>
      </w:r>
      <w:r w:rsidRPr="00187516">
        <w:t xml:space="preserve">Belonging, clear communication and fair </w:t>
      </w:r>
      <w:r w:rsidRPr="00187516">
        <w:lastRenderedPageBreak/>
        <w:t>treatment improve retention and job quality</w:t>
      </w:r>
      <w:r>
        <w:t xml:space="preserve"> </w:t>
      </w:r>
      <w:r>
        <w:rPr>
          <w:noProof/>
        </w:rPr>
        <w:t>(Gilson et al., 2018).</w:t>
      </w:r>
    </w:p>
    <w:p w14:paraId="1046F6C9" w14:textId="77777777" w:rsidR="00992F2F" w:rsidRDefault="00992F2F" w:rsidP="00992F2F">
      <w:r w:rsidRPr="00CA15B8">
        <w:rPr>
          <w:b/>
          <w:bCs/>
        </w:rPr>
        <w:t>In summary</w:t>
      </w:r>
      <w:r w:rsidRPr="004A285E">
        <w:t xml:space="preserve">, </w:t>
      </w:r>
      <w:r>
        <w:t>e</w:t>
      </w:r>
      <w:r w:rsidRPr="00E72868">
        <w:t xml:space="preserve">mployer and workplace supports work best when employers are treated as partners. Services can help employers design roles, train supervisors, and create a welcoming team culture. When the workplace is set up well, the person is more likely to succeed </w:t>
      </w:r>
      <w:r>
        <w:t xml:space="preserve">– </w:t>
      </w:r>
      <w:r w:rsidRPr="00E72868">
        <w:t>even if they need higher levels of support.</w:t>
      </w:r>
      <w:r w:rsidRPr="004A285E">
        <w:t xml:space="preserve"> Indeed, one of the key findings of this review is that how an employer designs the job and supports the employee can be just as important as the jobseeker’s initial skills. For example, a supportive supervisor who provides clear instructions and feedback can enable a worker with ID to perform successfully in a role that might otherwise seem beyond their ability. Without these employer-facing practices, even a well-trained and motivated jobseeker may struggle in an unfriendly or inflexible workplace.</w:t>
      </w:r>
    </w:p>
    <w:p w14:paraId="0D76252F" w14:textId="77777777" w:rsidR="00992F2F" w:rsidRDefault="00992F2F" w:rsidP="00992F2F">
      <w:r w:rsidRPr="007E6D74">
        <w:t xml:space="preserve">These employer and workplace supports are most effective when paired with bridging and ongoing supports that connect the right person to the role and provide continuity over time (see </w:t>
      </w:r>
      <w:r w:rsidRPr="007E6D74">
        <w:rPr>
          <w:b/>
          <w:bCs/>
        </w:rPr>
        <w:t>Box 3</w:t>
      </w:r>
      <w:r w:rsidRPr="007E6D74">
        <w:t>).</w:t>
      </w:r>
    </w:p>
    <w:p w14:paraId="087D3D57" w14:textId="77777777" w:rsidR="00992F2F" w:rsidRPr="00CA15B8" w:rsidRDefault="00992F2F" w:rsidP="00992F2F">
      <w:r w:rsidRPr="00CA15B8">
        <w:rPr>
          <w:b/>
          <w:bCs/>
        </w:rPr>
        <w:t>JobAccess and the Employment Assistance Fund (EAF)</w:t>
      </w:r>
      <w:r>
        <w:rPr>
          <w:b/>
          <w:bCs/>
        </w:rPr>
        <w:t xml:space="preserve"> </w:t>
      </w:r>
      <w:r w:rsidRPr="00CA15B8">
        <w:t>operate</w:t>
      </w:r>
      <w:r>
        <w:t>s</w:t>
      </w:r>
      <w:r w:rsidRPr="00CA15B8">
        <w:t xml:space="preserve"> across both employer</w:t>
      </w:r>
      <w:r w:rsidRPr="00CA15B8">
        <w:noBreakHyphen/>
        <w:t>facing and ongoing support practices, enabling workplace adjustments at job start</w:t>
      </w:r>
      <w:r w:rsidRPr="00CA15B8">
        <w:noBreakHyphen/>
        <w:t>up and as roles evolve over time.</w:t>
      </w:r>
    </w:p>
    <w:p w14:paraId="47A6EE19" w14:textId="77777777" w:rsidR="00992F2F" w:rsidRPr="00654879" w:rsidRDefault="00992F2F" w:rsidP="007200C6">
      <w:pPr>
        <w:pStyle w:val="BlockText"/>
      </w:pPr>
      <w:r w:rsidRPr="00BD7D48">
        <w:rPr>
          <w:b/>
          <w:bCs/>
          <w:i/>
          <w:iCs/>
        </w:rPr>
        <w:t>JobAccess</w:t>
      </w:r>
      <w:r w:rsidRPr="00654879">
        <w:rPr>
          <w:b/>
          <w:bCs/>
        </w:rPr>
        <w:t xml:space="preserve"> </w:t>
      </w:r>
      <w:r w:rsidRPr="00C977B2">
        <w:t>is a government service that provides advice and support to employers and jobseekers with disability. The EAF offers funding for workplace modifications, assistive technology, and training. These supports help remove barriers and make workplaces more inclusive.</w:t>
      </w:r>
    </w:p>
    <w:p w14:paraId="6A091776" w14:textId="77777777" w:rsidR="00992F2F" w:rsidRDefault="00992F2F" w:rsidP="00992F2F">
      <w:r w:rsidRPr="002028EA">
        <w:t>Bridging and ongoing supports build on employer</w:t>
      </w:r>
      <w:r>
        <w:t>-</w:t>
      </w:r>
      <w:r w:rsidRPr="002028EA">
        <w:t>facing practices by ensuring that job matches are sustained, support can be re</w:t>
      </w:r>
      <w:r>
        <w:t>-</w:t>
      </w:r>
      <w:r w:rsidRPr="002028EA">
        <w:t>intensified, and workplace adjustments evolve as roles change.</w:t>
      </w:r>
    </w:p>
    <w:p w14:paraId="0CF42CC1" w14:textId="77777777" w:rsidR="00CC0D28" w:rsidRPr="00007FAE" w:rsidRDefault="00CC0D28" w:rsidP="007200C6">
      <w:pPr>
        <w:pStyle w:val="BlockText"/>
      </w:pPr>
      <w:r w:rsidRPr="000B5FFD">
        <w:rPr>
          <w:b/>
          <w:bCs/>
          <w:i/>
          <w:iCs/>
        </w:rPr>
        <w:t>Box 3: Bridging and ongoing supports</w:t>
      </w:r>
    </w:p>
    <w:p w14:paraId="0E65A40F" w14:textId="77777777" w:rsidR="00CC0D28" w:rsidRPr="00CC79CB" w:rsidRDefault="00CC0D28" w:rsidP="007200C6">
      <w:pPr>
        <w:pStyle w:val="BlockText"/>
      </w:pPr>
      <w:r w:rsidRPr="00BC73E0">
        <w:t>These strategies ensure people are well matched to jobs and receive the support they need to stay employed</w:t>
      </w:r>
      <w:r w:rsidRPr="00CC79CB">
        <w:t>.</w:t>
      </w:r>
    </w:p>
    <w:p w14:paraId="6C5392E9" w14:textId="289E03A1" w:rsidR="00CC0D28" w:rsidRPr="00BC73E0" w:rsidRDefault="00CC0D28" w:rsidP="007200C6">
      <w:pPr>
        <w:pStyle w:val="BlockText"/>
        <w:numPr>
          <w:ilvl w:val="0"/>
          <w:numId w:val="38"/>
        </w:numPr>
      </w:pPr>
      <w:r w:rsidRPr="00CC0D28">
        <w:rPr>
          <w:b/>
          <w:bCs/>
        </w:rPr>
        <w:t>Match the person to the right job:</w:t>
      </w:r>
      <w:r w:rsidRPr="00BC73E0">
        <w:t xml:space="preserve"> Plan for changes in provider, workplace, or life stage so support doesn’t drop away (Kaya, 2018).</w:t>
      </w:r>
    </w:p>
    <w:p w14:paraId="5D37EF13" w14:textId="42F44BEA" w:rsidR="00CC0D28" w:rsidRPr="00BC73E0" w:rsidRDefault="00CC0D28" w:rsidP="007200C6">
      <w:pPr>
        <w:pStyle w:val="BlockText"/>
        <w:numPr>
          <w:ilvl w:val="0"/>
          <w:numId w:val="38"/>
        </w:numPr>
      </w:pPr>
      <w:r w:rsidRPr="00CC0D28">
        <w:rPr>
          <w:b/>
          <w:bCs/>
        </w:rPr>
        <w:t>Use place-train-maintain supported employment:</w:t>
      </w:r>
      <w:r w:rsidRPr="00BC73E0">
        <w:t xml:space="preserve"> Start with a real paid job, then train on the job with long-term follow-up (Sigstad &amp; Garrels, 2023).</w:t>
      </w:r>
    </w:p>
    <w:p w14:paraId="45DBA476" w14:textId="7827B6D8" w:rsidR="00CC0D28" w:rsidRPr="00BC73E0" w:rsidRDefault="00CC0D28" w:rsidP="007200C6">
      <w:pPr>
        <w:pStyle w:val="BlockText"/>
        <w:numPr>
          <w:ilvl w:val="0"/>
          <w:numId w:val="38"/>
        </w:numPr>
      </w:pPr>
      <w:r w:rsidRPr="00CC0D28">
        <w:rPr>
          <w:b/>
          <w:bCs/>
        </w:rPr>
        <w:lastRenderedPageBreak/>
        <w:t>Customised Employment:</w:t>
      </w:r>
      <w:r w:rsidRPr="00BC73E0">
        <w:t xml:space="preserve"> Discovery, negotiation, and job creation help connect people with higher support needs to meaningful work</w:t>
      </w:r>
      <w:r>
        <w:t xml:space="preserve"> </w:t>
      </w:r>
      <w:r>
        <w:rPr>
          <w:noProof/>
        </w:rPr>
        <w:t>(Riesen et al., 2015)</w:t>
      </w:r>
      <w:r w:rsidRPr="00BC73E0">
        <w:t>.</w:t>
      </w:r>
    </w:p>
    <w:p w14:paraId="164126AD" w14:textId="168C189B" w:rsidR="00CC0D28" w:rsidRPr="00FD0470" w:rsidRDefault="00CC0D28" w:rsidP="007200C6">
      <w:pPr>
        <w:pStyle w:val="BlockText"/>
        <w:numPr>
          <w:ilvl w:val="0"/>
          <w:numId w:val="38"/>
        </w:numPr>
      </w:pPr>
      <w:r w:rsidRPr="00CC0D28">
        <w:rPr>
          <w:b/>
          <w:bCs/>
        </w:rPr>
        <w:t>Maintain continuity through transitions:</w:t>
      </w:r>
      <w:r w:rsidRPr="00BC73E0">
        <w:t xml:space="preserve"> Plan for changes in provider, workplace, or life stage so support doesn’t drop away</w:t>
      </w:r>
      <w:r>
        <w:t xml:space="preserve"> </w:t>
      </w:r>
      <w:r>
        <w:rPr>
          <w:noProof/>
        </w:rPr>
        <w:t>(Sigstad &amp; Garrels, 2023)</w:t>
      </w:r>
      <w:r w:rsidRPr="00BC73E0">
        <w:t xml:space="preserve">. </w:t>
      </w:r>
    </w:p>
    <w:p w14:paraId="113A9148" w14:textId="7F9907B9" w:rsidR="00007FAE" w:rsidRDefault="00CC0D28" w:rsidP="007200C6">
      <w:pPr>
        <w:pStyle w:val="BlockText"/>
        <w:numPr>
          <w:ilvl w:val="0"/>
          <w:numId w:val="38"/>
        </w:numPr>
      </w:pPr>
      <w:r w:rsidRPr="00CC0D28">
        <w:rPr>
          <w:b/>
          <w:bCs/>
        </w:rPr>
        <w:t>Provide follow-along and quick re-engagement:</w:t>
      </w:r>
      <w:r w:rsidRPr="00BC73E0">
        <w:t xml:space="preserve"> Keep a safety net and step back in when needs change (Taubner et al., 2022).</w:t>
      </w:r>
    </w:p>
    <w:p w14:paraId="4391BD42" w14:textId="77777777" w:rsidR="00992F2F" w:rsidRDefault="00992F2F" w:rsidP="00992F2F">
      <w:r w:rsidRPr="002E27BD">
        <w:t>Bridging and ongoing supports play a vital role in connecting people with intellectual disability to meaningful jobs and helping them stay employed over time. Effective practices include careful job matching, supported employment models that provide on</w:t>
      </w:r>
      <w:r>
        <w:t>-</w:t>
      </w:r>
      <w:r w:rsidRPr="002E27BD">
        <w:t>the-job training, and Customised Employment strategies that align roles with individual strengths. Continuity during transitions</w:t>
      </w:r>
      <w:r>
        <w:t xml:space="preserve"> </w:t>
      </w:r>
      <w:r w:rsidRPr="002E27BD">
        <w:t>is essential to prevent job loss. Follow-along support and the ability to re-engage when challenges arise are key to long-term success. These supports ensure that employment is achieved, sustained and meaningful.</w:t>
      </w:r>
    </w:p>
    <w:p w14:paraId="49165B6D" w14:textId="77777777" w:rsidR="00992F2F" w:rsidRDefault="00992F2F" w:rsidP="00992F2F">
      <w:r w:rsidRPr="00AE5BC0">
        <w:t xml:space="preserve">Employer and workplace </w:t>
      </w:r>
      <w:proofErr w:type="gramStart"/>
      <w:r w:rsidRPr="00AE5BC0">
        <w:t>supports</w:t>
      </w:r>
      <w:proofErr w:type="gramEnd"/>
      <w:r w:rsidRPr="00AE5BC0">
        <w:t xml:space="preserve"> (</w:t>
      </w:r>
      <w:r w:rsidRPr="00AE5BC0">
        <w:rPr>
          <w:b/>
          <w:bCs/>
        </w:rPr>
        <w:t>Box 2</w:t>
      </w:r>
      <w:r w:rsidRPr="00AE5BC0">
        <w:t>) create the conditions for inclusive jobs; while bridging and ongoing supports (</w:t>
      </w:r>
      <w:r w:rsidRPr="00AE5BC0">
        <w:rPr>
          <w:b/>
          <w:bCs/>
        </w:rPr>
        <w:t>Box 3</w:t>
      </w:r>
      <w:r w:rsidRPr="00AE5BC0">
        <w:t>) ensure people are matched to those jobs and supported to stay in them over time.</w:t>
      </w:r>
    </w:p>
    <w:p w14:paraId="79B162FA" w14:textId="1A4A13D3" w:rsidR="00BD7D48" w:rsidRDefault="005211A0" w:rsidP="007200C6">
      <w:pPr>
        <w:pStyle w:val="BlockText"/>
        <w:rPr>
          <w:rStyle w:val="Hyperlink"/>
          <w:color w:val="000000"/>
        </w:rPr>
      </w:pPr>
      <w:r w:rsidRPr="005211A0">
        <w:rPr>
          <w:rStyle w:val="Hyperlink"/>
          <w:b/>
          <w:bCs/>
          <w:i/>
          <w:iCs/>
          <w:color w:val="000000"/>
        </w:rPr>
        <w:t>Box 3a: Place-Train-Maintain support employment model</w:t>
      </w:r>
    </w:p>
    <w:p w14:paraId="0EA742C0" w14:textId="0D24A7D2" w:rsidR="005211A0" w:rsidRDefault="005211A0" w:rsidP="007200C6">
      <w:pPr>
        <w:pStyle w:val="BlockText"/>
        <w:rPr>
          <w:rStyle w:val="Hyperlink"/>
          <w:color w:val="000000"/>
        </w:rPr>
      </w:pPr>
      <w:r w:rsidRPr="005211A0">
        <w:rPr>
          <w:rStyle w:val="Hyperlink"/>
          <w:color w:val="000000"/>
        </w:rPr>
        <w:t xml:space="preserve">The </w:t>
      </w:r>
      <w:r w:rsidR="005A419C" w:rsidRPr="005211A0">
        <w:rPr>
          <w:rStyle w:val="Hyperlink"/>
          <w:color w:val="000000"/>
        </w:rPr>
        <w:t xml:space="preserve">Place-Train-Maintain </w:t>
      </w:r>
      <w:r w:rsidRPr="005211A0">
        <w:rPr>
          <w:rStyle w:val="Hyperlink"/>
          <w:color w:val="000000"/>
        </w:rPr>
        <w:t>approach places people into real paid jobs first, then provides structured on-the-job training and long-term support. Support can be reduced over time, but it remains available if the job changes or new challenges arise.</w:t>
      </w:r>
    </w:p>
    <w:p w14:paraId="40436783" w14:textId="4184542B" w:rsidR="005211A0" w:rsidRPr="005211A0" w:rsidRDefault="005211A0">
      <w:pPr>
        <w:pStyle w:val="BlockText"/>
        <w:numPr>
          <w:ilvl w:val="0"/>
          <w:numId w:val="43"/>
        </w:numPr>
        <w:rPr>
          <w:rStyle w:val="Hyperlink"/>
          <w:color w:val="000000"/>
        </w:rPr>
      </w:pPr>
      <w:r w:rsidRPr="005211A0">
        <w:rPr>
          <w:rStyle w:val="Hyperlink"/>
          <w:b/>
          <w:bCs/>
          <w:color w:val="000000"/>
        </w:rPr>
        <w:t>Individuals are placed directly into real, paid jobs</w:t>
      </w:r>
      <w:r w:rsidRPr="005211A0">
        <w:rPr>
          <w:rStyle w:val="Hyperlink"/>
          <w:color w:val="000000"/>
        </w:rPr>
        <w:t xml:space="preserve"> in mainstream settings.</w:t>
      </w:r>
    </w:p>
    <w:p w14:paraId="74E6DE55" w14:textId="1980BFF8" w:rsidR="005211A0" w:rsidRPr="005211A0" w:rsidRDefault="005211A0">
      <w:pPr>
        <w:pStyle w:val="BlockText"/>
        <w:numPr>
          <w:ilvl w:val="0"/>
          <w:numId w:val="43"/>
        </w:numPr>
        <w:rPr>
          <w:rStyle w:val="Hyperlink"/>
          <w:color w:val="000000"/>
        </w:rPr>
      </w:pPr>
      <w:r w:rsidRPr="005211A0">
        <w:rPr>
          <w:rStyle w:val="Hyperlink"/>
          <w:b/>
          <w:bCs/>
          <w:color w:val="000000"/>
        </w:rPr>
        <w:t>They receive tailored, on-the-job training</w:t>
      </w:r>
      <w:r w:rsidRPr="005211A0">
        <w:rPr>
          <w:rStyle w:val="Hyperlink"/>
          <w:color w:val="000000"/>
        </w:rPr>
        <w:t xml:space="preserve"> from a dedicated job coach or employment support worker.</w:t>
      </w:r>
    </w:p>
    <w:p w14:paraId="57EC6999" w14:textId="78F6B872" w:rsidR="005211A0" w:rsidRPr="005211A0" w:rsidRDefault="005211A0">
      <w:pPr>
        <w:pStyle w:val="BlockText"/>
        <w:numPr>
          <w:ilvl w:val="0"/>
          <w:numId w:val="43"/>
        </w:numPr>
        <w:rPr>
          <w:rStyle w:val="Hyperlink"/>
          <w:color w:val="000000"/>
        </w:rPr>
      </w:pPr>
      <w:r w:rsidRPr="005211A0">
        <w:rPr>
          <w:rStyle w:val="Hyperlink"/>
          <w:b/>
          <w:bCs/>
          <w:color w:val="000000"/>
        </w:rPr>
        <w:t>Support is gradually reduced as the person becomes more confident and independent</w:t>
      </w:r>
      <w:r w:rsidRPr="005211A0">
        <w:rPr>
          <w:rStyle w:val="Hyperlink"/>
          <w:color w:val="000000"/>
        </w:rPr>
        <w:t>; but remains available long-term if needed.</w:t>
      </w:r>
    </w:p>
    <w:p w14:paraId="263FBB3A" w14:textId="239C030D" w:rsidR="005211A0" w:rsidRDefault="005211A0" w:rsidP="007200C6">
      <w:pPr>
        <w:pStyle w:val="BlockText"/>
        <w:rPr>
          <w:rStyle w:val="Hyperlink"/>
          <w:color w:val="000000"/>
        </w:rPr>
      </w:pPr>
      <w:r w:rsidRPr="005211A0">
        <w:rPr>
          <w:rStyle w:val="Hyperlink"/>
          <w:color w:val="000000"/>
        </w:rPr>
        <w:t>This model avoids time limits. Workers can re-engage with support at any point if their job changes or new challenges arise. This flexibility is known as follow-along or re-intensification of support.</w:t>
      </w:r>
    </w:p>
    <w:p w14:paraId="481B2C4B" w14:textId="0B75F227" w:rsidR="005211A0" w:rsidRPr="005211A0" w:rsidRDefault="005211A0" w:rsidP="007200C6">
      <w:pPr>
        <w:pStyle w:val="BlockText"/>
        <w:rPr>
          <w:rStyle w:val="Hyperlink"/>
          <w:color w:val="000000"/>
        </w:rPr>
      </w:pPr>
      <w:r w:rsidRPr="005211A0">
        <w:rPr>
          <w:rStyle w:val="Hyperlink"/>
          <w:color w:val="000000"/>
        </w:rPr>
        <w:lastRenderedPageBreak/>
        <w:t>Evidence shows that supported employment leads to higher job placement and retention rates than traditional vocational rehabilitation. For example, a U.S. vocational rehabilitation study found that 71% of transition-age youth with intellectual / developmental disabilities who received supported employment services achieved competitive employment, compared to 43% of similar youth who did not (Iwanaga et al., 2023).</w:t>
      </w:r>
    </w:p>
    <w:p w14:paraId="1216AD8D" w14:textId="77777777" w:rsidR="00992F2F" w:rsidRDefault="00992F2F" w:rsidP="00992F2F">
      <w:r w:rsidRPr="008A4512">
        <w:rPr>
          <w:b/>
          <w:bCs/>
        </w:rPr>
        <w:t>Customised Employment</w:t>
      </w:r>
      <w:r w:rsidRPr="008A4512">
        <w:t xml:space="preserve"> brings together employer</w:t>
      </w:r>
      <w:r w:rsidRPr="008A4512">
        <w:rPr>
          <w:rFonts w:ascii="Cambria Math" w:hAnsi="Cambria Math" w:cs="Cambria Math"/>
        </w:rPr>
        <w:t>‑</w:t>
      </w:r>
      <w:r w:rsidRPr="008A4512">
        <w:t>facing job design (</w:t>
      </w:r>
      <w:r w:rsidRPr="008A4512">
        <w:rPr>
          <w:b/>
          <w:bCs/>
        </w:rPr>
        <w:t>Box 2</w:t>
      </w:r>
      <w:r w:rsidRPr="008A4512">
        <w:t>) with individualised matching and ongoing support (</w:t>
      </w:r>
      <w:r w:rsidRPr="008A4512">
        <w:rPr>
          <w:b/>
          <w:bCs/>
        </w:rPr>
        <w:t>Box 3</w:t>
      </w:r>
      <w:r w:rsidRPr="008A4512">
        <w:t>), making it a practical example of how these domains work together.</w:t>
      </w:r>
    </w:p>
    <w:p w14:paraId="0B0CC022" w14:textId="77777777" w:rsidR="00992F2F" w:rsidRPr="009762AA" w:rsidRDefault="00992F2F" w:rsidP="007200C6">
      <w:pPr>
        <w:pStyle w:val="BlockText"/>
      </w:pPr>
      <w:r w:rsidRPr="005211A0">
        <w:rPr>
          <w:b/>
          <w:bCs/>
          <w:i/>
          <w:iCs/>
        </w:rPr>
        <w:t>Customised Employment</w:t>
      </w:r>
      <w:r>
        <w:t xml:space="preserve"> </w:t>
      </w:r>
      <w:r w:rsidRPr="009762AA">
        <w:t xml:space="preserve">is a person-centred approach that matches job roles to an individual’s strengths and interests. It involves “job carving” – creating or adapting roles in partnership with employers. This model has been shown to be especially effective for people with higher support needs. It includes a Discovery process, negotiation with employers, and ongoing support to ensure success. </w:t>
      </w:r>
      <w:r w:rsidRPr="009762AA">
        <w:br/>
        <w:t xml:space="preserve">Recent studies demonstrate the effectiveness of Customised Employment: in a U.S. randomised controlled trial, approximately 73% of youth who received customized employment services achieved competitive jobs, versus about 6% in the control group </w:t>
      </w:r>
      <w:r w:rsidRPr="009762AA">
        <w:rPr>
          <w:noProof/>
        </w:rPr>
        <w:t>(Riesen et al., 2015)</w:t>
      </w:r>
      <w:r w:rsidRPr="009762AA">
        <w:t xml:space="preserve">. Australian pilot projects using Customised Employment techniques (including on-the-job training in real business settings) have reported encouraging results such as strong skill gains and high retention rates in sectors like hospitality and aged care </w:t>
      </w:r>
      <w:r w:rsidRPr="009762AA">
        <w:rPr>
          <w:noProof/>
        </w:rPr>
        <w:t>(Gendera et al., 2025)</w:t>
      </w:r>
      <w:r w:rsidRPr="009762AA">
        <w:t>.</w:t>
      </w:r>
    </w:p>
    <w:p w14:paraId="03339DE4" w14:textId="77777777" w:rsidR="00992F2F" w:rsidRPr="00C90372" w:rsidRDefault="00992F2F" w:rsidP="00992F2F">
      <w:pPr>
        <w:pStyle w:val="Heading2"/>
      </w:pPr>
      <w:bookmarkStart w:id="23" w:name="_Toc231482878"/>
      <w:bookmarkStart w:id="24" w:name="_Toc231484064"/>
      <w:r w:rsidRPr="00C90372">
        <w:t>How can effective practices be delivered in the Australian context?</w:t>
      </w:r>
      <w:bookmarkEnd w:id="23"/>
      <w:bookmarkEnd w:id="24"/>
    </w:p>
    <w:p w14:paraId="6E3CD684" w14:textId="77777777" w:rsidR="00992F2F" w:rsidRDefault="00992F2F" w:rsidP="00992F2F">
      <w:r w:rsidRPr="0026235B">
        <w:t>Knowing what works part of the task is only. Services also need to know how to deliver these practices well within Australia’s current systems and workplaces. Evidence shows that even effective models can fail if key implementation conditions are missing.</w:t>
      </w:r>
      <w:r>
        <w:t xml:space="preserve"> Below, we summarise what the evidence tells us about implementing effective practices in Australia.</w:t>
      </w:r>
    </w:p>
    <w:p w14:paraId="2EFE89FB" w14:textId="77777777" w:rsidR="00992F2F" w:rsidRDefault="00992F2F" w:rsidP="00992F2F">
      <w:r w:rsidRPr="008E791E">
        <w:t>The evidence highlights several key factors that support successful implementation:</w:t>
      </w:r>
    </w:p>
    <w:p w14:paraId="2FA1A333" w14:textId="64D83CBD" w:rsidR="005211A0" w:rsidRDefault="005211A0" w:rsidP="007200C6">
      <w:pPr>
        <w:pStyle w:val="BlockText"/>
      </w:pPr>
      <w:r w:rsidRPr="007200C6">
        <w:rPr>
          <w:b/>
          <w:bCs/>
          <w:i/>
          <w:iCs/>
        </w:rPr>
        <w:t>Box 4: Key enabler</w:t>
      </w:r>
      <w:r w:rsidRPr="003F6BE2">
        <w:rPr>
          <w:b/>
          <w:bCs/>
          <w:i/>
          <w:iCs/>
        </w:rPr>
        <w:t>s</w:t>
      </w:r>
    </w:p>
    <w:p w14:paraId="60CC3DDE" w14:textId="4E498CE8" w:rsidR="00557C4C" w:rsidRDefault="00557C4C">
      <w:pPr>
        <w:pStyle w:val="BlockText"/>
        <w:numPr>
          <w:ilvl w:val="0"/>
          <w:numId w:val="44"/>
        </w:numPr>
      </w:pPr>
      <w:r w:rsidRPr="00A2684C">
        <w:rPr>
          <w:b/>
          <w:bCs/>
        </w:rPr>
        <w:lastRenderedPageBreak/>
        <w:t>Skilled staff:</w:t>
      </w:r>
      <w:r>
        <w:t xml:space="preserve"> Consultants and job coaches need training and supervision in evidence-based methods (Butterworth et al., 2020).</w:t>
      </w:r>
    </w:p>
    <w:p w14:paraId="166E4757" w14:textId="2CF36416" w:rsidR="00557C4C" w:rsidRDefault="00557C4C">
      <w:pPr>
        <w:pStyle w:val="BlockText"/>
        <w:numPr>
          <w:ilvl w:val="0"/>
          <w:numId w:val="44"/>
        </w:numPr>
      </w:pPr>
      <w:r w:rsidRPr="00A2684C">
        <w:rPr>
          <w:b/>
          <w:bCs/>
        </w:rPr>
        <w:t>Enough time and intensity:</w:t>
      </w:r>
      <w:r>
        <w:t xml:space="preserve"> Support must last as long as </w:t>
      </w:r>
      <w:proofErr w:type="gramStart"/>
      <w:r>
        <w:t>needed</w:t>
      </w:r>
      <w:proofErr w:type="gramEnd"/>
      <w:r>
        <w:t>; time-limited models underperform (</w:t>
      </w:r>
      <w:proofErr w:type="spellStart"/>
      <w:r>
        <w:t>Gendera</w:t>
      </w:r>
      <w:proofErr w:type="spellEnd"/>
      <w:r>
        <w:t xml:space="preserve"> et al., 2025; Nord et al., 2020).</w:t>
      </w:r>
    </w:p>
    <w:p w14:paraId="1FB39858" w14:textId="7A07416C" w:rsidR="00557C4C" w:rsidRDefault="00557C4C">
      <w:pPr>
        <w:pStyle w:val="BlockText"/>
        <w:numPr>
          <w:ilvl w:val="0"/>
          <w:numId w:val="44"/>
        </w:numPr>
      </w:pPr>
      <w:r w:rsidRPr="00A2684C">
        <w:rPr>
          <w:b/>
          <w:bCs/>
        </w:rPr>
        <w:t>System coordination:</w:t>
      </w:r>
      <w:r>
        <w:t xml:space="preserve"> Inclusive Employment Australia providers, NDIS supports, schools and employers need shared planning, especially at transitions (National Disability Insurance Agency, 2024).</w:t>
      </w:r>
    </w:p>
    <w:p w14:paraId="47E8233D" w14:textId="4EEFDD67" w:rsidR="00557C4C" w:rsidRDefault="00557C4C">
      <w:pPr>
        <w:pStyle w:val="BlockText"/>
        <w:numPr>
          <w:ilvl w:val="0"/>
          <w:numId w:val="44"/>
        </w:numPr>
      </w:pPr>
      <w:r w:rsidRPr="00A2684C">
        <w:rPr>
          <w:b/>
          <w:bCs/>
        </w:rPr>
        <w:t>Employer partnership:</w:t>
      </w:r>
      <w:r>
        <w:t xml:space="preserve"> Employers need practical support and a clear pathway to participate.</w:t>
      </w:r>
    </w:p>
    <w:p w14:paraId="2F9CA8A3" w14:textId="447A09CD" w:rsidR="00557C4C" w:rsidRDefault="00557C4C">
      <w:pPr>
        <w:pStyle w:val="BlockText"/>
        <w:numPr>
          <w:ilvl w:val="0"/>
          <w:numId w:val="44"/>
        </w:numPr>
      </w:pPr>
      <w:r w:rsidRPr="00A2684C">
        <w:rPr>
          <w:b/>
          <w:bCs/>
        </w:rPr>
        <w:t>Flexible funding:</w:t>
      </w:r>
      <w:r>
        <w:t xml:space="preserve"> Funding should reward sustained outcomes and allow tailored long</w:t>
      </w:r>
      <w:r>
        <w:rPr>
          <w:rFonts w:ascii="Cambria Math" w:hAnsi="Cambria Math" w:cs="Cambria Math"/>
        </w:rPr>
        <w:t>‑</w:t>
      </w:r>
      <w:r>
        <w:t>term support (Nord et al., 2020).</w:t>
      </w:r>
    </w:p>
    <w:p w14:paraId="3116B9F8" w14:textId="27FE4803" w:rsidR="005211A0" w:rsidRPr="005211A0" w:rsidRDefault="00557C4C" w:rsidP="007200C6">
      <w:pPr>
        <w:pStyle w:val="BlockText"/>
      </w:pPr>
      <w:r>
        <w:t>Implementation success depends on workforce capability, system coordination, and funding models that support long-term, person-centred approaches.</w:t>
      </w:r>
    </w:p>
    <w:p w14:paraId="3486AA18" w14:textId="77777777" w:rsidR="00992F2F" w:rsidRPr="00FC1C07" w:rsidRDefault="00992F2F" w:rsidP="00992F2F">
      <w:pPr>
        <w:pStyle w:val="Heading2"/>
      </w:pPr>
      <w:bookmarkStart w:id="25" w:name="_Toc231482879"/>
      <w:bookmarkStart w:id="26" w:name="_Toc231484065"/>
      <w:r w:rsidRPr="00FC1C07">
        <w:t>Insights from lived experience</w:t>
      </w:r>
      <w:bookmarkEnd w:id="25"/>
      <w:bookmarkEnd w:id="26"/>
    </w:p>
    <w:p w14:paraId="2D3818FC" w14:textId="77777777" w:rsidR="00992F2F" w:rsidRDefault="00992F2F" w:rsidP="00992F2F">
      <w:r w:rsidRPr="006C7128">
        <w:t>Research that includes the voices of people with intellectual disability, their families, and support staff adds depth to the evidence.</w:t>
      </w:r>
      <w:r w:rsidRPr="0026235B">
        <w:t xml:space="preserve"> These perspectives help explain what makes support acceptable, sustainable, and safe in real workplaces.</w:t>
      </w:r>
    </w:p>
    <w:p w14:paraId="7C2CDD04" w14:textId="09C2B2AC" w:rsidR="00A77E76" w:rsidRDefault="00A77E76" w:rsidP="007200C6">
      <w:pPr>
        <w:pStyle w:val="BlockText"/>
      </w:pPr>
      <w:r w:rsidRPr="003F6BE2">
        <w:rPr>
          <w:b/>
          <w:bCs/>
          <w:i/>
          <w:iCs/>
        </w:rPr>
        <w:t>Box 5: Insights from lived experience</w:t>
      </w:r>
    </w:p>
    <w:p w14:paraId="62ABAE93" w14:textId="17215C1B" w:rsidR="00A77E76" w:rsidRDefault="006D2B03">
      <w:pPr>
        <w:pStyle w:val="BlockText"/>
        <w:numPr>
          <w:ilvl w:val="0"/>
          <w:numId w:val="45"/>
        </w:numPr>
      </w:pPr>
      <w:r w:rsidRPr="006D2B03">
        <w:rPr>
          <w:b/>
          <w:bCs/>
        </w:rPr>
        <w:t>Workplace inclusion is about belonging:</w:t>
      </w:r>
      <w:r w:rsidRPr="006D2B03">
        <w:t xml:space="preserve"> A “good job” is </w:t>
      </w:r>
      <w:proofErr w:type="gramStart"/>
      <w:r w:rsidRPr="006D2B03">
        <w:t>not only about</w:t>
      </w:r>
      <w:proofErr w:type="gramEnd"/>
      <w:r w:rsidRPr="006D2B03">
        <w:t xml:space="preserve"> pay. Feeling part of the team, being respected, and doing meaningful tasks matter. Employment support should focus on the social and cultural aspects of work, not just the tasks (Taylor et al., 2022).</w:t>
      </w:r>
    </w:p>
    <w:p w14:paraId="4D707270" w14:textId="77777777" w:rsidR="006D2B03" w:rsidRDefault="006D2B03">
      <w:pPr>
        <w:pStyle w:val="BlockText"/>
        <w:numPr>
          <w:ilvl w:val="0"/>
          <w:numId w:val="45"/>
        </w:numPr>
      </w:pPr>
      <w:r w:rsidRPr="006D2B03">
        <w:rPr>
          <w:b/>
          <w:bCs/>
        </w:rPr>
        <w:t>Natural supports make jobs sustainable:</w:t>
      </w:r>
      <w:r>
        <w:t xml:space="preserve"> Supportive supervisors and co-workers help people feel secure and reduce reliance on external job coaches (Carter et al., 2012). Services should help build these natural supports – for example, by coaching supervisors or setting up peer mentors.</w:t>
      </w:r>
    </w:p>
    <w:p w14:paraId="6DE2FFB6" w14:textId="77777777" w:rsidR="006D2B03" w:rsidRDefault="006D2B03">
      <w:pPr>
        <w:pStyle w:val="BlockText"/>
        <w:numPr>
          <w:ilvl w:val="0"/>
          <w:numId w:val="45"/>
        </w:numPr>
      </w:pPr>
      <w:r w:rsidRPr="006D2B03">
        <w:rPr>
          <w:b/>
          <w:bCs/>
        </w:rPr>
        <w:t>Stigma and disclosure are real concerns:</w:t>
      </w:r>
      <w:r>
        <w:t xml:space="preserve"> Some people worry about disclosing their disability at work. Services can help individuals make informed choices and support employers to create inclusive </w:t>
      </w:r>
      <w:r>
        <w:lastRenderedPageBreak/>
        <w:t>environments through disability awareness training.</w:t>
      </w:r>
    </w:p>
    <w:p w14:paraId="3878DED5" w14:textId="77777777" w:rsidR="006D2B03" w:rsidRDefault="006D2B03">
      <w:pPr>
        <w:pStyle w:val="BlockText"/>
        <w:numPr>
          <w:ilvl w:val="0"/>
          <w:numId w:val="45"/>
        </w:numPr>
      </w:pPr>
      <w:r w:rsidRPr="006D2B03">
        <w:rPr>
          <w:b/>
          <w:bCs/>
        </w:rPr>
        <w:t>Transitions are risky times:</w:t>
      </w:r>
      <w:r>
        <w:t xml:space="preserve"> Leaving school or changing jobs can be stressful and disruptive. People need consistent support and clear plans to manage these transitions successfully (Bennett &amp; </w:t>
      </w:r>
      <w:proofErr w:type="spellStart"/>
      <w:r>
        <w:t>Vijaygopal</w:t>
      </w:r>
      <w:proofErr w:type="spellEnd"/>
      <w:r>
        <w:t xml:space="preserve">, 2025; Sigstad &amp; Garrels, 2023). </w:t>
      </w:r>
    </w:p>
    <w:p w14:paraId="100952A5" w14:textId="77777777" w:rsidR="006D2B03" w:rsidRDefault="006D2B03">
      <w:pPr>
        <w:pStyle w:val="BlockText"/>
        <w:numPr>
          <w:ilvl w:val="0"/>
          <w:numId w:val="45"/>
        </w:numPr>
      </w:pPr>
      <w:r w:rsidRPr="006D2B03">
        <w:rPr>
          <w:b/>
          <w:bCs/>
        </w:rPr>
        <w:t>Small adjustments make a big difference:</w:t>
      </w:r>
      <w:r>
        <w:t xml:space="preserve"> Simple changes like adjusting a shift time or using a visual checklist can be the key to success (Nevala et al., 2019). Without these, people may struggle or leave their jobs.</w:t>
      </w:r>
    </w:p>
    <w:p w14:paraId="59A76C92" w14:textId="50B43F6F" w:rsidR="006D2B03" w:rsidRPr="00A77E76" w:rsidRDefault="006D2B03">
      <w:pPr>
        <w:pStyle w:val="BlockText"/>
        <w:numPr>
          <w:ilvl w:val="0"/>
          <w:numId w:val="45"/>
        </w:numPr>
      </w:pPr>
      <w:r w:rsidRPr="006D2B03">
        <w:rPr>
          <w:b/>
          <w:bCs/>
        </w:rPr>
        <w:t>Families need to feel confident:</w:t>
      </w:r>
      <w:r>
        <w:t xml:space="preserve"> Families often worry about safety, mistreatment, or loss of benefits. Addressing these concerns is crucial. For example, providing clear information about the Disability Support Pension (DSP) and how paid work affects benefits can help families feel more secure (Services Australia, 2025). When they trust that the workplace is inclusive and support will continue, they are more likely to support open employment.</w:t>
      </w:r>
    </w:p>
    <w:p w14:paraId="59F8F46E" w14:textId="77777777" w:rsidR="00992F2F" w:rsidRPr="00397CF6" w:rsidRDefault="00992F2F" w:rsidP="00992F2F">
      <w:pPr>
        <w:pStyle w:val="Heading4"/>
      </w:pPr>
      <w:r w:rsidRPr="00397CF6">
        <w:t>Summary: Why lived experience matters</w:t>
      </w:r>
    </w:p>
    <w:p w14:paraId="3EC60BA2" w14:textId="77777777" w:rsidR="00992F2F" w:rsidRDefault="00992F2F" w:rsidP="00992F2F">
      <w:r w:rsidRPr="00E103D7">
        <w:t>The experiences of people with intellectual disability and those who support them highlight what makes employment work in practice. Relationships, inclusion, and continuity are just as important as training and job matching. These insights reinforce the need for flexible, person-centred support and strong partnerships between services, families, and employers.</w:t>
      </w:r>
    </w:p>
    <w:p w14:paraId="4EB9205D" w14:textId="77777777" w:rsidR="00992F2F" w:rsidRDefault="00992F2F" w:rsidP="00992F2F">
      <w:pPr>
        <w:pStyle w:val="Heading1"/>
      </w:pPr>
      <w:r>
        <w:br w:type="page"/>
      </w:r>
    </w:p>
    <w:p w14:paraId="2F1B79CF" w14:textId="77777777" w:rsidR="00992F2F" w:rsidRPr="00ED0558" w:rsidRDefault="00992F2F" w:rsidP="00992F2F">
      <w:pPr>
        <w:pStyle w:val="Heading1"/>
      </w:pPr>
      <w:bookmarkStart w:id="27" w:name="_Toc231482880"/>
      <w:bookmarkStart w:id="28" w:name="_Toc231484066"/>
      <w:r w:rsidRPr="00ED0558">
        <w:lastRenderedPageBreak/>
        <w:t>Discussion</w:t>
      </w:r>
      <w:bookmarkEnd w:id="27"/>
      <w:bookmarkEnd w:id="28"/>
    </w:p>
    <w:p w14:paraId="4C1CD4DD" w14:textId="77777777" w:rsidR="00992F2F" w:rsidRPr="009073E8" w:rsidRDefault="00992F2F" w:rsidP="00992F2F">
      <w:pPr>
        <w:pStyle w:val="Heading2"/>
      </w:pPr>
      <w:bookmarkStart w:id="29" w:name="_Toc231482881"/>
      <w:bookmarkStart w:id="30" w:name="_Toc231484067"/>
      <w:r>
        <w:t>W</w:t>
      </w:r>
      <w:r w:rsidRPr="009073E8">
        <w:t>hat does “good” look like?</w:t>
      </w:r>
      <w:r>
        <w:t xml:space="preserve"> </w:t>
      </w:r>
      <w:r w:rsidRPr="009073E8">
        <w:t>Elements of effective practice</w:t>
      </w:r>
      <w:bookmarkEnd w:id="29"/>
      <w:bookmarkEnd w:id="30"/>
    </w:p>
    <w:p w14:paraId="091EF3E3" w14:textId="77777777" w:rsidR="00992F2F" w:rsidRDefault="00992F2F" w:rsidP="00992F2F">
      <w:r w:rsidRPr="000F03EF">
        <w:t>The evidence shows that high</w:t>
      </w:r>
      <w:r w:rsidRPr="006955DF">
        <w:rPr>
          <w:rFonts w:ascii="Cambria Math" w:hAnsi="Cambria Math" w:cs="Cambria Math"/>
        </w:rPr>
        <w:t>‑</w:t>
      </w:r>
      <w:r w:rsidRPr="000F03EF">
        <w:t>quality employment support follows a clear, person</w:t>
      </w:r>
      <w:r>
        <w:t>-</w:t>
      </w:r>
      <w:r w:rsidRPr="000F03EF">
        <w:t>centred pathway. It starts with understanding the person, then finding a good job match, supporting onboarding and training, and providing ongoing follow</w:t>
      </w:r>
      <w:r>
        <w:t>-</w:t>
      </w:r>
      <w:r w:rsidRPr="000F03EF">
        <w:t>up that can increase again when needed.</w:t>
      </w:r>
      <w:r w:rsidRPr="00195BC0">
        <w:t xml:space="preserve"> These elements synthesi</w:t>
      </w:r>
      <w:r>
        <w:t>s</w:t>
      </w:r>
      <w:r w:rsidRPr="00195BC0">
        <w:t>e the evidence</w:t>
      </w:r>
      <w:r>
        <w:t>-</w:t>
      </w:r>
      <w:r w:rsidRPr="00195BC0">
        <w:t xml:space="preserve">based practices identified earlier (see </w:t>
      </w:r>
      <w:r w:rsidRPr="006955DF">
        <w:rPr>
          <w:b/>
          <w:bCs/>
        </w:rPr>
        <w:t>Findings</w:t>
      </w:r>
      <w:r w:rsidRPr="00195BC0">
        <w:t xml:space="preserve">, </w:t>
      </w:r>
      <w:r w:rsidRPr="006955DF">
        <w:rPr>
          <w:b/>
          <w:bCs/>
        </w:rPr>
        <w:t>Boxes 1-3</w:t>
      </w:r>
      <w:r w:rsidRPr="00195BC0">
        <w:t>) into one coordinated approach:</w:t>
      </w:r>
    </w:p>
    <w:p w14:paraId="195CFDEE" w14:textId="1C90C1D6" w:rsidR="006D2B03" w:rsidRDefault="006D2B03" w:rsidP="007200C6">
      <w:pPr>
        <w:pStyle w:val="BlockText"/>
      </w:pPr>
      <w:r w:rsidRPr="003F6BE2">
        <w:rPr>
          <w:b/>
          <w:bCs/>
          <w:i/>
          <w:iCs/>
        </w:rPr>
        <w:t>Box 6: Key elements of the person-centred pathway</w:t>
      </w:r>
    </w:p>
    <w:p w14:paraId="6AC10FC1" w14:textId="76EA2956" w:rsidR="006D2B03" w:rsidRDefault="006D2B03">
      <w:pPr>
        <w:pStyle w:val="BlockText"/>
        <w:numPr>
          <w:ilvl w:val="0"/>
          <w:numId w:val="46"/>
        </w:numPr>
      </w:pPr>
      <w:r w:rsidRPr="006D2B03">
        <w:rPr>
          <w:b/>
          <w:bCs/>
        </w:rPr>
        <w:t>Engaging the person and their circle:</w:t>
      </w:r>
      <w:r w:rsidRPr="006D2B03">
        <w:t xml:space="preserve"> Understand the individual’s strengths, interests, and support needs using tools like Discovery. Involve family or other supporters (with consent). Set goals focused on open employment and build confidence that work is possible (Gilson et al., 2018).</w:t>
      </w:r>
    </w:p>
    <w:p w14:paraId="683EE6A0" w14:textId="77777777" w:rsidR="006D2B03" w:rsidRDefault="006D2B03">
      <w:pPr>
        <w:pStyle w:val="BlockText"/>
        <w:numPr>
          <w:ilvl w:val="0"/>
          <w:numId w:val="46"/>
        </w:numPr>
      </w:pPr>
      <w:r w:rsidRPr="006D2B03">
        <w:rPr>
          <w:b/>
          <w:bCs/>
        </w:rPr>
        <w:t>Finding the right job match:</w:t>
      </w:r>
      <w:r>
        <w:t xml:space="preserve"> Use a personalised approach to job development. Think creatively about roles and approach employers directly. Aim for a good fit between the person and the workplace. If needed, customise the role to suit both (Sigstad &amp; Garrels, 2023).</w:t>
      </w:r>
    </w:p>
    <w:p w14:paraId="502266D5" w14:textId="77777777" w:rsidR="006D2B03" w:rsidRDefault="006D2B03">
      <w:pPr>
        <w:pStyle w:val="BlockText"/>
        <w:numPr>
          <w:ilvl w:val="0"/>
          <w:numId w:val="46"/>
        </w:numPr>
      </w:pPr>
      <w:r w:rsidRPr="006D2B03">
        <w:rPr>
          <w:b/>
          <w:bCs/>
        </w:rPr>
        <w:t>Onboarding and training in the workplace:</w:t>
      </w:r>
      <w:r>
        <w:t xml:space="preserve"> Put supports in place from day one. A trained job coach should provide step-by-step instruction and help the person settle in. At the same time, support the employer and co-workers to create an inclusive environment. Arrange any necessary adjustments early (Alexander et al., 2024).</w:t>
      </w:r>
    </w:p>
    <w:p w14:paraId="52CFE9FF" w14:textId="77777777" w:rsidR="006D2B03" w:rsidRDefault="006D2B03">
      <w:pPr>
        <w:pStyle w:val="BlockText"/>
        <w:numPr>
          <w:ilvl w:val="0"/>
          <w:numId w:val="46"/>
        </w:numPr>
      </w:pPr>
      <w:r w:rsidRPr="006D2B03">
        <w:rPr>
          <w:b/>
          <w:bCs/>
        </w:rPr>
        <w:t>Ongoing support and monitoring:</w:t>
      </w:r>
      <w:r>
        <w:t xml:space="preserve"> Keep a safety net in place after the person starts work. Check in regularly with both the employee and employer. Plan for how to respond if challenges arise and offer booster sessions or re-training when things change (British Association for Supported Employment, 2021b).</w:t>
      </w:r>
    </w:p>
    <w:p w14:paraId="50677953" w14:textId="0D50B5B4" w:rsidR="006D2B03" w:rsidRPr="006D2B03" w:rsidRDefault="006D2B03">
      <w:pPr>
        <w:pStyle w:val="BlockText"/>
        <w:numPr>
          <w:ilvl w:val="0"/>
          <w:numId w:val="46"/>
        </w:numPr>
      </w:pPr>
      <w:r w:rsidRPr="006D2B03">
        <w:rPr>
          <w:b/>
          <w:bCs/>
        </w:rPr>
        <w:t>Continuous improvement and adaptation:</w:t>
      </w:r>
      <w:r>
        <w:t xml:space="preserve"> Gather feedback from the person, the employer, and others involved. Monitor not just job retention, but also satisfaction and inclusion. Use this information to adjust support and improve services over time (Taubner et al., 2022).</w:t>
      </w:r>
    </w:p>
    <w:p w14:paraId="01054CB4" w14:textId="77777777" w:rsidR="006D2B03" w:rsidRDefault="006D2B03" w:rsidP="00992F2F"/>
    <w:p w14:paraId="1B26FDE6" w14:textId="77777777" w:rsidR="00992F2F" w:rsidRPr="00224AFE" w:rsidRDefault="00992F2F" w:rsidP="00992F2F">
      <w:pPr>
        <w:pStyle w:val="Heading4"/>
      </w:pPr>
      <w:r w:rsidRPr="00224AFE">
        <w:lastRenderedPageBreak/>
        <w:t>Summary: What high-quality support looks like</w:t>
      </w:r>
    </w:p>
    <w:p w14:paraId="41E7257D" w14:textId="77777777" w:rsidR="00992F2F" w:rsidRPr="00C161E5" w:rsidRDefault="00992F2F" w:rsidP="00992F2F">
      <w:r w:rsidRPr="00C161E5">
        <w:t>Effective employment support is a coordinated, flexible process that adapts to the person’s needs over time</w:t>
      </w:r>
      <w:r>
        <w:t xml:space="preserve">, </w:t>
      </w:r>
      <w:r w:rsidRPr="00C161E5">
        <w:t>not a one-off intervention</w:t>
      </w:r>
      <w:r>
        <w:t xml:space="preserve">. </w:t>
      </w:r>
      <w:r w:rsidRPr="00C161E5">
        <w:t>It starts with getting to know the individual, continues through job matching and training, and includes long</w:t>
      </w:r>
      <w:r>
        <w:t>-</w:t>
      </w:r>
      <w:r w:rsidRPr="00C161E5">
        <w:t>term support to help people grow in their roles. Services that follow this pathway are more likely to achieve lasting, meaningful outcomes.</w:t>
      </w:r>
    </w:p>
    <w:p w14:paraId="5B960A72" w14:textId="77777777" w:rsidR="00992F2F" w:rsidRDefault="00992F2F" w:rsidP="00992F2F">
      <w:pPr>
        <w:pStyle w:val="Heading2"/>
      </w:pPr>
      <w:bookmarkStart w:id="31" w:name="_Toc231482882"/>
      <w:bookmarkStart w:id="32" w:name="_Toc231484068"/>
      <w:r w:rsidRPr="00172036">
        <w:t xml:space="preserve">Resource </w:t>
      </w:r>
      <w:r>
        <w:t>c</w:t>
      </w:r>
      <w:r w:rsidRPr="00172036">
        <w:t xml:space="preserve">onsiderations for </w:t>
      </w:r>
      <w:r>
        <w:t>i</w:t>
      </w:r>
      <w:r w:rsidRPr="00172036">
        <w:t>mplementation</w:t>
      </w:r>
      <w:bookmarkEnd w:id="31"/>
      <w:bookmarkEnd w:id="32"/>
    </w:p>
    <w:p w14:paraId="261B8FAE" w14:textId="77777777" w:rsidR="00992F2F" w:rsidRDefault="00992F2F" w:rsidP="00992F2F">
      <w:r w:rsidRPr="007B659F">
        <w:t>Successfully implementing evidence-based practices often means ensuring the right resources and supports are in place. Key considerations for service providers and programme managers include:</w:t>
      </w:r>
    </w:p>
    <w:p w14:paraId="364AC7AF" w14:textId="4E9E7169" w:rsidR="006D2B03" w:rsidRDefault="006D2B03" w:rsidP="007200C6">
      <w:pPr>
        <w:pStyle w:val="BlockText"/>
      </w:pPr>
      <w:r w:rsidRPr="006C2FEA">
        <w:rPr>
          <w:b/>
          <w:bCs/>
          <w:i/>
          <w:iCs/>
        </w:rPr>
        <w:t>Box 7: Key resource and implementation considerations for service providers / program managers</w:t>
      </w:r>
    </w:p>
    <w:p w14:paraId="2AD106EB" w14:textId="7B67A472" w:rsidR="006D2B03" w:rsidRDefault="006D2B03">
      <w:pPr>
        <w:pStyle w:val="BlockText"/>
        <w:numPr>
          <w:ilvl w:val="0"/>
          <w:numId w:val="47"/>
        </w:numPr>
      </w:pPr>
      <w:r w:rsidRPr="006D2B03">
        <w:rPr>
          <w:b/>
          <w:bCs/>
        </w:rPr>
        <w:t>Reduce caseloads where needed</w:t>
      </w:r>
      <w:r w:rsidRPr="006D2B03">
        <w:t xml:space="preserve"> so staff can provide intensive, person</w:t>
      </w:r>
      <w:r w:rsidRPr="006D2B03">
        <w:rPr>
          <w:rFonts w:ascii="Cambria Math" w:hAnsi="Cambria Math" w:cs="Cambria Math"/>
        </w:rPr>
        <w:t>‑</w:t>
      </w:r>
      <w:r w:rsidRPr="006D2B03">
        <w:t>centred support (Nord et al., 2020).</w:t>
      </w:r>
    </w:p>
    <w:p w14:paraId="14D08534" w14:textId="77777777" w:rsidR="006D2B03" w:rsidRDefault="006D2B03">
      <w:pPr>
        <w:pStyle w:val="BlockText"/>
        <w:numPr>
          <w:ilvl w:val="0"/>
          <w:numId w:val="47"/>
        </w:numPr>
      </w:pPr>
      <w:r w:rsidRPr="006D2B03">
        <w:rPr>
          <w:b/>
          <w:bCs/>
        </w:rPr>
        <w:t>Invest in workforce development</w:t>
      </w:r>
      <w:r>
        <w:t xml:space="preserve"> through training, mentoring, and supervision (Butterworth et al., 2020).</w:t>
      </w:r>
    </w:p>
    <w:p w14:paraId="1E92D8BC" w14:textId="77777777" w:rsidR="006D2B03" w:rsidRDefault="006D2B03">
      <w:pPr>
        <w:pStyle w:val="BlockText"/>
        <w:numPr>
          <w:ilvl w:val="0"/>
          <w:numId w:val="47"/>
        </w:numPr>
      </w:pPr>
      <w:r w:rsidRPr="006D2B03">
        <w:rPr>
          <w:b/>
          <w:bCs/>
        </w:rPr>
        <w:t>Use blended funding streams</w:t>
      </w:r>
      <w:r>
        <w:t xml:space="preserve"> (e.g. NDIS + employment services) to extend support (National Disability Insurance Agency, 2024).</w:t>
      </w:r>
    </w:p>
    <w:p w14:paraId="02916AA9" w14:textId="77777777" w:rsidR="006D2B03" w:rsidRDefault="006D2B03">
      <w:pPr>
        <w:pStyle w:val="BlockText"/>
        <w:numPr>
          <w:ilvl w:val="0"/>
          <w:numId w:val="47"/>
        </w:numPr>
      </w:pPr>
      <w:r w:rsidRPr="006D2B03">
        <w:rPr>
          <w:b/>
          <w:bCs/>
        </w:rPr>
        <w:t>Front</w:t>
      </w:r>
      <w:r w:rsidRPr="006D2B03">
        <w:rPr>
          <w:rFonts w:ascii="Cambria Math" w:hAnsi="Cambria Math" w:cs="Cambria Math"/>
          <w:b/>
          <w:bCs/>
        </w:rPr>
        <w:t>‑</w:t>
      </w:r>
      <w:r w:rsidRPr="006D2B03">
        <w:rPr>
          <w:b/>
          <w:bCs/>
        </w:rPr>
        <w:t>load support</w:t>
      </w:r>
      <w:r>
        <w:t xml:space="preserve"> early, then adjust intensity over time (Iwanaga et al., 2023; Taubner et al., 2022).</w:t>
      </w:r>
    </w:p>
    <w:p w14:paraId="3335EED2" w14:textId="1FB57804" w:rsidR="006D2B03" w:rsidRPr="006D2B03" w:rsidRDefault="006D2B03">
      <w:pPr>
        <w:pStyle w:val="BlockText"/>
        <w:numPr>
          <w:ilvl w:val="0"/>
          <w:numId w:val="47"/>
        </w:numPr>
      </w:pPr>
      <w:r w:rsidRPr="006D2B03">
        <w:rPr>
          <w:b/>
          <w:bCs/>
        </w:rPr>
        <w:t>Invest in tools and supports</w:t>
      </w:r>
      <w:r>
        <w:t xml:space="preserve"> (visual aids, prompts, assistive technology) that build independence (Morash-Macneil et al., 2018). Services are encouraged to use and adapt these resources to their local context.</w:t>
      </w:r>
    </w:p>
    <w:p w14:paraId="5E58F34D" w14:textId="77777777" w:rsidR="00992F2F" w:rsidRPr="00D4147F" w:rsidRDefault="00992F2F" w:rsidP="00992F2F">
      <w:pPr>
        <w:pStyle w:val="Heading4"/>
      </w:pPr>
      <w:r w:rsidRPr="00D4147F">
        <w:t>Summary: Resource considerations</w:t>
      </w:r>
      <w:r>
        <w:t xml:space="preserve"> for implementation</w:t>
      </w:r>
    </w:p>
    <w:p w14:paraId="157AAE43" w14:textId="77777777" w:rsidR="00992F2F" w:rsidRPr="00426A52" w:rsidRDefault="00992F2F" w:rsidP="00992F2F">
      <w:pPr>
        <w:rPr>
          <w:b/>
          <w:bCs/>
        </w:rPr>
      </w:pPr>
      <w:r w:rsidRPr="00234A86">
        <w:t>Delivering high-quality support requires flexible, sustained investment. Systems that prioritise short-term outcomes may need to shift towards longer-term, person-centred funding models that support real and lasting employment outcomes.</w:t>
      </w:r>
    </w:p>
    <w:p w14:paraId="3CB2EA2C" w14:textId="77777777" w:rsidR="006D2B03" w:rsidRDefault="006D2B03" w:rsidP="00992F2F">
      <w:pPr>
        <w:pStyle w:val="Heading2"/>
      </w:pPr>
      <w:r>
        <w:br w:type="page"/>
      </w:r>
    </w:p>
    <w:p w14:paraId="1E7BF94A" w14:textId="65EFD45D" w:rsidR="00992F2F" w:rsidRPr="00C5719B" w:rsidRDefault="00992F2F" w:rsidP="00992F2F">
      <w:pPr>
        <w:pStyle w:val="Heading2"/>
      </w:pPr>
      <w:bookmarkStart w:id="33" w:name="_Toc231482883"/>
      <w:bookmarkStart w:id="34" w:name="_Toc231484069"/>
      <w:r w:rsidRPr="0059578E">
        <w:lastRenderedPageBreak/>
        <w:t>Evidence</w:t>
      </w:r>
      <w:r>
        <w:t>-b</w:t>
      </w:r>
      <w:r w:rsidRPr="00C5719B">
        <w:t xml:space="preserve">ased </w:t>
      </w:r>
      <w:r>
        <w:t>m</w:t>
      </w:r>
      <w:r w:rsidRPr="00C5719B">
        <w:t xml:space="preserve">odels of </w:t>
      </w:r>
      <w:r>
        <w:t>g</w:t>
      </w:r>
      <w:r w:rsidRPr="00C5719B">
        <w:t xml:space="preserve">ood </w:t>
      </w:r>
      <w:r>
        <w:t>p</w:t>
      </w:r>
      <w:r w:rsidRPr="00C5719B">
        <w:t>ractice</w:t>
      </w:r>
      <w:bookmarkEnd w:id="33"/>
      <w:bookmarkEnd w:id="34"/>
    </w:p>
    <w:p w14:paraId="15174129" w14:textId="77777777" w:rsidR="00992F2F" w:rsidRDefault="00992F2F" w:rsidP="00992F2F">
      <w:r w:rsidRPr="00C0231B">
        <w:t>To show how the evidence</w:t>
      </w:r>
      <w:r>
        <w:t>-</w:t>
      </w:r>
      <w:r w:rsidRPr="00C0231B">
        <w:t>based practices in this review work in real life, we’ve included examples of well</w:t>
      </w:r>
      <w:r>
        <w:t>-</w:t>
      </w:r>
      <w:r w:rsidRPr="00C0231B">
        <w:t xml:space="preserve">known disability employment models. </w:t>
      </w:r>
      <w:r w:rsidRPr="00C5719B">
        <w:t>“Evidence</w:t>
      </w:r>
      <w:r>
        <w:t>-</w:t>
      </w:r>
      <w:r w:rsidRPr="00C5719B">
        <w:t>based</w:t>
      </w:r>
      <w:r w:rsidRPr="00C5719B">
        <w:rPr>
          <w:rFonts w:ascii="Verdana" w:hAnsi="Verdana" w:cs="Verdana"/>
        </w:rPr>
        <w:t>”</w:t>
      </w:r>
      <w:r w:rsidRPr="00C5719B">
        <w:t xml:space="preserve"> here means there is published evidence that these models can improve employment outcomes when delivered with fidelity.</w:t>
      </w:r>
      <w:r>
        <w:t xml:space="preserve"> </w:t>
      </w:r>
      <w:r w:rsidRPr="00C0231B">
        <w:t>These models have been developed and improved over time, and they include the key things that make employment support effective</w:t>
      </w:r>
      <w:r>
        <w:t xml:space="preserve">, </w:t>
      </w:r>
      <w:r w:rsidRPr="00C0231B">
        <w:t xml:space="preserve">like focusing on the individual, working closely with employers, providing training at the workplace, and offering ongoing support. Many of these models have been tested or officially recognised, and they’ve helped shape policies in different countries. </w:t>
      </w:r>
    </w:p>
    <w:p w14:paraId="382B7AFE" w14:textId="77777777" w:rsidR="00992F2F" w:rsidRDefault="00992F2F" w:rsidP="00992F2F">
      <w:r w:rsidRPr="00C0231B">
        <w:t>Below is a summary of each model and how it puts the evidence from this review into action.</w:t>
      </w:r>
    </w:p>
    <w:p w14:paraId="489AA75F" w14:textId="7DCC170A" w:rsidR="003A27F4" w:rsidRDefault="003A27F4" w:rsidP="007200C6">
      <w:pPr>
        <w:pStyle w:val="BlockText"/>
      </w:pPr>
      <w:r w:rsidRPr="006C2FEA">
        <w:rPr>
          <w:b/>
          <w:bCs/>
          <w:i/>
          <w:iCs/>
        </w:rPr>
        <w:t>Box 8a: Evidence-based models of good practice (Customised Employment-focused)</w:t>
      </w:r>
    </w:p>
    <w:p w14:paraId="6FF9D4B3" w14:textId="1703A094" w:rsidR="003A27F4" w:rsidRDefault="00C45252">
      <w:pPr>
        <w:pStyle w:val="BlockText"/>
        <w:numPr>
          <w:ilvl w:val="0"/>
          <w:numId w:val="48"/>
        </w:numPr>
      </w:pPr>
      <w:r w:rsidRPr="00CC40DE">
        <w:rPr>
          <w:b/>
          <w:bCs/>
        </w:rPr>
        <w:t>Customized Employment (Marc</w:t>
      </w:r>
      <w:r w:rsidRPr="00CC40DE">
        <w:rPr>
          <w:rFonts w:ascii="Times New Roman" w:hAnsi="Times New Roman"/>
          <w:b/>
          <w:bCs/>
        </w:rPr>
        <w:t> </w:t>
      </w:r>
      <w:r w:rsidRPr="00CC40DE">
        <w:rPr>
          <w:b/>
          <w:bCs/>
        </w:rPr>
        <w:t>Gold &amp; Associates, USA):</w:t>
      </w:r>
      <w:r w:rsidRPr="00C45252">
        <w:t xml:space="preserve"> A pioneering person-centred approach that starts with Discovery to determine a jobseeker’s strengths, interests and support needs, and then negotiates a personalized job role with employers. This model matches the individual’s abilities and preferences to business needs, creating “win-win” employment relationships. Customized Employment (CE) has been shown to significantly improve job outcomes for people with higher support needs; for example, a recent randomised trial found that transition-age youth who received CE services were far more likely to secure competitive jobs than those in typical services</w:t>
      </w:r>
      <w:r>
        <w:t xml:space="preserve"> (Inge et al., 2024).</w:t>
      </w:r>
    </w:p>
    <w:p w14:paraId="60DA68C3" w14:textId="20E735AF" w:rsidR="00C45252" w:rsidRDefault="00C45252">
      <w:pPr>
        <w:pStyle w:val="BlockText"/>
        <w:numPr>
          <w:ilvl w:val="0"/>
          <w:numId w:val="48"/>
        </w:numPr>
      </w:pPr>
      <w:r w:rsidRPr="00CC40DE">
        <w:rPr>
          <w:b/>
          <w:bCs/>
        </w:rPr>
        <w:t>Customized Employment (Griffin-Hammis Associates, USA):</w:t>
      </w:r>
      <w:r>
        <w:t xml:space="preserve"> Another leading model based on the principle that everyone can achieve meaningful, financially rewarding work with the right support. Griffin-Hammis uses the “Discovering Personal Genius” (DPG) process to identify a jobseeker’s skills and interests, then works with employers to create or carve out job roles that benefit both the individual and the business. Follow-along coaching and long-term support are provided to ensure success. This approach reflects core evidence-based tactics: thorough vocational profiling, job carving to reduce person-job mismatch, and indefinite follow-along support to promote retention. The success of CE models like those of Marc Gold &amp; Associates and Griffin-Hammis is backed by experimental research demonstrating </w:t>
      </w:r>
      <w:r>
        <w:lastRenderedPageBreak/>
        <w:t>improved employment rates and stability for participants (Inge et al., 2024).</w:t>
      </w:r>
    </w:p>
    <w:p w14:paraId="3E613F45" w14:textId="419B518A" w:rsidR="00C45252" w:rsidRPr="003A27F4" w:rsidRDefault="00C45252">
      <w:pPr>
        <w:pStyle w:val="BlockText"/>
        <w:numPr>
          <w:ilvl w:val="0"/>
          <w:numId w:val="48"/>
        </w:numPr>
      </w:pPr>
      <w:r w:rsidRPr="00CC40DE">
        <w:rPr>
          <w:b/>
          <w:bCs/>
        </w:rPr>
        <w:t>Centre for Disability Employment Research and Practice (CDERP, Australia):</w:t>
      </w:r>
      <w:r>
        <w:t xml:space="preserve"> An Australian centre championing a zero-exclusion, “Work</w:t>
      </w:r>
      <w:r>
        <w:rPr>
          <w:rFonts w:ascii="Times New Roman" w:hAnsi="Times New Roman"/>
        </w:rPr>
        <w:t> </w:t>
      </w:r>
      <w:r>
        <w:t>First” approach to disability employment. CDERP provides research, training (through CDERP College) and consulting on evidence-based strategies like Customised Employment and Discovery, with a focus on quality assurance (e.g. its Customised Employment Quality Assurance Framework, CEQAF) to build the future of inclusive employment practice and policy.</w:t>
      </w:r>
    </w:p>
    <w:p w14:paraId="3D2B6055" w14:textId="77777777" w:rsidR="003A27F4" w:rsidRDefault="003A27F4" w:rsidP="00992F2F"/>
    <w:p w14:paraId="0D46AAA4" w14:textId="26BF5841" w:rsidR="00CC40DE" w:rsidRDefault="00CC40DE" w:rsidP="00CC40DE">
      <w:pPr>
        <w:pStyle w:val="BlockText"/>
      </w:pPr>
      <w:r w:rsidRPr="00E945E3">
        <w:rPr>
          <w:b/>
          <w:bCs/>
          <w:i/>
          <w:iCs/>
        </w:rPr>
        <w:t>Box 8b: Evidence-based models of good practice (Supported Employment-focused)</w:t>
      </w:r>
    </w:p>
    <w:p w14:paraId="1F74B090" w14:textId="4D495B33" w:rsidR="00E945E3" w:rsidRPr="00E945E3" w:rsidRDefault="00E945E3">
      <w:pPr>
        <w:pStyle w:val="BlockText"/>
        <w:numPr>
          <w:ilvl w:val="0"/>
          <w:numId w:val="49"/>
        </w:numPr>
      </w:pPr>
      <w:r w:rsidRPr="00913146">
        <w:rPr>
          <w:b/>
          <w:bCs/>
          <w:lang w:val="en-US"/>
        </w:rPr>
        <w:t>Canadian Association for Supported Employment (CASE, Canada)</w:t>
      </w:r>
      <w:r>
        <w:rPr>
          <w:b/>
          <w:bCs/>
          <w:lang w:val="en-US"/>
        </w:rPr>
        <w:t xml:space="preserve">: </w:t>
      </w:r>
      <w:r w:rsidRPr="00913146">
        <w:rPr>
          <w:lang w:val="en-US"/>
        </w:rPr>
        <w:t>A national network dedicated to improving employment inclusion for people who have a disability. CASE collaborates with service providers, employers, and community allies to promote best practices, provide training and resources, and increase workforce participation through programs that</w:t>
      </w:r>
      <w:r>
        <w:rPr>
          <w:lang w:val="en-US"/>
        </w:rPr>
        <w:t xml:space="preserve"> </w:t>
      </w:r>
      <w:r w:rsidRPr="00913146">
        <w:rPr>
          <w:lang w:val="en-US"/>
        </w:rPr>
        <w:t>emphasi</w:t>
      </w:r>
      <w:r>
        <w:rPr>
          <w:lang w:val="en-US"/>
        </w:rPr>
        <w:t>s</w:t>
      </w:r>
      <w:r w:rsidRPr="00913146">
        <w:rPr>
          <w:lang w:val="en-US"/>
        </w:rPr>
        <w:t>e</w:t>
      </w:r>
      <w:r>
        <w:rPr>
          <w:lang w:val="en-US"/>
        </w:rPr>
        <w:t xml:space="preserve"> </w:t>
      </w:r>
      <w:r w:rsidRPr="00913146">
        <w:rPr>
          <w:lang w:val="en-US"/>
        </w:rPr>
        <w:t>choice, partnership with employers, and long-term support for workers with disabilities.</w:t>
      </w:r>
    </w:p>
    <w:p w14:paraId="7F4340C5" w14:textId="77777777" w:rsidR="00E945E3" w:rsidRDefault="00E945E3">
      <w:pPr>
        <w:pStyle w:val="BlockText"/>
        <w:numPr>
          <w:ilvl w:val="0"/>
          <w:numId w:val="49"/>
        </w:numPr>
      </w:pPr>
      <w:r w:rsidRPr="00E945E3">
        <w:rPr>
          <w:b/>
          <w:bCs/>
        </w:rPr>
        <w:t>Five-Stage Supported Employment Model (Scotland):</w:t>
      </w:r>
      <w:r>
        <w:t xml:space="preserve"> A framework formally adopted by the Scottish Government (2010) and promoted by the Scottish Union of Supported Employment (SUSE). This model is grounded in the principle that anyone can work given the right supports, reflecting a zero-reject approach also evident in our evidence review. By providing a structured, continuous process: from getting to know the individual, through job development, to sustained in-work support, the five-stage model encapsulates the entire person-centred pathway identified in this report (see Box 6). There is growing evidence and decades of practice showing that the supported employment five-stage model is one of the most effective methods to support people with intellectual or developmental disabilities into employment (British Association for Supported Employment, 2021a).</w:t>
      </w:r>
    </w:p>
    <w:p w14:paraId="13CD3CAF" w14:textId="5218B403" w:rsidR="00E945E3" w:rsidRPr="00E945E3" w:rsidRDefault="00E945E3">
      <w:pPr>
        <w:pStyle w:val="BlockText"/>
        <w:numPr>
          <w:ilvl w:val="0"/>
          <w:numId w:val="49"/>
        </w:numPr>
      </w:pPr>
      <w:r w:rsidRPr="00E945E3">
        <w:rPr>
          <w:b/>
          <w:bCs/>
        </w:rPr>
        <w:t>Supported Employment Quality Framework (SEQF, UK):</w:t>
      </w:r>
      <w:r>
        <w:t xml:space="preserve"> A comprehensive quality standard developed by the British Association for Supported Employment (BASE) to drive continuous improvement </w:t>
      </w:r>
      <w:r>
        <w:lastRenderedPageBreak/>
        <w:t>in supported employment services. SEQF links the five stages of supported employment to key quality indicators, ensuring service providers uphold core values (e.g. individualisation, informed choice, partnership with employers) and deliver support with high fidelity to the proven model. The framework includes self-assessment and an external accreditation option to help agencies maintain best practices and achieve better long-term outcomes for jobseekers and employers.</w:t>
      </w:r>
    </w:p>
    <w:p w14:paraId="5472C6CC" w14:textId="77777777" w:rsidR="00992F2F" w:rsidRDefault="00992F2F" w:rsidP="00E03EC5">
      <w:pPr>
        <w:pStyle w:val="ListBullet"/>
        <w:numPr>
          <w:ilvl w:val="0"/>
          <w:numId w:val="0"/>
        </w:numPr>
      </w:pPr>
      <w:r w:rsidRPr="00486C90">
        <w:rPr>
          <w:rStyle w:val="Heading4Char"/>
        </w:rPr>
        <w:t>Summary: Why these models matter</w:t>
      </w:r>
    </w:p>
    <w:p w14:paraId="52416689" w14:textId="77777777" w:rsidR="00992F2F" w:rsidRDefault="00992F2F" w:rsidP="00E03EC5">
      <w:pPr>
        <w:pStyle w:val="ListBullet"/>
        <w:numPr>
          <w:ilvl w:val="0"/>
          <w:numId w:val="0"/>
        </w:numPr>
      </w:pPr>
      <w:r w:rsidRPr="00F57327">
        <w:t xml:space="preserve">The good practices in this review aren’t just ideas – they’re already being used in real services like the ones described above. In fact, </w:t>
      </w:r>
      <w:r>
        <w:t>m</w:t>
      </w:r>
      <w:r w:rsidRPr="00597474">
        <w:t>any of the</w:t>
      </w:r>
      <w:r>
        <w:t xml:space="preserve">se </w:t>
      </w:r>
      <w:r w:rsidRPr="00F75F1A">
        <w:t xml:space="preserve">models were built using the same evidence we’ve talked about, and some have been tested and officially recognised because they work well. </w:t>
      </w:r>
      <w:r w:rsidRPr="00597474">
        <w:t xml:space="preserve"> This evidence synthesis reinforces that these model</w:t>
      </w:r>
      <w:r>
        <w:t>s</w:t>
      </w:r>
      <w:r w:rsidRPr="00597474">
        <w:t xml:space="preserve"> </w:t>
      </w:r>
      <w:r w:rsidRPr="00F75F1A">
        <w:t>prove that when services follow the evidence, they’re much more likely to help people with intellectual disability succeed in real jobs.</w:t>
      </w:r>
    </w:p>
    <w:p w14:paraId="32077B39" w14:textId="77777777" w:rsidR="00992F2F" w:rsidRDefault="00992F2F" w:rsidP="00992F2F">
      <w:pPr>
        <w:pStyle w:val="Heading2"/>
      </w:pPr>
      <w:bookmarkStart w:id="35" w:name="_Toc231482884"/>
      <w:bookmarkStart w:id="36" w:name="_Toc231484070"/>
      <w:r w:rsidRPr="003A7473">
        <w:t xml:space="preserve">Practical </w:t>
      </w:r>
      <w:r>
        <w:t>g</w:t>
      </w:r>
      <w:r w:rsidRPr="003A7473">
        <w:t xml:space="preserve">uidance for </w:t>
      </w:r>
      <w:r>
        <w:t>e</w:t>
      </w:r>
      <w:r w:rsidRPr="003A7473">
        <w:t xml:space="preserve">mployment </w:t>
      </w:r>
      <w:r>
        <w:t>s</w:t>
      </w:r>
      <w:r w:rsidRPr="003A7473">
        <w:t xml:space="preserve">ervices and </w:t>
      </w:r>
      <w:r>
        <w:t>e</w:t>
      </w:r>
      <w:r w:rsidRPr="003A7473">
        <w:t>mployers</w:t>
      </w:r>
      <w:bookmarkEnd w:id="35"/>
      <w:bookmarkEnd w:id="36"/>
    </w:p>
    <w:p w14:paraId="640F114C" w14:textId="77777777" w:rsidR="00992F2F" w:rsidRDefault="00992F2F" w:rsidP="00992F2F">
      <w:r w:rsidRPr="00B350F1">
        <w:t>This section provides targeted, evidence</w:t>
      </w:r>
      <w:r>
        <w:t>-</w:t>
      </w:r>
      <w:r w:rsidRPr="00B350F1">
        <w:t xml:space="preserve">informed guidance for the key actors involved in delivering and supporting inclusive employment. </w:t>
      </w:r>
      <w:r w:rsidRPr="00912C29">
        <w:rPr>
          <w:b/>
          <w:bCs/>
        </w:rPr>
        <w:t>Box 9</w:t>
      </w:r>
      <w:r w:rsidRPr="00B350F1">
        <w:t xml:space="preserve"> outlines practical actions for employment support providers and frontline staff. </w:t>
      </w:r>
      <w:r w:rsidRPr="00912C29">
        <w:rPr>
          <w:b/>
          <w:bCs/>
        </w:rPr>
        <w:t>Box 10</w:t>
      </w:r>
      <w:r w:rsidRPr="00B350F1">
        <w:t xml:space="preserve"> focuses on what employers can do to create inclusive workplaces and support job success. </w:t>
      </w:r>
      <w:r w:rsidRPr="00912C29">
        <w:rPr>
          <w:b/>
          <w:bCs/>
        </w:rPr>
        <w:t>Box 11</w:t>
      </w:r>
      <w:r w:rsidRPr="00B350F1">
        <w:t xml:space="preserve"> sets out system-level recommendations for policymakers and programme administrators to align funding, policy, and infrastructure with best practice. Together, these boxes translate the review’s findings into actionable steps for implementation.</w:t>
      </w:r>
      <w:r>
        <w:t xml:space="preserve"> </w:t>
      </w:r>
      <w:r w:rsidRPr="00912C29">
        <w:t>Use these boxes as a checklist.</w:t>
      </w:r>
    </w:p>
    <w:p w14:paraId="1A270B98" w14:textId="5795207D" w:rsidR="00934859" w:rsidRDefault="00934859" w:rsidP="00934859">
      <w:pPr>
        <w:pStyle w:val="BlockText"/>
        <w:rPr>
          <w:bCs/>
        </w:rPr>
      </w:pPr>
      <w:r w:rsidRPr="00934859">
        <w:rPr>
          <w:b/>
          <w:i/>
          <w:iCs/>
        </w:rPr>
        <w:t>Box 9: What employment support staff and providers can do</w:t>
      </w:r>
    </w:p>
    <w:p w14:paraId="64BC6EE4" w14:textId="331319CC" w:rsidR="00934859" w:rsidRPr="007E6080" w:rsidRDefault="00934859">
      <w:pPr>
        <w:pStyle w:val="BlockText"/>
        <w:numPr>
          <w:ilvl w:val="0"/>
          <w:numId w:val="50"/>
        </w:numPr>
        <w:rPr>
          <w:bCs/>
        </w:rPr>
      </w:pPr>
      <w:r>
        <w:rPr>
          <w:b/>
        </w:rPr>
        <w:t xml:space="preserve">Use “Place-Train-Maintain” as a guiding model: </w:t>
      </w:r>
      <w:r w:rsidR="007E6080" w:rsidRPr="00912C29">
        <w:t>Place people into real jobs early (even part</w:t>
      </w:r>
      <w:r w:rsidR="007E6080" w:rsidRPr="005A4CE9">
        <w:rPr>
          <w:rFonts w:ascii="Cambria Math" w:hAnsi="Cambria Math" w:cs="Cambria Math"/>
        </w:rPr>
        <w:t>‑</w:t>
      </w:r>
      <w:r w:rsidR="007E6080" w:rsidRPr="00912C29">
        <w:t>time), then train on the job and provide long</w:t>
      </w:r>
      <w:r w:rsidR="007E6080" w:rsidRPr="005A4CE9">
        <w:rPr>
          <w:rFonts w:ascii="Cambria Math" w:hAnsi="Cambria Math" w:cs="Cambria Math"/>
        </w:rPr>
        <w:t>‑</w:t>
      </w:r>
      <w:r w:rsidR="007E6080" w:rsidRPr="00912C29">
        <w:t>term support. Avoid long pre</w:t>
      </w:r>
      <w:r w:rsidR="007E6080" w:rsidRPr="005A4CE9">
        <w:rPr>
          <w:rFonts w:ascii="Cambria Math" w:hAnsi="Cambria Math" w:cs="Cambria Math"/>
        </w:rPr>
        <w:t>-</w:t>
      </w:r>
      <w:r w:rsidR="007E6080" w:rsidRPr="00912C29">
        <w:t>employment training that delays real work</w:t>
      </w:r>
      <w:r w:rsidR="007E6080">
        <w:t xml:space="preserve"> </w:t>
      </w:r>
      <w:r w:rsidR="007E6080">
        <w:rPr>
          <w:noProof/>
        </w:rPr>
        <w:t>(Iwanaga et al., 2023)</w:t>
      </w:r>
      <w:r w:rsidR="007E6080" w:rsidRPr="00912C29">
        <w:t>.</w:t>
      </w:r>
    </w:p>
    <w:p w14:paraId="2596D05B" w14:textId="77777777" w:rsidR="007E6080" w:rsidRPr="007E6080" w:rsidRDefault="007E6080">
      <w:pPr>
        <w:pStyle w:val="BlockText"/>
        <w:numPr>
          <w:ilvl w:val="0"/>
          <w:numId w:val="50"/>
        </w:numPr>
        <w:rPr>
          <w:bCs/>
        </w:rPr>
      </w:pPr>
      <w:r w:rsidRPr="00F6481F">
        <w:rPr>
          <w:b/>
        </w:rPr>
        <w:t xml:space="preserve">Develop jobs and engage employers: </w:t>
      </w:r>
      <w:r w:rsidRPr="007E6080">
        <w:rPr>
          <w:bCs/>
        </w:rPr>
        <w:t>Don’t rely solely on advertised vacancies. Build relationships with local employers, educate them about intellectual disability, and offer practical support such as disability awareness training or help with workplace adjustments (Butterworth et al., 2020).</w:t>
      </w:r>
    </w:p>
    <w:p w14:paraId="25C3F2D3" w14:textId="77777777" w:rsidR="007E6080" w:rsidRPr="007E6080" w:rsidRDefault="007E6080">
      <w:pPr>
        <w:pStyle w:val="BlockText"/>
        <w:numPr>
          <w:ilvl w:val="0"/>
          <w:numId w:val="50"/>
        </w:numPr>
        <w:rPr>
          <w:bCs/>
        </w:rPr>
      </w:pPr>
      <w:r w:rsidRPr="00F6481F">
        <w:rPr>
          <w:b/>
        </w:rPr>
        <w:lastRenderedPageBreak/>
        <w:t>Focus on job matching and customisation:</w:t>
      </w:r>
      <w:r w:rsidRPr="007E6080">
        <w:rPr>
          <w:bCs/>
        </w:rPr>
        <w:t xml:space="preserve"> Take time to understand each person’s strengths and interests. Where standard roles don’t fit, consider job carving or customising tasks and hours to suit both the individual and the employer (Inge et al., 2024).</w:t>
      </w:r>
    </w:p>
    <w:p w14:paraId="6947523B" w14:textId="77777777" w:rsidR="007E6080" w:rsidRPr="007E6080" w:rsidRDefault="007E6080">
      <w:pPr>
        <w:pStyle w:val="BlockText"/>
        <w:numPr>
          <w:ilvl w:val="0"/>
          <w:numId w:val="50"/>
        </w:numPr>
        <w:rPr>
          <w:bCs/>
        </w:rPr>
      </w:pPr>
      <w:r w:rsidRPr="00F6481F">
        <w:rPr>
          <w:b/>
        </w:rPr>
        <w:t>Provide on-site training and support:</w:t>
      </w:r>
      <w:r w:rsidRPr="007E6080">
        <w:rPr>
          <w:bCs/>
        </w:rPr>
        <w:t xml:space="preserve"> Use structured methods like systematic instruction to teach tasks step by step in the workplace. Support the person to learn both job duties and workplace expectations (Alexander et al., 2024).</w:t>
      </w:r>
    </w:p>
    <w:p w14:paraId="702A8982" w14:textId="77777777" w:rsidR="007E6080" w:rsidRPr="007E6080" w:rsidRDefault="007E6080">
      <w:pPr>
        <w:pStyle w:val="BlockText"/>
        <w:numPr>
          <w:ilvl w:val="0"/>
          <w:numId w:val="50"/>
        </w:numPr>
        <w:rPr>
          <w:bCs/>
        </w:rPr>
      </w:pPr>
      <w:r w:rsidRPr="00F6481F">
        <w:rPr>
          <w:b/>
        </w:rPr>
        <w:t>Build natural supports in the workplace:</w:t>
      </w:r>
      <w:r w:rsidRPr="007E6080">
        <w:rPr>
          <w:bCs/>
        </w:rPr>
        <w:t xml:space="preserve"> Work with supervisors and colleagues from the start. Encourage the use of workplace buddies or mentors and provide guidance on how to support the new employee effectively (Carter et al., 2012).</w:t>
      </w:r>
    </w:p>
    <w:p w14:paraId="2AEA2588" w14:textId="77777777" w:rsidR="007E6080" w:rsidRPr="007E6080" w:rsidRDefault="007E6080">
      <w:pPr>
        <w:pStyle w:val="BlockText"/>
        <w:numPr>
          <w:ilvl w:val="0"/>
          <w:numId w:val="50"/>
        </w:numPr>
        <w:rPr>
          <w:bCs/>
        </w:rPr>
      </w:pPr>
      <w:r w:rsidRPr="00F6481F">
        <w:rPr>
          <w:b/>
        </w:rPr>
        <w:t>Plan for problem-solving and follow-along:</w:t>
      </w:r>
      <w:r w:rsidRPr="007E6080">
        <w:rPr>
          <w:bCs/>
        </w:rPr>
        <w:t xml:space="preserve"> Before reducing support, agree a plan for how the person can access help if needed. Continue regular check-ins and be ready to step back in if challenges arise (Taubner et al., 2022).</w:t>
      </w:r>
    </w:p>
    <w:p w14:paraId="73AE9C0F" w14:textId="77777777" w:rsidR="007E6080" w:rsidRPr="007E6080" w:rsidRDefault="007E6080">
      <w:pPr>
        <w:pStyle w:val="BlockText"/>
        <w:numPr>
          <w:ilvl w:val="0"/>
          <w:numId w:val="50"/>
        </w:numPr>
        <w:rPr>
          <w:bCs/>
        </w:rPr>
      </w:pPr>
      <w:r w:rsidRPr="00F6481F">
        <w:rPr>
          <w:b/>
        </w:rPr>
        <w:t>Ensure continuity through transitions:</w:t>
      </w:r>
      <w:r w:rsidRPr="007E6080">
        <w:rPr>
          <w:bCs/>
        </w:rPr>
        <w:t xml:space="preserve"> Coordinate support when people move between services or life stages. Share employment plans and collaborate with NDIS providers, schools, or other services to maintain momentum (Iwanaga et al., 2023).</w:t>
      </w:r>
    </w:p>
    <w:p w14:paraId="427B67EC" w14:textId="0CA5DA7F" w:rsidR="007E6080" w:rsidRPr="00934859" w:rsidRDefault="007E6080">
      <w:pPr>
        <w:pStyle w:val="BlockText"/>
        <w:numPr>
          <w:ilvl w:val="0"/>
          <w:numId w:val="50"/>
        </w:numPr>
        <w:rPr>
          <w:bCs/>
        </w:rPr>
      </w:pPr>
      <w:r w:rsidRPr="00F6481F">
        <w:rPr>
          <w:b/>
        </w:rPr>
        <w:t>Measure and celebrate meaningful outcomes:</w:t>
      </w:r>
      <w:r w:rsidRPr="007E6080">
        <w:rPr>
          <w:bCs/>
        </w:rPr>
        <w:t xml:space="preserve"> Track what matters – job placement, job satisfaction, retention, and skill development. Share success stories to build confidence and promote inclusive hiring (National Disability Insurance Agency, 2024).</w:t>
      </w:r>
    </w:p>
    <w:p w14:paraId="1B150C94" w14:textId="77777777" w:rsidR="00934859" w:rsidRDefault="00934859" w:rsidP="00992F2F"/>
    <w:p w14:paraId="2E3AD08F" w14:textId="129122A8" w:rsidR="00F6481F" w:rsidRPr="00F6481F" w:rsidRDefault="00F6481F" w:rsidP="00F6481F">
      <w:pPr>
        <w:pStyle w:val="BlockText"/>
      </w:pPr>
      <w:r w:rsidRPr="00F6481F">
        <w:rPr>
          <w:b/>
          <w:bCs/>
          <w:i/>
          <w:iCs/>
        </w:rPr>
        <w:t>Box 10: What employers can do to foster inclusion and job success</w:t>
      </w:r>
    </w:p>
    <w:p w14:paraId="30894F61" w14:textId="22E93051" w:rsidR="00F6481F" w:rsidRDefault="00F6481F">
      <w:pPr>
        <w:pStyle w:val="BlockText"/>
        <w:numPr>
          <w:ilvl w:val="0"/>
          <w:numId w:val="51"/>
        </w:numPr>
      </w:pPr>
      <w:r w:rsidRPr="00F6481F">
        <w:rPr>
          <w:b/>
          <w:bCs/>
        </w:rPr>
        <w:t xml:space="preserve">Create a welcoming workplace culture: </w:t>
      </w:r>
      <w:r w:rsidRPr="00F6481F">
        <w:t>Promote inclusion as a core value since inclusive cultures improve retention and morale (Gilson et al., 2018). Treat employees with disability as equal team members. Encourage social inclusion and consider a buddy system</w:t>
      </w:r>
      <w:r>
        <w:t>.</w:t>
      </w:r>
    </w:p>
    <w:p w14:paraId="1B7FCE60" w14:textId="77777777" w:rsidR="00F6481F" w:rsidRDefault="00F6481F">
      <w:pPr>
        <w:pStyle w:val="BlockText"/>
        <w:numPr>
          <w:ilvl w:val="0"/>
          <w:numId w:val="51"/>
        </w:numPr>
      </w:pPr>
      <w:r w:rsidRPr="00F6481F">
        <w:rPr>
          <w:b/>
          <w:bCs/>
        </w:rPr>
        <w:t>Adapt job duties and the work environment:</w:t>
      </w:r>
      <w:r>
        <w:t xml:space="preserve"> Be flexible with job design. Use visual instructions, adjust schedules, or modify tasks to suit the employee’s strengths. Many adjustments are low-cost and benefit the wider team (Morash-Macneil et al., 2018).</w:t>
      </w:r>
    </w:p>
    <w:p w14:paraId="111CFF29" w14:textId="77777777" w:rsidR="00F6481F" w:rsidRDefault="00F6481F">
      <w:pPr>
        <w:pStyle w:val="BlockText"/>
        <w:numPr>
          <w:ilvl w:val="0"/>
          <w:numId w:val="51"/>
        </w:numPr>
      </w:pPr>
      <w:r w:rsidRPr="00F6481F">
        <w:rPr>
          <w:b/>
          <w:bCs/>
        </w:rPr>
        <w:lastRenderedPageBreak/>
        <w:t>Provide good training and support</w:t>
      </w:r>
      <w:r>
        <w:t>: Offer clear, step-by-step training and regular feedback. Assign a consistent supervisor or mentor. View mistakes as learning opportunities, not reasons to give up (Carter et al., 2012).</w:t>
      </w:r>
    </w:p>
    <w:p w14:paraId="207589E9" w14:textId="77777777" w:rsidR="00F6481F" w:rsidRDefault="00F6481F">
      <w:pPr>
        <w:pStyle w:val="BlockText"/>
        <w:numPr>
          <w:ilvl w:val="0"/>
          <w:numId w:val="51"/>
        </w:numPr>
      </w:pPr>
      <w:r w:rsidRPr="00F6481F">
        <w:rPr>
          <w:b/>
          <w:bCs/>
        </w:rPr>
        <w:t>Use available resources and support services:</w:t>
      </w:r>
      <w:r>
        <w:t xml:space="preserve"> Access government-funded supports like JobAccess and the Employment Assistance Fund (EAF) for workplace modifications. Work in partnership with employment providers and NDIS-funded job coaches (Rashid et al., 2017).</w:t>
      </w:r>
    </w:p>
    <w:p w14:paraId="61995F33" w14:textId="58386418" w:rsidR="00F6481F" w:rsidRDefault="00F6481F">
      <w:pPr>
        <w:pStyle w:val="BlockText"/>
        <w:numPr>
          <w:ilvl w:val="0"/>
          <w:numId w:val="51"/>
        </w:numPr>
      </w:pPr>
      <w:r w:rsidRPr="00F6481F">
        <w:rPr>
          <w:b/>
          <w:bCs/>
        </w:rPr>
        <w:t>Focus on growth and retention:</w:t>
      </w:r>
      <w:r>
        <w:t xml:space="preserve"> Support employees to develop new skills and take on more responsibility. Recognise their contributions and provide opportunities for progression. With the right support, many employees with intellectual disability become long-term, valued team members (Carter et al., 2012).</w:t>
      </w:r>
    </w:p>
    <w:p w14:paraId="35344D19" w14:textId="77777777" w:rsidR="00992F2F" w:rsidRDefault="00992F2F" w:rsidP="00992F2F"/>
    <w:p w14:paraId="1631AAC3" w14:textId="1D20DE2A" w:rsidR="00F6481F" w:rsidRDefault="00F6481F" w:rsidP="00F6481F">
      <w:pPr>
        <w:pStyle w:val="BlockText"/>
      </w:pPr>
      <w:r w:rsidRPr="00F6481F">
        <w:rPr>
          <w:b/>
          <w:bCs/>
          <w:i/>
          <w:iCs/>
        </w:rPr>
        <w:t>Box 11: What policymakers and programme administrators can do</w:t>
      </w:r>
    </w:p>
    <w:p w14:paraId="14353C32" w14:textId="375C5A92" w:rsidR="00F6481F" w:rsidRDefault="00F6481F">
      <w:pPr>
        <w:pStyle w:val="BlockText"/>
        <w:numPr>
          <w:ilvl w:val="0"/>
          <w:numId w:val="52"/>
        </w:numPr>
      </w:pPr>
      <w:r w:rsidRPr="00F6481F">
        <w:rPr>
          <w:b/>
          <w:bCs/>
        </w:rPr>
        <w:t>Align funding with long-term outcomes:</w:t>
      </w:r>
      <w:r w:rsidRPr="00F6481F">
        <w:t xml:space="preserve"> Design funding models that reward sustained employment, job quality, and inclusion – not just short-term placements. Avoid time-limited support structures that undermine continuity (Nord et al., 2020).</w:t>
      </w:r>
    </w:p>
    <w:p w14:paraId="5BBEAFC4" w14:textId="77777777" w:rsidR="000A22AA" w:rsidRDefault="000A22AA">
      <w:pPr>
        <w:pStyle w:val="BlockText"/>
        <w:numPr>
          <w:ilvl w:val="0"/>
          <w:numId w:val="52"/>
        </w:numPr>
      </w:pPr>
      <w:r w:rsidRPr="000A22AA">
        <w:rPr>
          <w:b/>
          <w:bCs/>
        </w:rPr>
        <w:t>Support flexible, person-centred service delivery:</w:t>
      </w:r>
      <w:r>
        <w:t xml:space="preserve"> Enable providers to tailor support to individual needs, including the ability to re-engage when circumstances change. Avoid rigid eligibility rules or one-size-fits-all programme designs (National Disability Insurance Agency, 2024).</w:t>
      </w:r>
    </w:p>
    <w:p w14:paraId="3D69CA65" w14:textId="2FA85700" w:rsidR="000A22AA" w:rsidRDefault="000A22AA">
      <w:pPr>
        <w:pStyle w:val="BlockText"/>
        <w:numPr>
          <w:ilvl w:val="0"/>
          <w:numId w:val="52"/>
        </w:numPr>
      </w:pPr>
      <w:r w:rsidRPr="000A22AA">
        <w:rPr>
          <w:b/>
          <w:bCs/>
        </w:rPr>
        <w:t>Invest in workforce capability:</w:t>
      </w:r>
      <w:r>
        <w:t xml:space="preserve"> Fund training and professional development for employment consultants, job coaches, and support workers. Promote the use of evidence-based practices such as Discovery, systematic instruction, and Customised Employment (Butterworth et al., 2020).</w:t>
      </w:r>
    </w:p>
    <w:p w14:paraId="1E865684" w14:textId="77777777" w:rsidR="000A22AA" w:rsidRDefault="000A22AA">
      <w:pPr>
        <w:pStyle w:val="BlockText"/>
        <w:numPr>
          <w:ilvl w:val="0"/>
          <w:numId w:val="52"/>
        </w:numPr>
      </w:pPr>
      <w:r w:rsidRPr="000A22AA">
        <w:rPr>
          <w:b/>
          <w:bCs/>
        </w:rPr>
        <w:t>Strengthen cross-system coordination:</w:t>
      </w:r>
      <w:r>
        <w:t xml:space="preserve"> Encourage collaboration between Inclusive Employment Australia providers, NDIS supports, schools, and employers. Support shared planning and data-sharing protocols to ensure smooth transitions and consistent support (Taylor et al., 2023).</w:t>
      </w:r>
    </w:p>
    <w:p w14:paraId="22B1C6EB" w14:textId="77777777" w:rsidR="000A22AA" w:rsidRDefault="000A22AA">
      <w:pPr>
        <w:pStyle w:val="BlockText"/>
        <w:numPr>
          <w:ilvl w:val="0"/>
          <w:numId w:val="52"/>
        </w:numPr>
      </w:pPr>
      <w:r w:rsidRPr="000A22AA">
        <w:rPr>
          <w:b/>
          <w:bCs/>
        </w:rPr>
        <w:lastRenderedPageBreak/>
        <w:t>Promote inclusive employment through leadership and policy:</w:t>
      </w:r>
      <w:r>
        <w:t xml:space="preserve"> Set clear expectations for inclusive employment across government and funded services. Use public sector employment targets, procurement policies, and awareness campaigns to lead by example (Iwanaga et al., 2023).</w:t>
      </w:r>
    </w:p>
    <w:p w14:paraId="12EA6B2F" w14:textId="1928EB5B" w:rsidR="00F6481F" w:rsidRPr="00F6481F" w:rsidRDefault="000A22AA">
      <w:pPr>
        <w:pStyle w:val="BlockText"/>
        <w:numPr>
          <w:ilvl w:val="0"/>
          <w:numId w:val="52"/>
        </w:numPr>
      </w:pPr>
      <w:r w:rsidRPr="000A22AA">
        <w:rPr>
          <w:b/>
          <w:bCs/>
        </w:rPr>
        <w:t>Ensure access to enabling infrastructure:</w:t>
      </w:r>
      <w:r>
        <w:t xml:space="preserve"> Maintain and promote access to national supports such as JobAccess and the Employment Assistance Fund (EAF). Invest in tools, technology, and resources that help employers and providers deliver inclusive practices (Carter et al., 2012).</w:t>
      </w:r>
    </w:p>
    <w:p w14:paraId="7ED35039" w14:textId="77777777" w:rsidR="00992F2F" w:rsidRDefault="00992F2F" w:rsidP="00992F2F"/>
    <w:p w14:paraId="60FFC371" w14:textId="77777777" w:rsidR="00992F2F" w:rsidRDefault="00992F2F" w:rsidP="00992F2F">
      <w:pPr>
        <w:pStyle w:val="Heading1"/>
      </w:pPr>
      <w:bookmarkStart w:id="37" w:name="_Toc231482885"/>
      <w:bookmarkStart w:id="38" w:name="_Toc231484071"/>
      <w:r w:rsidRPr="00ED0558">
        <w:t>Conclusion</w:t>
      </w:r>
      <w:bookmarkEnd w:id="37"/>
      <w:bookmarkEnd w:id="38"/>
    </w:p>
    <w:p w14:paraId="4EF9B70B" w14:textId="77777777" w:rsidR="00992F2F" w:rsidRDefault="00992F2F" w:rsidP="00992F2F">
      <w:r>
        <w:t>Improving employment outcomes for people with intellectual disability requires coordinated, evidence-informed action. The most effective support is comprehensive, person-centred, and sustained over time.</w:t>
      </w:r>
    </w:p>
    <w:p w14:paraId="5CEFF789" w14:textId="77777777" w:rsidR="00992F2F" w:rsidRPr="008B4111" w:rsidRDefault="00992F2F" w:rsidP="00992F2F">
      <w:pPr>
        <w:pStyle w:val="Heading2"/>
      </w:pPr>
      <w:bookmarkStart w:id="39" w:name="_Toc231482886"/>
      <w:bookmarkStart w:id="40" w:name="_Toc231484072"/>
      <w:r w:rsidRPr="008B4111">
        <w:t xml:space="preserve">What good </w:t>
      </w:r>
      <w:r w:rsidRPr="00A3379B">
        <w:t>practice</w:t>
      </w:r>
      <w:r w:rsidRPr="008B4111">
        <w:t xml:space="preserve"> looks like</w:t>
      </w:r>
      <w:bookmarkEnd w:id="39"/>
      <w:bookmarkEnd w:id="40"/>
    </w:p>
    <w:p w14:paraId="5559BCEF" w14:textId="6112369B" w:rsidR="005B3097" w:rsidRDefault="00992F2F" w:rsidP="00992F2F">
      <w:r>
        <w:t>Four essential elements define high-quality employment support:</w:t>
      </w:r>
    </w:p>
    <w:p w14:paraId="5A0049B5" w14:textId="77777777" w:rsidR="00992F2F" w:rsidRDefault="00992F2F" w:rsidP="00E03EC5">
      <w:pPr>
        <w:pStyle w:val="ListBullet"/>
      </w:pPr>
      <w:r w:rsidRPr="00415ECE">
        <w:rPr>
          <w:b/>
          <w:bCs/>
        </w:rPr>
        <w:t>Integrate</w:t>
      </w:r>
      <w:r>
        <w:t xml:space="preserve"> preparation, employer engagement, on-the-job training, and follow-up.</w:t>
      </w:r>
    </w:p>
    <w:p w14:paraId="581888EF" w14:textId="77777777" w:rsidR="00992F2F" w:rsidRDefault="00992F2F" w:rsidP="00E03EC5">
      <w:pPr>
        <w:pStyle w:val="ListBullet"/>
      </w:pPr>
      <w:r w:rsidRPr="00415ECE">
        <w:rPr>
          <w:b/>
          <w:bCs/>
        </w:rPr>
        <w:t>Partner</w:t>
      </w:r>
      <w:r>
        <w:t xml:space="preserve"> with employers to create or adapt roles that match individual strengths.</w:t>
      </w:r>
    </w:p>
    <w:p w14:paraId="404A0D0B" w14:textId="77777777" w:rsidR="00992F2F" w:rsidRDefault="00992F2F" w:rsidP="00E03EC5">
      <w:pPr>
        <w:pStyle w:val="ListBullet"/>
      </w:pPr>
      <w:r w:rsidRPr="00415ECE">
        <w:rPr>
          <w:b/>
          <w:bCs/>
        </w:rPr>
        <w:t>Provid</w:t>
      </w:r>
      <w:r>
        <w:t>e early, intensive support that can be adjusted and re-engaged as needed.</w:t>
      </w:r>
    </w:p>
    <w:p w14:paraId="73E33F20" w14:textId="77777777" w:rsidR="00992F2F" w:rsidRDefault="00992F2F" w:rsidP="00E03EC5">
      <w:pPr>
        <w:pStyle w:val="ListBullet"/>
      </w:pPr>
      <w:r w:rsidRPr="00415ECE">
        <w:rPr>
          <w:b/>
          <w:bCs/>
        </w:rPr>
        <w:t xml:space="preserve">Focus </w:t>
      </w:r>
      <w:r>
        <w:t>on job quality – fair pay, inclusion, and opportunities for growth.</w:t>
      </w:r>
    </w:p>
    <w:p w14:paraId="6FF9B08C" w14:textId="77777777" w:rsidR="00992F2F" w:rsidRDefault="00992F2F" w:rsidP="00992F2F">
      <w:r>
        <w:t>These features are consistently supported by research and lived experience and should be standard in all employment support.</w:t>
      </w:r>
    </w:p>
    <w:p w14:paraId="58F6E9B6" w14:textId="77777777" w:rsidR="00992F2F" w:rsidRPr="008B4111" w:rsidRDefault="00992F2F" w:rsidP="00992F2F">
      <w:pPr>
        <w:pStyle w:val="Heading2"/>
      </w:pPr>
      <w:bookmarkStart w:id="41" w:name="_Toc231482887"/>
      <w:bookmarkStart w:id="42" w:name="_Toc231484073"/>
      <w:r w:rsidRPr="008B4111">
        <w:t>Evidence strengths and gaps</w:t>
      </w:r>
      <w:bookmarkEnd w:id="41"/>
      <w:bookmarkEnd w:id="42"/>
    </w:p>
    <w:p w14:paraId="1370D8E4" w14:textId="77777777" w:rsidR="00992F2F" w:rsidRDefault="00992F2F" w:rsidP="00992F2F">
      <w:r>
        <w:t>The evidence base is strong, with consistent findings across reviews, studies, and stakeholder input. Supported employment and follow-along support are well established. However, gaps remain in understanding long-term outcomes, career progression, employer incentives, and the impact of recent policy reforms. Future research should focus on real-world implementation and refining support strategies.</w:t>
      </w:r>
    </w:p>
    <w:p w14:paraId="6B3D5A46" w14:textId="77777777" w:rsidR="00992F2F" w:rsidRPr="008B4111" w:rsidRDefault="00992F2F" w:rsidP="00992F2F">
      <w:pPr>
        <w:pStyle w:val="Heading3"/>
      </w:pPr>
      <w:bookmarkStart w:id="43" w:name="_Toc231482888"/>
      <w:bookmarkStart w:id="44" w:name="_Toc231484074"/>
      <w:r w:rsidRPr="008B4111">
        <w:lastRenderedPageBreak/>
        <w:t>Next steps</w:t>
      </w:r>
      <w:bookmarkEnd w:id="43"/>
      <w:bookmarkEnd w:id="44"/>
    </w:p>
    <w:p w14:paraId="2BBD1928" w14:textId="77777777" w:rsidR="00992F2F" w:rsidRDefault="00992F2F" w:rsidP="00E03EC5">
      <w:pPr>
        <w:pStyle w:val="ListBullet"/>
      </w:pPr>
      <w:r w:rsidRPr="005B4AB9">
        <w:t>Practitioners and providers: Use place</w:t>
      </w:r>
      <w:r>
        <w:t>-</w:t>
      </w:r>
      <w:r w:rsidRPr="005B4AB9">
        <w:t>train</w:t>
      </w:r>
      <w:r>
        <w:t>-</w:t>
      </w:r>
      <w:r w:rsidRPr="005B4AB9">
        <w:t>maintain, strengthen employer partnerships, and provide follow</w:t>
      </w:r>
      <w:r>
        <w:t>-</w:t>
      </w:r>
      <w:r w:rsidRPr="005B4AB9">
        <w:t>along support</w:t>
      </w:r>
      <w:r>
        <w:t>.</w:t>
      </w:r>
    </w:p>
    <w:p w14:paraId="107AD266" w14:textId="77777777" w:rsidR="00992F2F" w:rsidRDefault="00992F2F" w:rsidP="00E03EC5">
      <w:pPr>
        <w:pStyle w:val="ListBullet"/>
      </w:pPr>
      <w:r w:rsidRPr="005B4AB9">
        <w:t xml:space="preserve">Employers: Offer </w:t>
      </w:r>
      <w:r w:rsidRPr="00A3379B">
        <w:t>clear</w:t>
      </w:r>
      <w:r w:rsidRPr="005B4AB9">
        <w:t xml:space="preserve"> training and supervision, flexible job design, and opportunities for growth.</w:t>
      </w:r>
    </w:p>
    <w:p w14:paraId="52E655BD" w14:textId="77777777" w:rsidR="00992F2F" w:rsidRDefault="00992F2F" w:rsidP="00E03EC5">
      <w:pPr>
        <w:pStyle w:val="ListBullet"/>
      </w:pPr>
      <w:r w:rsidRPr="005B4AB9">
        <w:t xml:space="preserve">Policymakers and </w:t>
      </w:r>
      <w:r w:rsidRPr="00A3379B">
        <w:t>funders</w:t>
      </w:r>
      <w:r w:rsidRPr="005B4AB9">
        <w:t>: Fund long</w:t>
      </w:r>
      <w:r>
        <w:t>-</w:t>
      </w:r>
      <w:r w:rsidRPr="005B4AB9">
        <w:t>term outcomes, support flexible service delivery, and invest in workforce capability and coordination</w:t>
      </w:r>
      <w:r>
        <w:t>.</w:t>
      </w:r>
    </w:p>
    <w:p w14:paraId="697426D3" w14:textId="77777777" w:rsidR="00992F2F" w:rsidRPr="00FB29E0" w:rsidRDefault="00992F2F" w:rsidP="00992F2F">
      <w:r>
        <w:t>Helping more Australians with intellectual disability into meaningful work is achievable. The evidence is clear – what’s needed now is action. By working together, we can build inclusive workplaces that reflect the strengths and diversity of our communities.</w:t>
      </w:r>
    </w:p>
    <w:p w14:paraId="28024D76" w14:textId="77777777" w:rsidR="00992F2F" w:rsidRDefault="00992F2F" w:rsidP="00992F2F">
      <w:pPr>
        <w:sectPr w:rsidR="00992F2F" w:rsidSect="00992F2F">
          <w:pgSz w:w="11906" w:h="16838" w:code="9"/>
          <w:pgMar w:top="1134" w:right="1134" w:bottom="1134" w:left="1134" w:header="454" w:footer="0" w:gutter="0"/>
          <w:cols w:space="708"/>
          <w:docGrid w:linePitch="360"/>
        </w:sectPr>
      </w:pPr>
    </w:p>
    <w:p w14:paraId="7B62756A" w14:textId="77777777" w:rsidR="00992F2F" w:rsidRDefault="00992F2F" w:rsidP="00992F2F">
      <w:pPr>
        <w:pStyle w:val="Heading1"/>
      </w:pPr>
      <w:bookmarkStart w:id="45" w:name="_Toc231482889"/>
      <w:bookmarkStart w:id="46" w:name="_Toc231484075"/>
      <w:r>
        <w:lastRenderedPageBreak/>
        <w:t>References</w:t>
      </w:r>
      <w:bookmarkEnd w:id="45"/>
      <w:bookmarkEnd w:id="46"/>
    </w:p>
    <w:p w14:paraId="0B3F63A4" w14:textId="0A4EFCF7" w:rsidR="00992F2F" w:rsidRPr="003D22B0" w:rsidRDefault="00992F2F" w:rsidP="00992F2F">
      <w:pPr>
        <w:pStyle w:val="EndNoteBibliography"/>
        <w:spacing w:after="0"/>
        <w:ind w:left="720" w:hanging="720"/>
        <w:rPr>
          <w:rStyle w:val="Hyperlink"/>
        </w:rPr>
      </w:pPr>
      <w:r w:rsidRPr="000B4B01">
        <w:rPr>
          <w:noProof/>
        </w:rPr>
        <w:t xml:space="preserve">Alexander, J., Gendera, S., Robinson, S., Fisher, K. R., &amp; Howe, K. (2024). On-the-job training supports for people with intellectual disability employed in aged care. </w:t>
      </w:r>
      <w:r w:rsidRPr="000B4B01">
        <w:rPr>
          <w:i/>
          <w:noProof/>
        </w:rPr>
        <w:t>Journal of Intellectual &amp; Developmental Disability</w:t>
      </w:r>
      <w:r w:rsidRPr="000B4B01">
        <w:rPr>
          <w:noProof/>
        </w:rPr>
        <w:t>,</w:t>
      </w:r>
      <w:r w:rsidRPr="000B4B01">
        <w:rPr>
          <w:i/>
          <w:noProof/>
        </w:rPr>
        <w:t xml:space="preserve"> 49</w:t>
      </w:r>
      <w:r w:rsidRPr="000B4B01">
        <w:rPr>
          <w:noProof/>
        </w:rPr>
        <w:t xml:space="preserve">(2), 163-174. </w:t>
      </w:r>
      <w:r w:rsidR="00167399" w:rsidRPr="003D22B0">
        <w:rPr>
          <w:rStyle w:val="Hyperlink"/>
        </w:rPr>
        <w:t>https://doi.org/</w:t>
      </w:r>
      <w:r w:rsidRPr="003D22B0">
        <w:rPr>
          <w:rStyle w:val="Hyperlink"/>
        </w:rPr>
        <w:t xml:space="preserve">10.3109/13668250.2023.2256075 </w:t>
      </w:r>
    </w:p>
    <w:p w14:paraId="62B4503E" w14:textId="0197E4F4" w:rsidR="00DF1293" w:rsidRPr="000B4B01" w:rsidRDefault="00DF1293" w:rsidP="00992F2F">
      <w:pPr>
        <w:pStyle w:val="EndNoteBibliography"/>
        <w:spacing w:after="0"/>
        <w:ind w:left="720" w:hanging="720"/>
        <w:rPr>
          <w:noProof/>
        </w:rPr>
      </w:pPr>
      <w:r w:rsidRPr="00DF1293">
        <w:rPr>
          <w:noProof/>
        </w:rPr>
        <w:t>Alexander, J., &amp; Zhang, R. Y. A. (Flinders University). (2026). Employment support for people with intellectual disability: what works and how to implement it in Australia. Technical report. Centre for Inclusive Employment</w:t>
      </w:r>
      <w:r>
        <w:rPr>
          <w:noProof/>
        </w:rPr>
        <w:t>.</w:t>
      </w:r>
    </w:p>
    <w:p w14:paraId="19DE2EEC" w14:textId="77777777" w:rsidR="00992F2F" w:rsidRPr="000B4B01" w:rsidRDefault="00992F2F" w:rsidP="00992F2F">
      <w:pPr>
        <w:pStyle w:val="EndNoteBibliography"/>
        <w:spacing w:after="0"/>
        <w:ind w:left="720" w:hanging="720"/>
        <w:rPr>
          <w:noProof/>
        </w:rPr>
      </w:pPr>
      <w:r w:rsidRPr="000B4B01">
        <w:rPr>
          <w:noProof/>
        </w:rPr>
        <w:t xml:space="preserve">Australian Institute of Health and Welfare. (2024). </w:t>
      </w:r>
      <w:r w:rsidRPr="000B4B01">
        <w:rPr>
          <w:i/>
          <w:noProof/>
        </w:rPr>
        <w:t>People with disability in Australia</w:t>
      </w:r>
      <w:r w:rsidRPr="000B4B01">
        <w:rPr>
          <w:noProof/>
        </w:rPr>
        <w:t xml:space="preserve">. </w:t>
      </w:r>
      <w:r w:rsidRPr="003D22B0">
        <w:rPr>
          <w:rStyle w:val="Hyperlink"/>
        </w:rPr>
        <w:t>https://www.aihw.gov.au/reports/disability/people-with-disability-in-australia/contents/about</w:t>
      </w:r>
    </w:p>
    <w:p w14:paraId="7BBACAE1" w14:textId="4716942E" w:rsidR="00992F2F" w:rsidRPr="000B4B01" w:rsidRDefault="00992F2F" w:rsidP="00992F2F">
      <w:pPr>
        <w:pStyle w:val="EndNoteBibliography"/>
        <w:spacing w:after="0"/>
        <w:ind w:left="720" w:hanging="720"/>
        <w:rPr>
          <w:noProof/>
        </w:rPr>
      </w:pPr>
      <w:r w:rsidRPr="000B4B01">
        <w:rPr>
          <w:noProof/>
        </w:rPr>
        <w:t xml:space="preserve">Bennett, R., &amp; Vijaygopal, R. (2025). Employment situation and the formation of stigmatising attitudes towards people with intellectual disabilities. </w:t>
      </w:r>
      <w:r w:rsidRPr="000B4B01">
        <w:rPr>
          <w:i/>
          <w:noProof/>
        </w:rPr>
        <w:t>Journal of Intellectual Disabilities</w:t>
      </w:r>
      <w:r w:rsidRPr="000B4B01">
        <w:rPr>
          <w:noProof/>
        </w:rPr>
        <w:t xml:space="preserve">, 17446295251319386. </w:t>
      </w:r>
      <w:r w:rsidR="00167399" w:rsidRPr="003D22B0">
        <w:rPr>
          <w:rStyle w:val="Hyperlink"/>
        </w:rPr>
        <w:t>https://doi.org/</w:t>
      </w:r>
      <w:r w:rsidRPr="003D22B0">
        <w:rPr>
          <w:rStyle w:val="Hyperlink"/>
        </w:rPr>
        <w:t>10.1177/17446295251319386</w:t>
      </w:r>
      <w:r w:rsidRPr="000B4B01">
        <w:rPr>
          <w:noProof/>
        </w:rPr>
        <w:t xml:space="preserve"> </w:t>
      </w:r>
    </w:p>
    <w:p w14:paraId="48060DF4" w14:textId="77777777" w:rsidR="00992F2F" w:rsidRPr="003D22B0" w:rsidRDefault="00992F2F" w:rsidP="00992F2F">
      <w:pPr>
        <w:pStyle w:val="EndNoteBibliography"/>
        <w:spacing w:after="0"/>
        <w:ind w:left="720" w:hanging="720"/>
        <w:rPr>
          <w:rStyle w:val="Hyperlink"/>
        </w:rPr>
      </w:pPr>
      <w:r w:rsidRPr="000B4B01">
        <w:rPr>
          <w:noProof/>
        </w:rPr>
        <w:t xml:space="preserve">British Association for Supported Employment. (2021a). </w:t>
      </w:r>
      <w:r w:rsidRPr="000B4B01">
        <w:rPr>
          <w:i/>
          <w:noProof/>
        </w:rPr>
        <w:t>About Supported Employment</w:t>
      </w:r>
      <w:r w:rsidRPr="000B4B01">
        <w:rPr>
          <w:noProof/>
        </w:rPr>
        <w:t xml:space="preserve">. </w:t>
      </w:r>
      <w:r w:rsidRPr="003D22B0">
        <w:rPr>
          <w:rStyle w:val="Hyperlink"/>
        </w:rPr>
        <w:t>https://www.base-uk.org/page/about-supported-employment</w:t>
      </w:r>
    </w:p>
    <w:p w14:paraId="2B5218FE" w14:textId="77777777" w:rsidR="00992F2F" w:rsidRPr="003D22B0" w:rsidRDefault="00992F2F" w:rsidP="00992F2F">
      <w:pPr>
        <w:pStyle w:val="EndNoteBibliography"/>
        <w:spacing w:after="0"/>
        <w:ind w:left="720" w:hanging="720"/>
        <w:rPr>
          <w:rStyle w:val="Hyperlink"/>
        </w:rPr>
      </w:pPr>
      <w:r w:rsidRPr="000B4B01">
        <w:rPr>
          <w:noProof/>
        </w:rPr>
        <w:t xml:space="preserve">British Association for Supported Employment. (2021b). </w:t>
      </w:r>
      <w:r w:rsidRPr="000B4B01">
        <w:rPr>
          <w:i/>
          <w:noProof/>
        </w:rPr>
        <w:t>Quality in Supported Employment</w:t>
      </w:r>
      <w:r w:rsidRPr="000B4B01">
        <w:rPr>
          <w:noProof/>
        </w:rPr>
        <w:t xml:space="preserve">. </w:t>
      </w:r>
      <w:r w:rsidRPr="003D22B0">
        <w:rPr>
          <w:rStyle w:val="Hyperlink"/>
        </w:rPr>
        <w:t>https://www.base-uk.org/page/Quality-in-Supported-Employment</w:t>
      </w:r>
    </w:p>
    <w:p w14:paraId="07958977" w14:textId="46525A79" w:rsidR="00992F2F" w:rsidRPr="000B4B01" w:rsidRDefault="00992F2F" w:rsidP="00992F2F">
      <w:pPr>
        <w:pStyle w:val="EndNoteBibliography"/>
        <w:spacing w:after="0"/>
        <w:ind w:left="720" w:hanging="720"/>
        <w:rPr>
          <w:noProof/>
        </w:rPr>
      </w:pPr>
      <w:r w:rsidRPr="000B4B01">
        <w:rPr>
          <w:noProof/>
        </w:rPr>
        <w:t xml:space="preserve">Butterworth, J., Migliore, A., Nye-Lengerman, K., Lyons, O., Gunty, A., Eastman, J., &amp; Foos, P. (2020). Using data-enabled performance feedback and guidance to assist employment consultants in their work with job seekers: An experimental study. </w:t>
      </w:r>
      <w:r w:rsidRPr="000B4B01">
        <w:rPr>
          <w:i/>
          <w:noProof/>
        </w:rPr>
        <w:t>Journal of Vocational Rehabilitation</w:t>
      </w:r>
      <w:r w:rsidRPr="000B4B01">
        <w:rPr>
          <w:noProof/>
        </w:rPr>
        <w:t>,</w:t>
      </w:r>
      <w:r w:rsidRPr="000B4B01">
        <w:rPr>
          <w:i/>
          <w:noProof/>
        </w:rPr>
        <w:t xml:space="preserve"> 53</w:t>
      </w:r>
      <w:r w:rsidRPr="000B4B01">
        <w:rPr>
          <w:noProof/>
        </w:rPr>
        <w:t xml:space="preserve">(2), 189-203. </w:t>
      </w:r>
      <w:r w:rsidR="00167399" w:rsidRPr="003D22B0">
        <w:rPr>
          <w:rStyle w:val="Hyperlink"/>
        </w:rPr>
        <w:t>https://doi.org/</w:t>
      </w:r>
      <w:r w:rsidRPr="003D22B0">
        <w:rPr>
          <w:rStyle w:val="Hyperlink"/>
        </w:rPr>
        <w:t>10.3233/jvr-201096</w:t>
      </w:r>
      <w:r w:rsidRPr="000B4B01">
        <w:rPr>
          <w:noProof/>
        </w:rPr>
        <w:t xml:space="preserve"> </w:t>
      </w:r>
    </w:p>
    <w:p w14:paraId="0EC74EC2" w14:textId="39530B10" w:rsidR="00992F2F" w:rsidRPr="000B4B01" w:rsidRDefault="00992F2F" w:rsidP="00992F2F">
      <w:pPr>
        <w:pStyle w:val="EndNoteBibliography"/>
        <w:spacing w:after="0"/>
        <w:ind w:left="720" w:hanging="720"/>
        <w:rPr>
          <w:noProof/>
        </w:rPr>
      </w:pPr>
      <w:r w:rsidRPr="000B4B01">
        <w:rPr>
          <w:noProof/>
        </w:rPr>
        <w:t xml:space="preserve">Carlson, S. R., Morningstar, M. E., &amp; Munandar, V. (2020). Workplace supports for employees with intellectual disability: A systematic review of the intervention literature. </w:t>
      </w:r>
      <w:r w:rsidRPr="000B4B01">
        <w:rPr>
          <w:i/>
          <w:noProof/>
        </w:rPr>
        <w:t>Journal of Vocational Rehabilitation</w:t>
      </w:r>
      <w:r w:rsidRPr="000B4B01">
        <w:rPr>
          <w:noProof/>
        </w:rPr>
        <w:t>,</w:t>
      </w:r>
      <w:r w:rsidRPr="000B4B01">
        <w:rPr>
          <w:i/>
          <w:noProof/>
        </w:rPr>
        <w:t xml:space="preserve"> 52</w:t>
      </w:r>
      <w:r w:rsidRPr="000B4B01">
        <w:rPr>
          <w:noProof/>
        </w:rPr>
        <w:t xml:space="preserve">(3), 251-265. </w:t>
      </w:r>
      <w:r w:rsidR="00167399" w:rsidRPr="003D22B0">
        <w:rPr>
          <w:rStyle w:val="Hyperlink"/>
        </w:rPr>
        <w:t>https://doi.org/</w:t>
      </w:r>
      <w:r w:rsidRPr="003D22B0">
        <w:rPr>
          <w:rStyle w:val="Hyperlink"/>
        </w:rPr>
        <w:t>10.3233/jvr-201075</w:t>
      </w:r>
      <w:r w:rsidRPr="000B4B01">
        <w:rPr>
          <w:noProof/>
        </w:rPr>
        <w:t xml:space="preserve"> </w:t>
      </w:r>
    </w:p>
    <w:p w14:paraId="0F25289E" w14:textId="3AEBEC5D" w:rsidR="00992F2F" w:rsidRPr="000B4B01" w:rsidRDefault="00992F2F" w:rsidP="00992F2F">
      <w:pPr>
        <w:pStyle w:val="EndNoteBibliography"/>
        <w:spacing w:after="0"/>
        <w:ind w:left="720" w:hanging="720"/>
        <w:rPr>
          <w:noProof/>
        </w:rPr>
      </w:pPr>
      <w:r w:rsidRPr="000B4B01">
        <w:rPr>
          <w:noProof/>
        </w:rPr>
        <w:t xml:space="preserve">Carter, E. W., Austin, D., &amp; Trainor, A. A. (2012). Predictors of postschool employment outcomes for young adults with severe disabilities. </w:t>
      </w:r>
      <w:r w:rsidRPr="000B4B01">
        <w:rPr>
          <w:i/>
          <w:noProof/>
        </w:rPr>
        <w:t>Journal of disability policy studies</w:t>
      </w:r>
      <w:r w:rsidRPr="000B4B01">
        <w:rPr>
          <w:noProof/>
        </w:rPr>
        <w:t>,</w:t>
      </w:r>
      <w:r w:rsidRPr="000B4B01">
        <w:rPr>
          <w:i/>
          <w:noProof/>
        </w:rPr>
        <w:t xml:space="preserve"> 23</w:t>
      </w:r>
      <w:r w:rsidRPr="000B4B01">
        <w:rPr>
          <w:noProof/>
        </w:rPr>
        <w:t xml:space="preserve">(1), 50-63. </w:t>
      </w:r>
      <w:r w:rsidR="00167399" w:rsidRPr="003D22B0">
        <w:rPr>
          <w:rStyle w:val="Hyperlink"/>
        </w:rPr>
        <w:t>https://doi.org/</w:t>
      </w:r>
      <w:r w:rsidRPr="003D22B0">
        <w:rPr>
          <w:rStyle w:val="Hyperlink"/>
        </w:rPr>
        <w:t>10.1177/1044207311414680</w:t>
      </w:r>
      <w:r w:rsidRPr="000B4B01">
        <w:rPr>
          <w:noProof/>
        </w:rPr>
        <w:t xml:space="preserve"> </w:t>
      </w:r>
    </w:p>
    <w:p w14:paraId="1F93FB75" w14:textId="7281790B" w:rsidR="00992F2F" w:rsidRPr="003D22B0" w:rsidRDefault="00992F2F" w:rsidP="00992F2F">
      <w:pPr>
        <w:pStyle w:val="EndNoteBibliography"/>
        <w:spacing w:after="0"/>
        <w:ind w:left="720" w:hanging="720"/>
        <w:rPr>
          <w:rStyle w:val="Hyperlink"/>
        </w:rPr>
      </w:pPr>
      <w:r w:rsidRPr="000B4B01">
        <w:rPr>
          <w:noProof/>
        </w:rPr>
        <w:t xml:space="preserve">Daviso, A. W., Baer, R. M., Flexer, R. W., &amp; Meindl, R. (2016). Career and technical education, work study, &amp; school supervised work: How do they impact employment for students with disabilities? </w:t>
      </w:r>
      <w:r w:rsidRPr="000B4B01">
        <w:rPr>
          <w:i/>
          <w:noProof/>
        </w:rPr>
        <w:t>Journal of Applied Rehabilitation Counseling</w:t>
      </w:r>
      <w:r w:rsidRPr="000B4B01">
        <w:rPr>
          <w:noProof/>
        </w:rPr>
        <w:t>,</w:t>
      </w:r>
      <w:r w:rsidRPr="000B4B01">
        <w:rPr>
          <w:i/>
          <w:noProof/>
        </w:rPr>
        <w:t xml:space="preserve"> 47</w:t>
      </w:r>
      <w:r w:rsidRPr="000B4B01">
        <w:rPr>
          <w:noProof/>
        </w:rPr>
        <w:t xml:space="preserve">(2), 10. </w:t>
      </w:r>
      <w:r w:rsidR="00167399" w:rsidRPr="003D22B0">
        <w:rPr>
          <w:rStyle w:val="Hyperlink"/>
        </w:rPr>
        <w:t>https://doi.org/</w:t>
      </w:r>
      <w:r w:rsidRPr="003D22B0">
        <w:rPr>
          <w:rStyle w:val="Hyperlink"/>
        </w:rPr>
        <w:t xml:space="preserve">10.1891/0047-2220.47.2.10 </w:t>
      </w:r>
    </w:p>
    <w:p w14:paraId="0B228AFA" w14:textId="604CED9B" w:rsidR="00992F2F" w:rsidRPr="000B4B01" w:rsidRDefault="00992F2F" w:rsidP="00992F2F">
      <w:pPr>
        <w:pStyle w:val="EndNoteBibliography"/>
        <w:spacing w:after="0"/>
        <w:ind w:left="720" w:hanging="720"/>
        <w:rPr>
          <w:noProof/>
        </w:rPr>
      </w:pPr>
      <w:r w:rsidRPr="000B4B01">
        <w:rPr>
          <w:noProof/>
        </w:rPr>
        <w:t xml:space="preserve">Dean, E. E., Burke, K. M., Shogren, K. A., &amp; Wehmeyer, M. L. (2017). Promoting self-determination and integrated employment through the self-determined career development model. </w:t>
      </w:r>
      <w:r w:rsidRPr="000B4B01">
        <w:rPr>
          <w:i/>
          <w:noProof/>
        </w:rPr>
        <w:t>Advances in Neurodevelopmental Disorders</w:t>
      </w:r>
      <w:r w:rsidRPr="000B4B01">
        <w:rPr>
          <w:noProof/>
        </w:rPr>
        <w:t>,</w:t>
      </w:r>
      <w:r w:rsidRPr="000B4B01">
        <w:rPr>
          <w:i/>
          <w:noProof/>
        </w:rPr>
        <w:t xml:space="preserve"> </w:t>
      </w:r>
      <w:r w:rsidRPr="000B4B01">
        <w:rPr>
          <w:i/>
          <w:noProof/>
        </w:rPr>
        <w:lastRenderedPageBreak/>
        <w:t>1</w:t>
      </w:r>
      <w:r w:rsidRPr="000B4B01">
        <w:rPr>
          <w:noProof/>
        </w:rPr>
        <w:t xml:space="preserve">(2), 55-62. </w:t>
      </w:r>
      <w:r w:rsidR="00167399" w:rsidRPr="003D22B0">
        <w:rPr>
          <w:rStyle w:val="Hyperlink"/>
        </w:rPr>
        <w:t>https://doi.org/</w:t>
      </w:r>
      <w:r w:rsidRPr="003D22B0">
        <w:rPr>
          <w:rStyle w:val="Hyperlink"/>
        </w:rPr>
        <w:t>10.1007/S41252-017-0011-Y</w:t>
      </w:r>
      <w:r w:rsidRPr="000B4B01">
        <w:rPr>
          <w:noProof/>
        </w:rPr>
        <w:t xml:space="preserve"> </w:t>
      </w:r>
    </w:p>
    <w:p w14:paraId="473A59A2" w14:textId="77777777" w:rsidR="00992F2F" w:rsidRPr="000B4B01" w:rsidRDefault="00992F2F" w:rsidP="00992F2F">
      <w:pPr>
        <w:pStyle w:val="EndNoteBibliography"/>
        <w:spacing w:after="0"/>
        <w:ind w:left="720" w:hanging="720"/>
        <w:rPr>
          <w:noProof/>
        </w:rPr>
      </w:pPr>
      <w:r w:rsidRPr="000B4B01">
        <w:rPr>
          <w:noProof/>
        </w:rPr>
        <w:t xml:space="preserve">Department of Health, Disability and Ageing. (2025). </w:t>
      </w:r>
      <w:r w:rsidRPr="000B4B01">
        <w:rPr>
          <w:i/>
          <w:noProof/>
        </w:rPr>
        <w:t xml:space="preserve">Disability Royal Commission progress report 2025: Recommendation 7.32 – End segregated employment by 2034 </w:t>
      </w:r>
      <w:r w:rsidRPr="003D22B0">
        <w:rPr>
          <w:rStyle w:val="Hyperlink"/>
        </w:rPr>
        <w:t>https://www.health.gov.au/resources/publications/disability-royal-commission-progress-report-2025/volume-7-inclusive-education-employment-and-housing/recommendation-732-end-segregated-employment-by-2034</w:t>
      </w:r>
    </w:p>
    <w:p w14:paraId="248D7A43" w14:textId="6222177B" w:rsidR="00992F2F" w:rsidRPr="003D22B0" w:rsidRDefault="00992F2F" w:rsidP="00992F2F">
      <w:pPr>
        <w:pStyle w:val="EndNoteBibliography"/>
        <w:spacing w:after="0"/>
        <w:ind w:left="720" w:hanging="720"/>
        <w:rPr>
          <w:rStyle w:val="Hyperlink"/>
        </w:rPr>
      </w:pPr>
      <w:r w:rsidRPr="000B4B01">
        <w:rPr>
          <w:noProof/>
        </w:rPr>
        <w:t xml:space="preserve">Department of Social Services. (2024). Commonwealth, state and territory supported employment plan: 2024 update.  </w:t>
      </w:r>
      <w:r w:rsidRPr="003D22B0">
        <w:rPr>
          <w:rStyle w:val="Hyperlink"/>
        </w:rPr>
        <w:t xml:space="preserve">https://www.dss.gov.au/system/files/documents/2024-12/commonwealth-state-and-territory-supported-employment-plan_0.pdf </w:t>
      </w:r>
    </w:p>
    <w:p w14:paraId="62983115" w14:textId="77777777" w:rsidR="00992F2F" w:rsidRPr="00D80F1C" w:rsidRDefault="00992F2F" w:rsidP="00992F2F">
      <w:pPr>
        <w:pStyle w:val="EndNoteBibliography"/>
        <w:spacing w:after="0"/>
        <w:ind w:left="720" w:hanging="720"/>
        <w:rPr>
          <w:rStyle w:val="Hyperlink"/>
        </w:rPr>
      </w:pPr>
      <w:r w:rsidRPr="000B4B01">
        <w:rPr>
          <w:noProof/>
        </w:rPr>
        <w:t xml:space="preserve">Department of Social Services. (2025). </w:t>
      </w:r>
      <w:r w:rsidRPr="000B4B01">
        <w:rPr>
          <w:i/>
          <w:noProof/>
        </w:rPr>
        <w:t>Inclusive Employment Australia</w:t>
      </w:r>
      <w:r w:rsidRPr="000B4B01">
        <w:rPr>
          <w:noProof/>
        </w:rPr>
        <w:t xml:space="preserve">. </w:t>
      </w:r>
      <w:r w:rsidRPr="00D80F1C">
        <w:rPr>
          <w:rStyle w:val="Hyperlink"/>
        </w:rPr>
        <w:t>https://www.dss.gov.au/inclusive-employment-australia</w:t>
      </w:r>
    </w:p>
    <w:p w14:paraId="039FDD2E" w14:textId="0C5C9E4A" w:rsidR="00992F2F" w:rsidRPr="000B4B01" w:rsidRDefault="00992F2F" w:rsidP="00992F2F">
      <w:pPr>
        <w:pStyle w:val="EndNoteBibliography"/>
        <w:spacing w:after="0"/>
        <w:ind w:left="720" w:hanging="720"/>
        <w:rPr>
          <w:noProof/>
        </w:rPr>
      </w:pPr>
      <w:r w:rsidRPr="000B4B01">
        <w:rPr>
          <w:noProof/>
        </w:rPr>
        <w:t xml:space="preserve">Enticott, A., &amp; Dew, A. (2026). A systematic review of the characteristics of programs and services resulting in competitive employment outcomes for young people with an intellectual disability. </w:t>
      </w:r>
      <w:r w:rsidRPr="000B4B01">
        <w:rPr>
          <w:i/>
          <w:noProof/>
        </w:rPr>
        <w:t>Journal of Intellectual &amp; Developmental Disability</w:t>
      </w:r>
      <w:r w:rsidRPr="000B4B01">
        <w:rPr>
          <w:noProof/>
        </w:rPr>
        <w:t>,</w:t>
      </w:r>
      <w:r w:rsidRPr="000B4B01">
        <w:rPr>
          <w:i/>
          <w:noProof/>
        </w:rPr>
        <w:t xml:space="preserve"> 51</w:t>
      </w:r>
      <w:r w:rsidRPr="000B4B01">
        <w:rPr>
          <w:noProof/>
        </w:rPr>
        <w:t xml:space="preserve">(1), 27-38. </w:t>
      </w:r>
      <w:r w:rsidR="00167399" w:rsidRPr="00D80F1C">
        <w:rPr>
          <w:rStyle w:val="Hyperlink"/>
        </w:rPr>
        <w:t>https://doi.org/</w:t>
      </w:r>
      <w:r w:rsidRPr="00D80F1C">
        <w:rPr>
          <w:rStyle w:val="Hyperlink"/>
        </w:rPr>
        <w:t>10.3109/13668250.2025.2499674</w:t>
      </w:r>
      <w:r w:rsidRPr="000B4B01">
        <w:rPr>
          <w:noProof/>
        </w:rPr>
        <w:t xml:space="preserve"> </w:t>
      </w:r>
    </w:p>
    <w:p w14:paraId="26F4EC6E" w14:textId="74ED817F" w:rsidR="00992F2F" w:rsidRPr="00D80F1C" w:rsidRDefault="00992F2F" w:rsidP="00992F2F">
      <w:pPr>
        <w:pStyle w:val="EndNoteBibliography"/>
        <w:spacing w:after="0"/>
        <w:ind w:left="720" w:hanging="720"/>
        <w:rPr>
          <w:rStyle w:val="Hyperlink"/>
        </w:rPr>
      </w:pPr>
      <w:r w:rsidRPr="000B4B01">
        <w:rPr>
          <w:noProof/>
        </w:rPr>
        <w:t xml:space="preserve">Gendera, S., Alexander, J., Burton, J., Fisher, K. R., &amp; Robinson, S. (2025). People With Disability Influencing Sustained Improvements to Employment. </w:t>
      </w:r>
      <w:r w:rsidRPr="000B4B01">
        <w:rPr>
          <w:i/>
          <w:noProof/>
        </w:rPr>
        <w:t>Social Policy &amp; Administration</w:t>
      </w:r>
      <w:r w:rsidRPr="000B4B01">
        <w:rPr>
          <w:noProof/>
        </w:rPr>
        <w:t xml:space="preserve">. </w:t>
      </w:r>
      <w:r w:rsidR="00167399" w:rsidRPr="00D80F1C">
        <w:rPr>
          <w:rStyle w:val="Hyperlink"/>
        </w:rPr>
        <w:t>https://doi.org/</w:t>
      </w:r>
      <w:r w:rsidRPr="00D80F1C">
        <w:rPr>
          <w:rStyle w:val="Hyperlink"/>
        </w:rPr>
        <w:t xml:space="preserve">10.1111/spol.70022 </w:t>
      </w:r>
    </w:p>
    <w:p w14:paraId="1D1EECB7" w14:textId="18851BBE" w:rsidR="00992F2F" w:rsidRPr="000B4B01" w:rsidRDefault="00992F2F" w:rsidP="00992F2F">
      <w:pPr>
        <w:pStyle w:val="EndNoteBibliography"/>
        <w:spacing w:after="0"/>
        <w:ind w:left="720" w:hanging="720"/>
        <w:rPr>
          <w:noProof/>
        </w:rPr>
      </w:pPr>
      <w:r w:rsidRPr="000B4B01">
        <w:rPr>
          <w:noProof/>
        </w:rPr>
        <w:t xml:space="preserve">Gilson, C. B., Carter, E. W., Bumble, J. L., &amp; McMillan, E. D. (2018). Family perspectives on integrated employment for adults with intellectual and developmental disabilities. </w:t>
      </w:r>
      <w:r w:rsidRPr="000B4B01">
        <w:rPr>
          <w:i/>
          <w:noProof/>
        </w:rPr>
        <w:t>Research and Practice for Persons with Severe Disabilities</w:t>
      </w:r>
      <w:r w:rsidRPr="000B4B01">
        <w:rPr>
          <w:noProof/>
        </w:rPr>
        <w:t>,</w:t>
      </w:r>
      <w:r w:rsidRPr="000B4B01">
        <w:rPr>
          <w:i/>
          <w:noProof/>
        </w:rPr>
        <w:t xml:space="preserve"> 43</w:t>
      </w:r>
      <w:r w:rsidRPr="000B4B01">
        <w:rPr>
          <w:noProof/>
        </w:rPr>
        <w:t xml:space="preserve">(1), 20-37. </w:t>
      </w:r>
      <w:r w:rsidR="00167399" w:rsidRPr="00D80F1C">
        <w:rPr>
          <w:rStyle w:val="Hyperlink"/>
        </w:rPr>
        <w:t>https://doi.org/</w:t>
      </w:r>
      <w:r w:rsidRPr="00D80F1C">
        <w:rPr>
          <w:rStyle w:val="Hyperlink"/>
        </w:rPr>
        <w:t>10.1177/1540796917751134</w:t>
      </w:r>
      <w:r w:rsidRPr="000B4B01">
        <w:rPr>
          <w:noProof/>
        </w:rPr>
        <w:t xml:space="preserve"> </w:t>
      </w:r>
    </w:p>
    <w:p w14:paraId="466BD729" w14:textId="426CB3E2" w:rsidR="00992F2F" w:rsidRPr="000B4B01" w:rsidRDefault="00992F2F" w:rsidP="00992F2F">
      <w:pPr>
        <w:pStyle w:val="EndNoteBibliography"/>
        <w:spacing w:after="0"/>
        <w:ind w:left="720" w:hanging="720"/>
        <w:rPr>
          <w:noProof/>
        </w:rPr>
      </w:pPr>
      <w:r w:rsidRPr="000B4B01">
        <w:rPr>
          <w:noProof/>
        </w:rPr>
        <w:t xml:space="preserve">Inge, K. J., Wehman, P., Avellone, L., Broda, M., &amp; McDonough, J. (2024). The impact of customized employment on the competitive integrated employment outcomes of transition age youth with intellectual and developmental disabilities: A randomized controlled trial study. </w:t>
      </w:r>
      <w:r w:rsidRPr="000B4B01">
        <w:rPr>
          <w:i/>
          <w:noProof/>
        </w:rPr>
        <w:t>Work</w:t>
      </w:r>
      <w:r w:rsidRPr="000B4B01">
        <w:rPr>
          <w:noProof/>
        </w:rPr>
        <w:t>,</w:t>
      </w:r>
      <w:r w:rsidRPr="000B4B01">
        <w:rPr>
          <w:i/>
          <w:noProof/>
        </w:rPr>
        <w:t xml:space="preserve"> 77</w:t>
      </w:r>
      <w:r w:rsidRPr="000B4B01">
        <w:rPr>
          <w:noProof/>
        </w:rPr>
        <w:t xml:space="preserve">(3), 721-729. </w:t>
      </w:r>
      <w:r w:rsidR="00167399" w:rsidRPr="00D80F1C">
        <w:rPr>
          <w:rStyle w:val="Hyperlink"/>
        </w:rPr>
        <w:t>https://doi.org/</w:t>
      </w:r>
      <w:r w:rsidRPr="00D80F1C">
        <w:rPr>
          <w:rStyle w:val="Hyperlink"/>
        </w:rPr>
        <w:t>10.3233/wor-246003</w:t>
      </w:r>
      <w:r w:rsidRPr="000B4B01">
        <w:rPr>
          <w:noProof/>
        </w:rPr>
        <w:t xml:space="preserve"> </w:t>
      </w:r>
    </w:p>
    <w:p w14:paraId="322A1FF4" w14:textId="60AD3FE2" w:rsidR="00992F2F" w:rsidRPr="000B4B01" w:rsidRDefault="00992F2F" w:rsidP="00992F2F">
      <w:pPr>
        <w:pStyle w:val="EndNoteBibliography"/>
        <w:spacing w:after="0"/>
        <w:ind w:left="720" w:hanging="720"/>
        <w:rPr>
          <w:noProof/>
        </w:rPr>
      </w:pPr>
      <w:r w:rsidRPr="000B4B01">
        <w:rPr>
          <w:noProof/>
        </w:rPr>
        <w:t xml:space="preserve">Iwanaga, K., Lee, D., Hamburg, J., Wu, J.-R., Chen, X., Rumrill, P., Wehman, P., Tansey, T. N., &amp; Chan, F. (2023). Effects of supported employment on the competitive integrated employment outcomes of transition age and young adults with intellectual disabilities: A non-experimental causal comparative study. </w:t>
      </w:r>
      <w:r w:rsidRPr="000B4B01">
        <w:rPr>
          <w:i/>
          <w:noProof/>
        </w:rPr>
        <w:t>Journal of Vocational Rehabilitation</w:t>
      </w:r>
      <w:r w:rsidRPr="000B4B01">
        <w:rPr>
          <w:noProof/>
        </w:rPr>
        <w:t>,</w:t>
      </w:r>
      <w:r w:rsidRPr="000B4B01">
        <w:rPr>
          <w:i/>
          <w:noProof/>
        </w:rPr>
        <w:t xml:space="preserve"> 58</w:t>
      </w:r>
      <w:r w:rsidRPr="000B4B01">
        <w:rPr>
          <w:noProof/>
        </w:rPr>
        <w:t xml:space="preserve">(1), 39-48. </w:t>
      </w:r>
      <w:r w:rsidR="00167399" w:rsidRPr="00D80F1C">
        <w:rPr>
          <w:rStyle w:val="Hyperlink"/>
        </w:rPr>
        <w:t>https://doi.org/</w:t>
      </w:r>
      <w:r w:rsidRPr="00D80F1C">
        <w:rPr>
          <w:rStyle w:val="Hyperlink"/>
        </w:rPr>
        <w:t>10.3233/JVR-221223</w:t>
      </w:r>
      <w:r w:rsidRPr="000B4B01">
        <w:rPr>
          <w:noProof/>
        </w:rPr>
        <w:t xml:space="preserve"> </w:t>
      </w:r>
    </w:p>
    <w:p w14:paraId="1518A83D" w14:textId="77777777" w:rsidR="00992F2F" w:rsidRPr="000B4B01" w:rsidRDefault="00992F2F" w:rsidP="00992F2F">
      <w:pPr>
        <w:pStyle w:val="EndNoteBibliography"/>
        <w:spacing w:after="0"/>
        <w:ind w:left="720" w:hanging="720"/>
        <w:rPr>
          <w:noProof/>
        </w:rPr>
      </w:pPr>
      <w:r w:rsidRPr="000B4B01">
        <w:rPr>
          <w:noProof/>
        </w:rPr>
        <w:t xml:space="preserve">Morash-Macneil, V., Johnson, F., &amp; Ryan, J. B. (2018). A systematic review of assistive technology for individuals with intellectual disability in the workplace. </w:t>
      </w:r>
      <w:r w:rsidRPr="000B4B01">
        <w:rPr>
          <w:i/>
          <w:noProof/>
        </w:rPr>
        <w:t>Journal of Special Education Technology</w:t>
      </w:r>
      <w:r w:rsidRPr="000B4B01">
        <w:rPr>
          <w:noProof/>
        </w:rPr>
        <w:t>,</w:t>
      </w:r>
      <w:r w:rsidRPr="000B4B01">
        <w:rPr>
          <w:i/>
          <w:noProof/>
        </w:rPr>
        <w:t xml:space="preserve"> 33</w:t>
      </w:r>
      <w:r w:rsidRPr="000B4B01">
        <w:rPr>
          <w:noProof/>
        </w:rPr>
        <w:t xml:space="preserve">(1), 15-26. </w:t>
      </w:r>
    </w:p>
    <w:p w14:paraId="6DFAE268" w14:textId="77777777" w:rsidR="00992F2F" w:rsidRPr="000B4B01" w:rsidRDefault="00992F2F" w:rsidP="00992F2F">
      <w:pPr>
        <w:pStyle w:val="EndNoteBibliography"/>
        <w:spacing w:after="0"/>
        <w:ind w:left="720" w:hanging="720"/>
        <w:rPr>
          <w:noProof/>
        </w:rPr>
      </w:pPr>
      <w:r w:rsidRPr="000B4B01">
        <w:rPr>
          <w:noProof/>
        </w:rPr>
        <w:t xml:space="preserve">National Disability Insurance Agency. (2024). </w:t>
      </w:r>
      <w:r w:rsidRPr="000B4B01">
        <w:rPr>
          <w:i/>
          <w:noProof/>
        </w:rPr>
        <w:t>Participant Employment Strategy</w:t>
      </w:r>
      <w:r w:rsidRPr="000B4B01">
        <w:rPr>
          <w:noProof/>
        </w:rPr>
        <w:t xml:space="preserve">. </w:t>
      </w:r>
      <w:r w:rsidRPr="00D80F1C">
        <w:rPr>
          <w:rStyle w:val="Hyperlink"/>
        </w:rPr>
        <w:t>https://www.ndis.gov.au/strategies/participant-employment-strategy</w:t>
      </w:r>
    </w:p>
    <w:p w14:paraId="4CCC9D1A" w14:textId="5C8E821A" w:rsidR="00992F2F" w:rsidRPr="000B4B01" w:rsidRDefault="00992F2F" w:rsidP="00992F2F">
      <w:pPr>
        <w:pStyle w:val="EndNoteBibliography"/>
        <w:spacing w:after="0"/>
        <w:ind w:left="720" w:hanging="720"/>
        <w:rPr>
          <w:noProof/>
        </w:rPr>
      </w:pPr>
      <w:r w:rsidRPr="000B4B01">
        <w:rPr>
          <w:noProof/>
        </w:rPr>
        <w:t xml:space="preserve">National Disability Services. (2020). Ticket to Work: A national youth disability </w:t>
      </w:r>
      <w:r w:rsidRPr="000B4B01">
        <w:rPr>
          <w:noProof/>
        </w:rPr>
        <w:lastRenderedPageBreak/>
        <w:t xml:space="preserve">employment initiative – Evaluation report.  </w:t>
      </w:r>
      <w:r w:rsidRPr="00D80F1C">
        <w:rPr>
          <w:rStyle w:val="Hyperlink"/>
        </w:rPr>
        <w:t>https://nced.org.au/media/download_resources/word/Ticket_to_Work_valuation_of_key_outcomes_2021_kZJsjSS.pdf</w:t>
      </w:r>
      <w:r w:rsidRPr="000B4B01">
        <w:rPr>
          <w:noProof/>
        </w:rPr>
        <w:t xml:space="preserve"> </w:t>
      </w:r>
    </w:p>
    <w:p w14:paraId="60B3C8E2" w14:textId="3C60EFC4" w:rsidR="00992F2F" w:rsidRPr="000B4B01" w:rsidRDefault="00992F2F" w:rsidP="00992F2F">
      <w:pPr>
        <w:pStyle w:val="EndNoteBibliography"/>
        <w:spacing w:after="0"/>
        <w:ind w:left="720" w:hanging="720"/>
        <w:rPr>
          <w:noProof/>
        </w:rPr>
      </w:pPr>
      <w:r w:rsidRPr="000B4B01">
        <w:rPr>
          <w:noProof/>
        </w:rPr>
        <w:t xml:space="preserve">Nevala, N., Pehkonen, I., Teittinen, A., Vesala, H. T., Pörtfors, P., &amp; Anttila, H. (2019). The effectiveness of rehabilitation interventions on the employment and functioning of people with intellectual disabilities: A systematic review. </w:t>
      </w:r>
      <w:r w:rsidRPr="000B4B01">
        <w:rPr>
          <w:i/>
          <w:noProof/>
        </w:rPr>
        <w:t>Journal of occupational rehabilitation</w:t>
      </w:r>
      <w:r w:rsidRPr="000B4B01">
        <w:rPr>
          <w:noProof/>
        </w:rPr>
        <w:t>,</w:t>
      </w:r>
      <w:r w:rsidRPr="000B4B01">
        <w:rPr>
          <w:i/>
          <w:noProof/>
        </w:rPr>
        <w:t xml:space="preserve"> 29</w:t>
      </w:r>
      <w:r w:rsidRPr="000B4B01">
        <w:rPr>
          <w:noProof/>
        </w:rPr>
        <w:t xml:space="preserve">(4), 773-802. </w:t>
      </w:r>
      <w:r w:rsidR="00167399" w:rsidRPr="00D80F1C">
        <w:rPr>
          <w:rStyle w:val="Hyperlink"/>
        </w:rPr>
        <w:t>https://doi.org/</w:t>
      </w:r>
      <w:r w:rsidRPr="00D80F1C">
        <w:rPr>
          <w:rStyle w:val="Hyperlink"/>
        </w:rPr>
        <w:t>10.1007/s10926-019-09837-2</w:t>
      </w:r>
      <w:r w:rsidRPr="000B4B01">
        <w:rPr>
          <w:noProof/>
        </w:rPr>
        <w:t xml:space="preserve"> </w:t>
      </w:r>
    </w:p>
    <w:p w14:paraId="6C2E6928" w14:textId="2408BCC5" w:rsidR="00992F2F" w:rsidRPr="00D80F1C" w:rsidRDefault="00992F2F" w:rsidP="00992F2F">
      <w:pPr>
        <w:pStyle w:val="EndNoteBibliography"/>
        <w:spacing w:after="0"/>
        <w:ind w:left="720" w:hanging="720"/>
        <w:rPr>
          <w:rStyle w:val="Hyperlink"/>
        </w:rPr>
      </w:pPr>
      <w:r w:rsidRPr="000B4B01">
        <w:rPr>
          <w:noProof/>
        </w:rPr>
        <w:t xml:space="preserve">Nord, D., Grossi, T., &amp; Andresen, J. (2020). Employment equity for people with IDD across the lifespan: The effects of state funding. </w:t>
      </w:r>
      <w:r w:rsidRPr="000B4B01">
        <w:rPr>
          <w:i/>
          <w:noProof/>
        </w:rPr>
        <w:t>Intellectual and Developmental Disabilities</w:t>
      </w:r>
      <w:r w:rsidRPr="000B4B01">
        <w:rPr>
          <w:noProof/>
        </w:rPr>
        <w:t>,</w:t>
      </w:r>
      <w:r w:rsidRPr="000B4B01">
        <w:rPr>
          <w:i/>
          <w:noProof/>
        </w:rPr>
        <w:t xml:space="preserve"> 58</w:t>
      </w:r>
      <w:r w:rsidRPr="000B4B01">
        <w:rPr>
          <w:noProof/>
        </w:rPr>
        <w:t xml:space="preserve">(4), 288-300. </w:t>
      </w:r>
      <w:r w:rsidR="003D22B0" w:rsidRPr="00D80F1C">
        <w:rPr>
          <w:rStyle w:val="Hyperlink"/>
        </w:rPr>
        <w:t>https://doi.org/</w:t>
      </w:r>
      <w:r w:rsidRPr="00D80F1C">
        <w:rPr>
          <w:rStyle w:val="Hyperlink"/>
        </w:rPr>
        <w:t xml:space="preserve">10.1352/1934-9556-58.4.288 </w:t>
      </w:r>
    </w:p>
    <w:p w14:paraId="4B850251" w14:textId="2DD3FAB1" w:rsidR="00992F2F" w:rsidRPr="000B4B01" w:rsidRDefault="00992F2F" w:rsidP="00992F2F">
      <w:pPr>
        <w:pStyle w:val="EndNoteBibliography"/>
        <w:spacing w:after="0"/>
        <w:ind w:left="720" w:hanging="720"/>
        <w:rPr>
          <w:noProof/>
        </w:rPr>
      </w:pPr>
      <w:r w:rsidRPr="000B4B01">
        <w:rPr>
          <w:noProof/>
        </w:rPr>
        <w:t xml:space="preserve">Park, J., &amp; Bouck, E. (2018). In-school service predictors of employment for individuals with intellectual disability. </w:t>
      </w:r>
      <w:r w:rsidRPr="000B4B01">
        <w:rPr>
          <w:i/>
          <w:noProof/>
        </w:rPr>
        <w:t>Research in developmental disabilities</w:t>
      </w:r>
      <w:r w:rsidRPr="000B4B01">
        <w:rPr>
          <w:noProof/>
        </w:rPr>
        <w:t>,</w:t>
      </w:r>
      <w:r w:rsidRPr="000B4B01">
        <w:rPr>
          <w:i/>
          <w:noProof/>
        </w:rPr>
        <w:t xml:space="preserve"> 77</w:t>
      </w:r>
      <w:r w:rsidRPr="000B4B01">
        <w:rPr>
          <w:noProof/>
        </w:rPr>
        <w:t xml:space="preserve">, 68-75. </w:t>
      </w:r>
      <w:r w:rsidR="00167399" w:rsidRPr="00D80F1C">
        <w:rPr>
          <w:rStyle w:val="Hyperlink"/>
        </w:rPr>
        <w:t>https://doi.org/</w:t>
      </w:r>
      <w:r w:rsidRPr="00D80F1C">
        <w:rPr>
          <w:rStyle w:val="Hyperlink"/>
        </w:rPr>
        <w:t>10.1016/j.ridd.2018.03.014</w:t>
      </w:r>
      <w:r w:rsidRPr="000B4B01">
        <w:rPr>
          <w:noProof/>
        </w:rPr>
        <w:t xml:space="preserve"> </w:t>
      </w:r>
    </w:p>
    <w:p w14:paraId="48B6AEB9" w14:textId="4FCFB5B3" w:rsidR="00992F2F" w:rsidRPr="00D80F1C" w:rsidRDefault="00992F2F" w:rsidP="00992F2F">
      <w:pPr>
        <w:pStyle w:val="EndNoteBibliography"/>
        <w:spacing w:after="0"/>
        <w:ind w:left="720" w:hanging="720"/>
        <w:rPr>
          <w:rStyle w:val="Hyperlink"/>
        </w:rPr>
      </w:pPr>
      <w:r w:rsidRPr="000B4B01">
        <w:rPr>
          <w:noProof/>
        </w:rPr>
        <w:t xml:space="preserve">Rashid, M., Hodgetts, S., &amp; Nicholas, D. (2017). Building employer capacity to support meaningful employment for persons with developmental disabilities: A grounded theory study of employment support perspectives. </w:t>
      </w:r>
      <w:r w:rsidRPr="000B4B01">
        <w:rPr>
          <w:i/>
          <w:noProof/>
        </w:rPr>
        <w:t>Journal of Autism and Developmental Disorders</w:t>
      </w:r>
      <w:r w:rsidRPr="000B4B01">
        <w:rPr>
          <w:noProof/>
        </w:rPr>
        <w:t>,</w:t>
      </w:r>
      <w:r w:rsidRPr="000B4B01">
        <w:rPr>
          <w:i/>
          <w:noProof/>
        </w:rPr>
        <w:t xml:space="preserve"> 47</w:t>
      </w:r>
      <w:r w:rsidRPr="000B4B01">
        <w:rPr>
          <w:noProof/>
        </w:rPr>
        <w:t xml:space="preserve">(11), 3510-3519. </w:t>
      </w:r>
      <w:r w:rsidR="00167399" w:rsidRPr="00D80F1C">
        <w:rPr>
          <w:rStyle w:val="Hyperlink"/>
        </w:rPr>
        <w:t>https://doi.org/</w:t>
      </w:r>
      <w:r w:rsidRPr="00D80F1C">
        <w:rPr>
          <w:rStyle w:val="Hyperlink"/>
        </w:rPr>
        <w:t xml:space="preserve">10.1007/s10803-017-3267-1 </w:t>
      </w:r>
    </w:p>
    <w:p w14:paraId="2359CC1F" w14:textId="6C149574" w:rsidR="00992F2F" w:rsidRPr="000B4B01" w:rsidRDefault="00992F2F" w:rsidP="00992F2F">
      <w:pPr>
        <w:pStyle w:val="EndNoteBibliography"/>
        <w:spacing w:after="0"/>
        <w:ind w:left="720" w:hanging="720"/>
        <w:rPr>
          <w:noProof/>
        </w:rPr>
      </w:pPr>
      <w:r w:rsidRPr="000B4B01">
        <w:rPr>
          <w:noProof/>
        </w:rPr>
        <w:t xml:space="preserve">Riesen, T., Morgan, R. L., &amp; Griffin, C. (2015). Customized employment: A review of the literature. </w:t>
      </w:r>
      <w:r w:rsidRPr="000B4B01">
        <w:rPr>
          <w:i/>
          <w:noProof/>
        </w:rPr>
        <w:t>Journal of Vocational Rehabilitation</w:t>
      </w:r>
      <w:r w:rsidRPr="000B4B01">
        <w:rPr>
          <w:noProof/>
        </w:rPr>
        <w:t>,</w:t>
      </w:r>
      <w:r w:rsidRPr="000B4B01">
        <w:rPr>
          <w:i/>
          <w:noProof/>
        </w:rPr>
        <w:t xml:space="preserve"> 43</w:t>
      </w:r>
      <w:r w:rsidRPr="000B4B01">
        <w:rPr>
          <w:noProof/>
        </w:rPr>
        <w:t xml:space="preserve">(3), 183-193. </w:t>
      </w:r>
      <w:r w:rsidR="00167399" w:rsidRPr="00D80F1C">
        <w:rPr>
          <w:rStyle w:val="Hyperlink"/>
        </w:rPr>
        <w:t>https://doi.org/</w:t>
      </w:r>
      <w:r w:rsidRPr="00D80F1C">
        <w:rPr>
          <w:rStyle w:val="Hyperlink"/>
        </w:rPr>
        <w:t>10.3233/JVR-150768</w:t>
      </w:r>
      <w:r w:rsidRPr="000B4B01">
        <w:rPr>
          <w:noProof/>
        </w:rPr>
        <w:t xml:space="preserve"> </w:t>
      </w:r>
    </w:p>
    <w:p w14:paraId="46F87DBB" w14:textId="77777777" w:rsidR="00992F2F" w:rsidRPr="000B4B01" w:rsidRDefault="00992F2F" w:rsidP="00992F2F">
      <w:pPr>
        <w:pStyle w:val="EndNoteBibliography"/>
        <w:spacing w:after="0"/>
        <w:ind w:left="720" w:hanging="720"/>
        <w:rPr>
          <w:noProof/>
        </w:rPr>
      </w:pPr>
      <w:r w:rsidRPr="000B4B01">
        <w:rPr>
          <w:noProof/>
        </w:rPr>
        <w:t xml:space="preserve">Services Australia. (2025). </w:t>
      </w:r>
      <w:r w:rsidRPr="000B4B01">
        <w:rPr>
          <w:i/>
          <w:noProof/>
        </w:rPr>
        <w:t>Working while you get DSP</w:t>
      </w:r>
      <w:r w:rsidRPr="000B4B01">
        <w:rPr>
          <w:noProof/>
        </w:rPr>
        <w:t xml:space="preserve">. </w:t>
      </w:r>
      <w:r w:rsidRPr="00D80F1C">
        <w:rPr>
          <w:rStyle w:val="Hyperlink"/>
        </w:rPr>
        <w:t>https://www.servicesaustralia.gov.au/working-while-you-get-disability-support-pension-dsp?context=22276</w:t>
      </w:r>
    </w:p>
    <w:p w14:paraId="45FC38D0" w14:textId="2DFF7991" w:rsidR="00992F2F" w:rsidRPr="000B4B01" w:rsidRDefault="00992F2F" w:rsidP="00992F2F">
      <w:pPr>
        <w:pStyle w:val="EndNoteBibliography"/>
        <w:spacing w:after="0"/>
        <w:ind w:left="720" w:hanging="720"/>
        <w:rPr>
          <w:noProof/>
        </w:rPr>
      </w:pPr>
      <w:r w:rsidRPr="000B4B01">
        <w:rPr>
          <w:noProof/>
        </w:rPr>
        <w:t xml:space="preserve">Sigstad, H. M. H., &amp; Garrels, V. (2023). Which success factors do young adults with mild intellectual disability highlight in their school-work transition? </w:t>
      </w:r>
      <w:r w:rsidRPr="000B4B01">
        <w:rPr>
          <w:i/>
          <w:noProof/>
        </w:rPr>
        <w:t>European Journal of Special Needs Education</w:t>
      </w:r>
      <w:r w:rsidRPr="000B4B01">
        <w:rPr>
          <w:noProof/>
        </w:rPr>
        <w:t>,</w:t>
      </w:r>
      <w:r w:rsidRPr="000B4B01">
        <w:rPr>
          <w:i/>
          <w:noProof/>
        </w:rPr>
        <w:t xml:space="preserve"> 38</w:t>
      </w:r>
      <w:r w:rsidRPr="000B4B01">
        <w:rPr>
          <w:noProof/>
        </w:rPr>
        <w:t xml:space="preserve">(4), 573-587. </w:t>
      </w:r>
      <w:r w:rsidR="00167399" w:rsidRPr="00D80F1C">
        <w:rPr>
          <w:rStyle w:val="Hyperlink"/>
        </w:rPr>
        <w:t>https://doi.org/</w:t>
      </w:r>
      <w:r w:rsidRPr="00D80F1C">
        <w:rPr>
          <w:rStyle w:val="Hyperlink"/>
        </w:rPr>
        <w:t>10.1080/08856257.2022.2148600</w:t>
      </w:r>
      <w:r w:rsidRPr="000B4B01">
        <w:rPr>
          <w:noProof/>
        </w:rPr>
        <w:t xml:space="preserve"> </w:t>
      </w:r>
    </w:p>
    <w:p w14:paraId="781C6125" w14:textId="16744295" w:rsidR="00992F2F" w:rsidRPr="00D80F1C" w:rsidRDefault="00992F2F" w:rsidP="00992F2F">
      <w:pPr>
        <w:pStyle w:val="EndNoteBibliography"/>
        <w:spacing w:after="0"/>
        <w:ind w:left="720" w:hanging="720"/>
        <w:rPr>
          <w:rStyle w:val="Hyperlink"/>
        </w:rPr>
      </w:pPr>
      <w:r w:rsidRPr="000B4B01">
        <w:rPr>
          <w:noProof/>
        </w:rPr>
        <w:t xml:space="preserve">Taubner, H., Tideman, M., &amp; Staland Nyman, C. (2022). Employment sustainability for people with intellectual disability: A systematic review. </w:t>
      </w:r>
      <w:r w:rsidRPr="000B4B01">
        <w:rPr>
          <w:i/>
          <w:noProof/>
        </w:rPr>
        <w:t>Journal of occupational rehabilitation</w:t>
      </w:r>
      <w:r w:rsidRPr="000B4B01">
        <w:rPr>
          <w:noProof/>
        </w:rPr>
        <w:t>,</w:t>
      </w:r>
      <w:r w:rsidRPr="000B4B01">
        <w:rPr>
          <w:i/>
          <w:noProof/>
        </w:rPr>
        <w:t xml:space="preserve"> 32</w:t>
      </w:r>
      <w:r w:rsidRPr="000B4B01">
        <w:rPr>
          <w:noProof/>
        </w:rPr>
        <w:t xml:space="preserve">(3), 353-364. </w:t>
      </w:r>
      <w:r w:rsidR="00167399" w:rsidRPr="00D80F1C">
        <w:rPr>
          <w:rStyle w:val="Hyperlink"/>
        </w:rPr>
        <w:t>https://doi.org/</w:t>
      </w:r>
      <w:r w:rsidRPr="00D80F1C">
        <w:rPr>
          <w:rStyle w:val="Hyperlink"/>
        </w:rPr>
        <w:t xml:space="preserve">10.1007/s10926-021-10020-9 </w:t>
      </w:r>
    </w:p>
    <w:p w14:paraId="73C7C39F" w14:textId="5D0EF2CF" w:rsidR="00992F2F" w:rsidRPr="000B4B01" w:rsidRDefault="00992F2F" w:rsidP="00992F2F">
      <w:pPr>
        <w:pStyle w:val="EndNoteBibliography"/>
        <w:spacing w:after="0"/>
        <w:ind w:left="720" w:hanging="720"/>
        <w:rPr>
          <w:noProof/>
        </w:rPr>
      </w:pPr>
      <w:r w:rsidRPr="000B4B01">
        <w:rPr>
          <w:noProof/>
        </w:rPr>
        <w:t xml:space="preserve">Taylor, J., Avellone, L., Brooke, V., Wehman, P., Inge, K., Schall, C., &amp; Iwanaga, K. (2022). The impact of competitive integrated employment on economic, psychological, and physical health outcomes for individuals with intellectual and developmental disabilities. </w:t>
      </w:r>
      <w:r w:rsidRPr="000B4B01">
        <w:rPr>
          <w:i/>
          <w:noProof/>
        </w:rPr>
        <w:t>Journal of Applied Research in Intellectual Disabilities</w:t>
      </w:r>
      <w:r w:rsidRPr="000B4B01">
        <w:rPr>
          <w:noProof/>
        </w:rPr>
        <w:t>,</w:t>
      </w:r>
      <w:r w:rsidRPr="000B4B01">
        <w:rPr>
          <w:i/>
          <w:noProof/>
        </w:rPr>
        <w:t xml:space="preserve"> 35</w:t>
      </w:r>
      <w:r w:rsidRPr="000B4B01">
        <w:rPr>
          <w:noProof/>
        </w:rPr>
        <w:t xml:space="preserve">(2), 448-459. </w:t>
      </w:r>
      <w:r w:rsidR="00167399" w:rsidRPr="00D80F1C">
        <w:rPr>
          <w:rStyle w:val="Hyperlink"/>
        </w:rPr>
        <w:t>https://doi.org/</w:t>
      </w:r>
      <w:r w:rsidRPr="00D80F1C">
        <w:rPr>
          <w:rStyle w:val="Hyperlink"/>
        </w:rPr>
        <w:t>10.1111/jar.12974</w:t>
      </w:r>
      <w:r w:rsidRPr="000B4B01">
        <w:rPr>
          <w:noProof/>
        </w:rPr>
        <w:t xml:space="preserve"> </w:t>
      </w:r>
    </w:p>
    <w:p w14:paraId="51A89C47" w14:textId="255E8C38" w:rsidR="00992F2F" w:rsidRPr="000B4B01" w:rsidRDefault="00992F2F" w:rsidP="00992F2F">
      <w:pPr>
        <w:pStyle w:val="EndNoteBibliography"/>
        <w:spacing w:after="0"/>
        <w:ind w:left="720" w:hanging="720"/>
        <w:rPr>
          <w:noProof/>
        </w:rPr>
      </w:pPr>
      <w:r w:rsidRPr="000B4B01">
        <w:rPr>
          <w:noProof/>
        </w:rPr>
        <w:t xml:space="preserve">Taylor, J. P., Avellone, L., Wehman, P., &amp; Brooke, V. (2023). The efficacy of competitive integrated employment versus segregated employment for persons with disabilities: A systematic review. </w:t>
      </w:r>
      <w:r w:rsidRPr="000B4B01">
        <w:rPr>
          <w:i/>
          <w:noProof/>
        </w:rPr>
        <w:t>Journal of Vocational Rehabilitation</w:t>
      </w:r>
      <w:r w:rsidRPr="000B4B01">
        <w:rPr>
          <w:noProof/>
        </w:rPr>
        <w:t>,</w:t>
      </w:r>
      <w:r w:rsidRPr="000B4B01">
        <w:rPr>
          <w:i/>
          <w:noProof/>
        </w:rPr>
        <w:t xml:space="preserve"> 58</w:t>
      </w:r>
      <w:r w:rsidRPr="000B4B01">
        <w:rPr>
          <w:noProof/>
        </w:rPr>
        <w:t xml:space="preserve">(1), 63-78. </w:t>
      </w:r>
      <w:r w:rsidR="00167399" w:rsidRPr="00D80F1C">
        <w:rPr>
          <w:rStyle w:val="Hyperlink"/>
        </w:rPr>
        <w:t>https://doi.org/</w:t>
      </w:r>
      <w:r w:rsidRPr="00D80F1C">
        <w:rPr>
          <w:rStyle w:val="Hyperlink"/>
        </w:rPr>
        <w:t>10.3233/jvr-221225</w:t>
      </w:r>
      <w:r w:rsidRPr="000B4B01">
        <w:rPr>
          <w:noProof/>
        </w:rPr>
        <w:t xml:space="preserve">     </w:t>
      </w:r>
    </w:p>
    <w:p w14:paraId="4C8030D3" w14:textId="77777777" w:rsidR="00992F2F" w:rsidRPr="000B4B01" w:rsidRDefault="00992F2F" w:rsidP="00992F2F">
      <w:pPr>
        <w:pStyle w:val="EndNoteBibliography"/>
        <w:ind w:left="720" w:hanging="720"/>
        <w:rPr>
          <w:noProof/>
        </w:rPr>
      </w:pPr>
      <w:r w:rsidRPr="000B4B01">
        <w:rPr>
          <w:noProof/>
        </w:rPr>
        <w:lastRenderedPageBreak/>
        <w:t xml:space="preserve">The Disability Trust. (n.d.). </w:t>
      </w:r>
      <w:r w:rsidRPr="000B4B01">
        <w:rPr>
          <w:i/>
          <w:noProof/>
        </w:rPr>
        <w:t>Project SEARCH Internship</w:t>
      </w:r>
      <w:r w:rsidRPr="000B4B01">
        <w:rPr>
          <w:noProof/>
        </w:rPr>
        <w:t xml:space="preserve">. </w:t>
      </w:r>
      <w:r w:rsidRPr="00D80F1C">
        <w:rPr>
          <w:rStyle w:val="Hyperlink"/>
        </w:rPr>
        <w:t>https://disabilitytrust.org.au/services-support/employment-services/project-search/</w:t>
      </w:r>
    </w:p>
    <w:p w14:paraId="6CDDF11B" w14:textId="77777777" w:rsidR="00992F2F" w:rsidRDefault="00992F2F" w:rsidP="00992F2F"/>
    <w:p w14:paraId="19778C93" w14:textId="77777777" w:rsidR="00992F2F" w:rsidRDefault="00992F2F" w:rsidP="00992F2F"/>
    <w:p w14:paraId="67D0E5AB" w14:textId="6067ABDF" w:rsidR="00AC727C" w:rsidRPr="00580EEF" w:rsidRDefault="00AC727C" w:rsidP="00AC727C">
      <w:pPr>
        <w:pStyle w:val="BoxText"/>
      </w:pPr>
    </w:p>
    <w:sectPr w:rsidR="00AC727C" w:rsidRPr="00580EEF" w:rsidSect="00992F2F">
      <w:headerReference w:type="even" r:id="rId19"/>
      <w:footerReference w:type="even" r:id="rId20"/>
      <w:headerReference w:type="first" r:id="rId21"/>
      <w:footerReference w:type="first" r:id="rId22"/>
      <w:pgSz w:w="11906" w:h="16838" w:code="9"/>
      <w:pgMar w:top="1134" w:right="1134" w:bottom="113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BC876" w14:textId="77777777" w:rsidR="00857883" w:rsidRDefault="00857883" w:rsidP="00B94217">
      <w:r>
        <w:separator/>
      </w:r>
    </w:p>
  </w:endnote>
  <w:endnote w:type="continuationSeparator" w:id="0">
    <w:p w14:paraId="6B60A2C6" w14:textId="77777777" w:rsidR="00857883" w:rsidRDefault="00857883" w:rsidP="00B9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Univers">
    <w:panose1 w:val="020B0503020202020204"/>
    <w:charset w:val="00"/>
    <w:family w:val="swiss"/>
    <w:pitch w:val="variable"/>
    <w:sig w:usb0="80000287" w:usb1="00000000" w:usb2="00000000" w:usb3="00000000" w:csb0="0000000F" w:csb1="00000000"/>
  </w:font>
  <w:font w:name="Montserrat">
    <w:altName w:val="Calibri"/>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oppins">
    <w:panose1 w:val="00000500000000000000"/>
    <w:charset w:val="00"/>
    <w:family w:val="auto"/>
    <w:pitch w:val="variable"/>
    <w:sig w:usb0="00008007" w:usb1="00000000" w:usb2="00000000" w:usb3="00000000" w:csb0="00000093" w:csb1="00000000"/>
  </w:font>
  <w:font w:name="Tahoma (Body)">
    <w:altName w:val="Tahom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8413977"/>
      <w:docPartObj>
        <w:docPartGallery w:val="Page Numbers (Bottom of Page)"/>
        <w:docPartUnique/>
      </w:docPartObj>
    </w:sdtPr>
    <w:sdtEndPr>
      <w:rPr>
        <w:rStyle w:val="PageNumber"/>
      </w:rPr>
    </w:sdtEndPr>
    <w:sdtContent>
      <w:p w14:paraId="461AE145" w14:textId="77777777" w:rsidR="00992F2F" w:rsidRDefault="00992F2F" w:rsidP="005B30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992F2F" w:rsidRPr="001A33B7" w14:paraId="00D80B18" w14:textId="77777777" w:rsidTr="00824DA9">
      <w:trPr>
        <w:trHeight w:val="601"/>
      </w:trPr>
      <w:tc>
        <w:tcPr>
          <w:tcW w:w="9849" w:type="dxa"/>
          <w:vAlign w:val="bottom"/>
        </w:tcPr>
        <w:p w14:paraId="1040EBD0" w14:textId="77777777" w:rsidR="00992F2F" w:rsidRPr="001A33B7" w:rsidRDefault="00992F2F" w:rsidP="00480AD3">
          <w:pPr>
            <w:pStyle w:val="Footer"/>
            <w:ind w:right="360"/>
          </w:pPr>
          <w:r>
            <w:fldChar w:fldCharType="begin"/>
          </w:r>
          <w:r>
            <w:instrText xml:space="preserve"> DOCPROPERTY  CoverHeading </w:instrText>
          </w:r>
          <w:r>
            <w:fldChar w:fldCharType="separate"/>
          </w:r>
          <w:r>
            <w:t>Error! Unknown document property name.</w:t>
          </w:r>
          <w:r>
            <w:fldChar w:fldCharType="end"/>
          </w:r>
        </w:p>
      </w:tc>
      <w:tc>
        <w:tcPr>
          <w:tcW w:w="355" w:type="dxa"/>
          <w:vAlign w:val="bottom"/>
        </w:tcPr>
        <w:p w14:paraId="25A33293" w14:textId="77777777" w:rsidR="00992F2F" w:rsidRPr="001A33B7" w:rsidRDefault="00992F2F" w:rsidP="00480AD3">
          <w:pPr>
            <w:pStyle w:val="Footer"/>
            <w:rPr>
              <w:lang w:val="en-AU"/>
            </w:rPr>
          </w:pPr>
        </w:p>
      </w:tc>
    </w:tr>
  </w:tbl>
  <w:p w14:paraId="7B2E5B73" w14:textId="77777777" w:rsidR="00992F2F" w:rsidRDefault="00992F2F" w:rsidP="00480AD3">
    <w:pPr>
      <w:pStyle w:val="Footer"/>
    </w:pPr>
  </w:p>
  <w:p w14:paraId="3C7752C6" w14:textId="77777777" w:rsidR="00992F2F" w:rsidRDefault="00992F2F" w:rsidP="0013299D"/>
  <w:p w14:paraId="48AF4EDF" w14:textId="77777777" w:rsidR="00992F2F" w:rsidRDefault="00992F2F" w:rsidP="001329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6215063"/>
      <w:docPartObj>
        <w:docPartGallery w:val="Page Numbers (Bottom of Page)"/>
        <w:docPartUnique/>
      </w:docPartObj>
    </w:sdtPr>
    <w:sdtEndPr>
      <w:rPr>
        <w:rStyle w:val="PageNumber"/>
      </w:rPr>
    </w:sdtEndPr>
    <w:sdtContent>
      <w:p w14:paraId="070CA8DE" w14:textId="77777777" w:rsidR="00992F2F" w:rsidRDefault="00992F2F" w:rsidP="005B30F0">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tbl>
    <w:tblPr>
      <w:tblStyle w:val="TableGridLight"/>
      <w:tblW w:w="0" w:type="auto"/>
      <w:tblCellMar>
        <w:left w:w="0" w:type="dxa"/>
        <w:right w:w="0" w:type="dxa"/>
      </w:tblCellMar>
      <w:tblLook w:val="04A0" w:firstRow="1" w:lastRow="0" w:firstColumn="1" w:lastColumn="0" w:noHBand="0" w:noVBand="1"/>
    </w:tblPr>
    <w:tblGrid>
      <w:gridCol w:w="4814"/>
      <w:gridCol w:w="4814"/>
    </w:tblGrid>
    <w:tr w:rsidR="00992F2F" w14:paraId="3E585782" w14:textId="77777777" w:rsidTr="009E590B">
      <w:tc>
        <w:tcPr>
          <w:tcW w:w="4814" w:type="dxa"/>
          <w:tcBorders>
            <w:top w:val="nil"/>
            <w:left w:val="nil"/>
            <w:bottom w:val="nil"/>
            <w:right w:val="nil"/>
          </w:tcBorders>
        </w:tcPr>
        <w:p w14:paraId="0BB6F005" w14:textId="77777777" w:rsidR="00992F2F" w:rsidRDefault="00992F2F" w:rsidP="00480AD3">
          <w:pPr>
            <w:pStyle w:val="Footer"/>
            <w:ind w:right="360"/>
          </w:pPr>
          <w:r w:rsidRPr="005619B2">
            <w:t>Employment support for people with intellectual disability: what works and how to implement it in Australia</w:t>
          </w:r>
          <w:r>
            <w:t>: evidence synthesis report</w:t>
          </w:r>
        </w:p>
      </w:tc>
      <w:tc>
        <w:tcPr>
          <w:tcW w:w="4814" w:type="dxa"/>
          <w:tcBorders>
            <w:top w:val="nil"/>
            <w:left w:val="nil"/>
            <w:bottom w:val="nil"/>
            <w:right w:val="nil"/>
          </w:tcBorders>
        </w:tcPr>
        <w:p w14:paraId="0422991B" w14:textId="77777777" w:rsidR="00992F2F" w:rsidRDefault="00992F2F" w:rsidP="00480AD3">
          <w:pPr>
            <w:pStyle w:val="Footer"/>
            <w:ind w:right="414"/>
          </w:pPr>
        </w:p>
      </w:tc>
    </w:tr>
  </w:tbl>
  <w:p w14:paraId="5E21E0A1" w14:textId="77777777" w:rsidR="00992F2F" w:rsidRPr="0039482E" w:rsidRDefault="00992F2F" w:rsidP="00480A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992F2F" w14:paraId="10E3C4E8" w14:textId="77777777" w:rsidTr="00F347FF">
      <w:tc>
        <w:tcPr>
          <w:tcW w:w="4111" w:type="dxa"/>
          <w:tcBorders>
            <w:top w:val="nil"/>
            <w:left w:val="nil"/>
            <w:bottom w:val="nil"/>
            <w:right w:val="nil"/>
          </w:tcBorders>
          <w:vAlign w:val="bottom"/>
        </w:tcPr>
        <w:p w14:paraId="2DC62276" w14:textId="77777777" w:rsidR="00992F2F" w:rsidRPr="005619B2" w:rsidRDefault="00992F2F" w:rsidP="00480AD3">
          <w:pPr>
            <w:pStyle w:val="Footer"/>
          </w:pPr>
        </w:p>
      </w:tc>
      <w:tc>
        <w:tcPr>
          <w:tcW w:w="5517" w:type="dxa"/>
          <w:tcBorders>
            <w:top w:val="nil"/>
            <w:left w:val="nil"/>
            <w:bottom w:val="nil"/>
            <w:right w:val="nil"/>
          </w:tcBorders>
        </w:tcPr>
        <w:p w14:paraId="2524D3F3" w14:textId="77777777" w:rsidR="00992F2F" w:rsidRDefault="00992F2F" w:rsidP="00480AD3">
          <w:pPr>
            <w:pStyle w:val="Footer"/>
          </w:pPr>
          <w:r>
            <w:rPr>
              <w:noProof/>
            </w:rPr>
            <w:drawing>
              <wp:inline distT="0" distB="0" distL="0" distR="0" wp14:anchorId="09A1A8F5" wp14:editId="19DB81B1">
                <wp:extent cx="3632400" cy="324000"/>
                <wp:effectExtent l="0" t="0" r="6350" b="0"/>
                <wp:docPr id="858211515"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0D05B188" w14:textId="77777777" w:rsidR="00992F2F" w:rsidRDefault="00992F2F" w:rsidP="00480A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6165" w14:textId="77777777" w:rsidR="00992F2F" w:rsidRDefault="00992F2F" w:rsidP="00480A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5B02BDE1" w14:textId="77777777" w:rsidTr="00824DA9">
      <w:trPr>
        <w:trHeight w:val="601"/>
      </w:trPr>
      <w:tc>
        <w:tcPr>
          <w:tcW w:w="9849" w:type="dxa"/>
          <w:vAlign w:val="bottom"/>
        </w:tcPr>
        <w:p w14:paraId="65538903" w14:textId="77777777" w:rsidR="00824DA9" w:rsidRPr="001A33B7" w:rsidRDefault="00824DA9" w:rsidP="00480AD3">
          <w:pPr>
            <w:pStyle w:val="Footer"/>
          </w:pPr>
          <w:r>
            <w:fldChar w:fldCharType="begin"/>
          </w:r>
          <w:r>
            <w:instrText xml:space="preserve"> DOCPROPERTY  CoverHeading </w:instrText>
          </w:r>
          <w:r>
            <w:fldChar w:fldCharType="separate"/>
          </w:r>
          <w:r w:rsidR="00D2338B">
            <w:t>Error! Unknown document property name.</w:t>
          </w:r>
          <w:r>
            <w:fldChar w:fldCharType="end"/>
          </w:r>
        </w:p>
      </w:tc>
      <w:tc>
        <w:tcPr>
          <w:tcW w:w="355" w:type="dxa"/>
          <w:vAlign w:val="bottom"/>
        </w:tcPr>
        <w:p w14:paraId="50BC1872" w14:textId="77777777" w:rsidR="00824DA9" w:rsidRPr="001A33B7" w:rsidRDefault="00824DA9" w:rsidP="00480AD3">
          <w:pPr>
            <w:pStyle w:val="Footer"/>
            <w:rPr>
              <w:lang w:val="en-AU"/>
            </w:rPr>
          </w:pPr>
          <w:r>
            <w:fldChar w:fldCharType="begin"/>
          </w:r>
          <w:r>
            <w:instrText xml:space="preserve"> PAGE   \* MERGEFORMAT </w:instrText>
          </w:r>
          <w:r>
            <w:fldChar w:fldCharType="separate"/>
          </w:r>
          <w:r>
            <w:t>4</w:t>
          </w:r>
          <w:r>
            <w:rPr>
              <w:noProof/>
            </w:rPr>
            <w:fldChar w:fldCharType="end"/>
          </w:r>
        </w:p>
      </w:tc>
    </w:tr>
  </w:tbl>
  <w:p w14:paraId="133B533B" w14:textId="77777777" w:rsidR="00950BCC" w:rsidRDefault="00950BCC" w:rsidP="00480AD3">
    <w:pPr>
      <w:pStyle w:val="Footer"/>
    </w:pPr>
  </w:p>
  <w:p w14:paraId="65F4C6E3" w14:textId="77777777" w:rsidR="00D855A8" w:rsidRDefault="00D855A8" w:rsidP="0013299D"/>
  <w:p w14:paraId="7A7EE51A" w14:textId="77777777" w:rsidR="00D855A8" w:rsidRDefault="00D855A8" w:rsidP="0013299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30E1339F" w14:textId="77777777" w:rsidTr="00F347FF">
      <w:tc>
        <w:tcPr>
          <w:tcW w:w="4111" w:type="dxa"/>
          <w:tcBorders>
            <w:top w:val="nil"/>
            <w:left w:val="nil"/>
            <w:bottom w:val="nil"/>
            <w:right w:val="nil"/>
          </w:tcBorders>
          <w:vAlign w:val="bottom"/>
        </w:tcPr>
        <w:p w14:paraId="227BF690" w14:textId="77777777" w:rsidR="0037216A" w:rsidRDefault="0037216A" w:rsidP="00480AD3">
          <w:pPr>
            <w:pStyle w:val="Footer"/>
          </w:pPr>
          <w:r w:rsidRPr="00927FA1">
            <w:t>centreforinclusiveemployment.au</w:t>
          </w:r>
        </w:p>
      </w:tc>
      <w:tc>
        <w:tcPr>
          <w:tcW w:w="5517" w:type="dxa"/>
          <w:tcBorders>
            <w:top w:val="nil"/>
            <w:left w:val="nil"/>
            <w:bottom w:val="nil"/>
            <w:right w:val="nil"/>
          </w:tcBorders>
        </w:tcPr>
        <w:p w14:paraId="08AEB1A1" w14:textId="77777777" w:rsidR="0037216A" w:rsidRDefault="0037216A" w:rsidP="00480AD3">
          <w:pPr>
            <w:pStyle w:val="Footer"/>
          </w:pPr>
          <w:r>
            <w:rPr>
              <w:noProof/>
            </w:rPr>
            <w:drawing>
              <wp:inline distT="0" distB="0" distL="0" distR="0" wp14:anchorId="3B44F7A9" wp14:editId="5FDDD7AC">
                <wp:extent cx="3632400" cy="324000"/>
                <wp:effectExtent l="0" t="0" r="6350" b="0"/>
                <wp:docPr id="62072400"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4A863533" w14:textId="77777777" w:rsidR="00927FA1" w:rsidRDefault="00927FA1" w:rsidP="00480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9C5D" w14:textId="77777777" w:rsidR="00857883" w:rsidRDefault="00857883" w:rsidP="00B94217">
      <w:bookmarkStart w:id="0" w:name="_Hlk480808360"/>
      <w:bookmarkEnd w:id="0"/>
      <w:r>
        <w:separator/>
      </w:r>
    </w:p>
  </w:footnote>
  <w:footnote w:type="continuationSeparator" w:id="0">
    <w:p w14:paraId="74EC1E03" w14:textId="77777777" w:rsidR="00857883" w:rsidRDefault="00857883" w:rsidP="00B94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C457" w14:textId="5678419D" w:rsidR="00992F2F" w:rsidRDefault="00554797">
    <w:pPr>
      <w:pStyle w:val="Header"/>
    </w:pPr>
    <w:r>
      <w:rPr>
        <w:noProof/>
      </w:rPr>
      <mc:AlternateContent>
        <mc:Choice Requires="wps">
          <w:drawing>
            <wp:anchor distT="0" distB="0" distL="0" distR="0" simplePos="0" relativeHeight="251658245" behindDoc="0" locked="0" layoutInCell="1" allowOverlap="1" wp14:anchorId="5E7A04D7" wp14:editId="4838FDBE">
              <wp:simplePos x="635" y="635"/>
              <wp:positionH relativeFrom="page">
                <wp:align>left</wp:align>
              </wp:positionH>
              <wp:positionV relativeFrom="page">
                <wp:align>top</wp:align>
              </wp:positionV>
              <wp:extent cx="763270" cy="520700"/>
              <wp:effectExtent l="0" t="0" r="11430" b="0"/>
              <wp:wrapNone/>
              <wp:docPr id="590103417" name="Text Box 5"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520700"/>
                      </a:xfrm>
                      <a:prstGeom prst="rect">
                        <a:avLst/>
                      </a:prstGeom>
                      <a:noFill/>
                      <a:ln>
                        <a:noFill/>
                      </a:ln>
                    </wps:spPr>
                    <wps:txbx>
                      <w:txbxContent>
                        <w:p w14:paraId="6DBFB994" w14:textId="6F3F53D4" w:rsidR="00554797" w:rsidRPr="00554797" w:rsidRDefault="00554797" w:rsidP="00554797">
                          <w:pPr>
                            <w:spacing w:after="0"/>
                            <w:rPr>
                              <w:rFonts w:ascii="Aptos" w:eastAsia="Aptos" w:hAnsi="Aptos" w:cs="Aptos"/>
                              <w:noProof/>
                              <w:color w:val="000000"/>
                              <w:szCs w:val="24"/>
                            </w:rPr>
                          </w:pPr>
                          <w:r w:rsidRPr="00554797">
                            <w:rPr>
                              <w:rFonts w:ascii="Aptos" w:eastAsia="Aptos" w:hAnsi="Aptos" w:cs="Aptos"/>
                              <w:noProof/>
                              <w:color w:val="000000"/>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7A04D7" id="_x0000_t202" coordsize="21600,21600" o:spt="202" path="m,l,21600r21600,l21600,xe">
              <v:stroke joinstyle="miter"/>
              <v:path gradientshapeok="t" o:connecttype="rect"/>
            </v:shapetype>
            <v:shape id="Text Box 5" o:spid="_x0000_s1026" type="#_x0000_t202" alt="Internal" style="position:absolute;margin-left:0;margin-top:0;width:60.1pt;height:41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" filled="f" stroked="f">
              <v:textbox style="mso-fit-shape-to-text:t" inset="20pt,15pt,0,0">
                <w:txbxContent>
                  <w:p w14:paraId="6DBFB994" w14:textId="6F3F53D4" w:rsidR="00554797" w:rsidRPr="00554797" w:rsidRDefault="00554797" w:rsidP="00554797">
                    <w:pPr>
                      <w:spacing w:after="0"/>
                      <w:rPr>
                        <w:rFonts w:ascii="Aptos" w:eastAsia="Aptos" w:hAnsi="Aptos" w:cs="Aptos"/>
                        <w:noProof/>
                        <w:color w:val="000000"/>
                        <w:szCs w:val="24"/>
                      </w:rPr>
                    </w:pPr>
                    <w:r w:rsidRPr="00554797">
                      <w:rPr>
                        <w:rFonts w:ascii="Aptos" w:eastAsia="Aptos" w:hAnsi="Aptos" w:cs="Aptos"/>
                        <w:noProof/>
                        <w:color w:val="000000"/>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2D66" w14:textId="25DE9F38" w:rsidR="00992F2F" w:rsidRDefault="00554797">
    <w:pPr>
      <w:pStyle w:val="Header"/>
    </w:pPr>
    <w:r>
      <w:rPr>
        <w:noProof/>
      </w:rPr>
      <mc:AlternateContent>
        <mc:Choice Requires="wps">
          <w:drawing>
            <wp:anchor distT="0" distB="0" distL="0" distR="0" simplePos="0" relativeHeight="251658246" behindDoc="0" locked="0" layoutInCell="1" allowOverlap="1" wp14:anchorId="688EE29C" wp14:editId="659CEEA8">
              <wp:simplePos x="635" y="635"/>
              <wp:positionH relativeFrom="page">
                <wp:align>left</wp:align>
              </wp:positionH>
              <wp:positionV relativeFrom="page">
                <wp:align>top</wp:align>
              </wp:positionV>
              <wp:extent cx="763270" cy="520700"/>
              <wp:effectExtent l="0" t="0" r="11430" b="0"/>
              <wp:wrapNone/>
              <wp:docPr id="920974599" name="Text Box 6"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520700"/>
                      </a:xfrm>
                      <a:prstGeom prst="rect">
                        <a:avLst/>
                      </a:prstGeom>
                      <a:noFill/>
                      <a:ln>
                        <a:noFill/>
                      </a:ln>
                    </wps:spPr>
                    <wps:txbx>
                      <w:txbxContent>
                        <w:p w14:paraId="0ED46A64" w14:textId="060226CB" w:rsidR="00554797" w:rsidRPr="00554797" w:rsidRDefault="00554797" w:rsidP="00554797">
                          <w:pPr>
                            <w:spacing w:after="0"/>
                            <w:rPr>
                              <w:rFonts w:ascii="Aptos" w:eastAsia="Aptos" w:hAnsi="Aptos" w:cs="Aptos"/>
                              <w:noProof/>
                              <w:color w:val="000000"/>
                              <w:szCs w:val="24"/>
                            </w:rPr>
                          </w:pPr>
                          <w:r w:rsidRPr="00554797">
                            <w:rPr>
                              <w:rFonts w:ascii="Aptos" w:eastAsia="Aptos" w:hAnsi="Aptos" w:cs="Aptos"/>
                              <w:noProof/>
                              <w:color w:val="000000"/>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8EE29C" id="_x0000_t202" coordsize="21600,21600" o:spt="202" path="m,l,21600r21600,l21600,xe">
              <v:stroke joinstyle="miter"/>
              <v:path gradientshapeok="t" o:connecttype="rect"/>
            </v:shapetype>
            <v:shape id="Text Box 6" o:spid="_x0000_s1027" type="#_x0000_t202" alt="Internal" style="position:absolute;margin-left:0;margin-top:0;width:60.1pt;height:41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" filled="f" stroked="f">
              <v:textbox style="mso-fit-shape-to-text:t" inset="20pt,15pt,0,0">
                <w:txbxContent>
                  <w:p w14:paraId="0ED46A64" w14:textId="060226CB" w:rsidR="00554797" w:rsidRPr="00554797" w:rsidRDefault="00554797" w:rsidP="00554797">
                    <w:pPr>
                      <w:spacing w:after="0"/>
                      <w:rPr>
                        <w:rFonts w:ascii="Aptos" w:eastAsia="Aptos" w:hAnsi="Aptos" w:cs="Aptos"/>
                        <w:noProof/>
                        <w:color w:val="000000"/>
                        <w:szCs w:val="24"/>
                      </w:rPr>
                    </w:pPr>
                    <w:r w:rsidRPr="00554797">
                      <w:rPr>
                        <w:rFonts w:ascii="Aptos" w:eastAsia="Aptos" w:hAnsi="Aptos" w:cs="Aptos"/>
                        <w:noProof/>
                        <w:color w:val="000000"/>
                        <w:szCs w:val="24"/>
                      </w:rPr>
                      <w:t>Internal</w:t>
                    </w:r>
                  </w:p>
                </w:txbxContent>
              </v:textbox>
              <w10:wrap anchorx="page" anchory="page"/>
            </v:shape>
          </w:pict>
        </mc:Fallback>
      </mc:AlternateContent>
    </w:r>
    <w:r w:rsidR="00992F2F">
      <w:rPr>
        <w:noProof/>
      </w:rPr>
      <w:drawing>
        <wp:anchor distT="0" distB="0" distL="114300" distR="114300" simplePos="0" relativeHeight="251658244" behindDoc="1" locked="0" layoutInCell="1" allowOverlap="1" wp14:anchorId="11B15D7F" wp14:editId="5C5C8F67">
          <wp:simplePos x="0" y="0"/>
          <wp:positionH relativeFrom="page">
            <wp:posOffset>5775960</wp:posOffset>
          </wp:positionH>
          <wp:positionV relativeFrom="page">
            <wp:posOffset>-106680</wp:posOffset>
          </wp:positionV>
          <wp:extent cx="1893600" cy="1893600"/>
          <wp:effectExtent l="0" t="0" r="0" b="0"/>
          <wp:wrapNone/>
          <wp:docPr id="142699538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992F2F" w14:paraId="32FEAA2A" w14:textId="77777777" w:rsidTr="006D7267">
      <w:trPr>
        <w:trHeight w:val="1984"/>
      </w:trPr>
      <w:tc>
        <w:tcPr>
          <w:tcW w:w="10100" w:type="dxa"/>
          <w:tcBorders>
            <w:top w:val="nil"/>
            <w:left w:val="nil"/>
            <w:bottom w:val="nil"/>
            <w:right w:val="nil"/>
          </w:tcBorders>
        </w:tcPr>
        <w:p w14:paraId="01BC61C0" w14:textId="1F1E2E39" w:rsidR="00992F2F" w:rsidRDefault="00992F2F" w:rsidP="006D7267">
          <w:pPr>
            <w:pStyle w:val="Header"/>
          </w:pPr>
          <w:r>
            <w:rPr>
              <w:noProof/>
            </w:rPr>
            <w:drawing>
              <wp:inline distT="0" distB="0" distL="0" distR="0" wp14:anchorId="65F63A15" wp14:editId="63E0045E">
                <wp:extent cx="1435611" cy="783338"/>
                <wp:effectExtent l="0" t="0" r="0" b="0"/>
                <wp:docPr id="1383940984"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6ED2D590" w14:textId="77777777" w:rsidR="00992F2F" w:rsidRDefault="00992F2F">
    <w:pPr>
      <w:pStyle w:val="Header"/>
    </w:pPr>
    <w:r>
      <w:rPr>
        <w:noProof/>
      </w:rPr>
      <w:drawing>
        <wp:anchor distT="0" distB="0" distL="114300" distR="114300" simplePos="0" relativeHeight="251658243" behindDoc="1" locked="0" layoutInCell="1" allowOverlap="1" wp14:anchorId="6FEA97DD" wp14:editId="15D0E303">
          <wp:simplePos x="0" y="0"/>
          <wp:positionH relativeFrom="column">
            <wp:posOffset>5060892</wp:posOffset>
          </wp:positionH>
          <wp:positionV relativeFrom="paragraph">
            <wp:posOffset>-1655445</wp:posOffset>
          </wp:positionV>
          <wp:extent cx="1892812" cy="1892812"/>
          <wp:effectExtent l="0" t="0" r="0" b="0"/>
          <wp:wrapNone/>
          <wp:docPr id="2104521969"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2A50" w14:textId="4350EC80" w:rsidR="00CE4E61" w:rsidRDefault="00554797">
    <w:pPr>
      <w:pStyle w:val="Header"/>
    </w:pPr>
    <w:r>
      <w:rPr>
        <w:noProof/>
      </w:rPr>
      <mc:AlternateContent>
        <mc:Choice Requires="wps">
          <w:drawing>
            <wp:anchor distT="0" distB="0" distL="0" distR="0" simplePos="0" relativeHeight="251658250" behindDoc="0" locked="0" layoutInCell="1" allowOverlap="1" wp14:anchorId="128DCA7C" wp14:editId="5D41EA06">
              <wp:simplePos x="635" y="635"/>
              <wp:positionH relativeFrom="page">
                <wp:align>left</wp:align>
              </wp:positionH>
              <wp:positionV relativeFrom="page">
                <wp:align>top</wp:align>
              </wp:positionV>
              <wp:extent cx="763270" cy="520700"/>
              <wp:effectExtent l="0" t="0" r="11430" b="0"/>
              <wp:wrapNone/>
              <wp:docPr id="424484441" name="Text Box 1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520700"/>
                      </a:xfrm>
                      <a:prstGeom prst="rect">
                        <a:avLst/>
                      </a:prstGeom>
                      <a:noFill/>
                      <a:ln>
                        <a:noFill/>
                      </a:ln>
                    </wps:spPr>
                    <wps:txbx>
                      <w:txbxContent>
                        <w:p w14:paraId="6A7CB9ED" w14:textId="4DF596FB" w:rsidR="00554797" w:rsidRPr="00554797" w:rsidRDefault="00554797" w:rsidP="00554797">
                          <w:pPr>
                            <w:spacing w:after="0"/>
                            <w:rPr>
                              <w:rFonts w:ascii="Aptos" w:eastAsia="Aptos" w:hAnsi="Aptos" w:cs="Aptos"/>
                              <w:noProof/>
                              <w:color w:val="000000"/>
                              <w:szCs w:val="24"/>
                            </w:rPr>
                          </w:pPr>
                          <w:r w:rsidRPr="00554797">
                            <w:rPr>
                              <w:rFonts w:ascii="Aptos" w:eastAsia="Aptos" w:hAnsi="Aptos" w:cs="Aptos"/>
                              <w:noProof/>
                              <w:color w:val="000000"/>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8DCA7C" id="_x0000_t202" coordsize="21600,21600" o:spt="202" path="m,l,21600r21600,l21600,xe">
              <v:stroke joinstyle="miter"/>
              <v:path gradientshapeok="t" o:connecttype="rect"/>
            </v:shapetype>
            <v:shape id="Text Box 11" o:spid="_x0000_s1028" type="#_x0000_t202" alt="Internal" style="position:absolute;margin-left:0;margin-top:0;width:60.1pt;height:41pt;z-index:25165825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" filled="f" stroked="f">
              <v:textbox style="mso-fit-shape-to-text:t" inset="20pt,15pt,0,0">
                <w:txbxContent>
                  <w:p w14:paraId="6A7CB9ED" w14:textId="4DF596FB" w:rsidR="00554797" w:rsidRPr="00554797" w:rsidRDefault="00554797" w:rsidP="00554797">
                    <w:pPr>
                      <w:spacing w:after="0"/>
                      <w:rPr>
                        <w:rFonts w:ascii="Aptos" w:eastAsia="Aptos" w:hAnsi="Aptos" w:cs="Aptos"/>
                        <w:noProof/>
                        <w:color w:val="000000"/>
                        <w:szCs w:val="24"/>
                      </w:rPr>
                    </w:pPr>
                    <w:r w:rsidRPr="00554797">
                      <w:rPr>
                        <w:rFonts w:ascii="Aptos" w:eastAsia="Aptos" w:hAnsi="Aptos" w:cs="Aptos"/>
                        <w:noProof/>
                        <w:color w:val="000000"/>
                        <w:szCs w:val="24"/>
                      </w:rPr>
                      <w:t>Internal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1A3CBC30" w14:textId="77777777" w:rsidTr="006D7267">
      <w:trPr>
        <w:trHeight w:val="1984"/>
      </w:trPr>
      <w:tc>
        <w:tcPr>
          <w:tcW w:w="10100" w:type="dxa"/>
          <w:tcBorders>
            <w:top w:val="nil"/>
            <w:left w:val="nil"/>
            <w:bottom w:val="nil"/>
            <w:right w:val="nil"/>
          </w:tcBorders>
        </w:tcPr>
        <w:p w14:paraId="29757601" w14:textId="0F006217" w:rsidR="006D7267" w:rsidRDefault="00554797" w:rsidP="006D7267">
          <w:pPr>
            <w:pStyle w:val="Header"/>
          </w:pPr>
          <w:r>
            <w:rPr>
              <w:noProof/>
            </w:rPr>
            <mc:AlternateContent>
              <mc:Choice Requires="wps">
                <w:drawing>
                  <wp:anchor distT="0" distB="0" distL="0" distR="0" simplePos="0" relativeHeight="251658249" behindDoc="0" locked="0" layoutInCell="1" allowOverlap="1" wp14:anchorId="1CBFBAAA" wp14:editId="125AA917">
                    <wp:simplePos x="635" y="635"/>
                    <wp:positionH relativeFrom="page">
                      <wp:align>left</wp:align>
                    </wp:positionH>
                    <wp:positionV relativeFrom="page">
                      <wp:align>top</wp:align>
                    </wp:positionV>
                    <wp:extent cx="763270" cy="520700"/>
                    <wp:effectExtent l="0" t="0" r="11430" b="0"/>
                    <wp:wrapNone/>
                    <wp:docPr id="815180766" name="Text Box 10"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520700"/>
                            </a:xfrm>
                            <a:prstGeom prst="rect">
                              <a:avLst/>
                            </a:prstGeom>
                            <a:noFill/>
                            <a:ln>
                              <a:noFill/>
                            </a:ln>
                          </wps:spPr>
                          <wps:txbx>
                            <w:txbxContent>
                              <w:p w14:paraId="68C7C4C5" w14:textId="52D4A920" w:rsidR="00554797" w:rsidRPr="00554797" w:rsidRDefault="00554797" w:rsidP="00554797">
                                <w:pPr>
                                  <w:spacing w:after="0"/>
                                  <w:rPr>
                                    <w:rFonts w:ascii="Aptos" w:eastAsia="Aptos" w:hAnsi="Aptos" w:cs="Aptos"/>
                                    <w:noProof/>
                                    <w:color w:val="000000"/>
                                    <w:szCs w:val="24"/>
                                  </w:rPr>
                                </w:pPr>
                                <w:r w:rsidRPr="00554797">
                                  <w:rPr>
                                    <w:rFonts w:ascii="Aptos" w:eastAsia="Aptos" w:hAnsi="Aptos" w:cs="Aptos"/>
                                    <w:noProof/>
                                    <w:color w:val="000000"/>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BFBAAA" id="_x0000_t202" coordsize="21600,21600" o:spt="202" path="m,l,21600r21600,l21600,xe">
                    <v:stroke joinstyle="miter"/>
                    <v:path gradientshapeok="t" o:connecttype="rect"/>
                  </v:shapetype>
                  <v:shape id="Text Box 10" o:spid="_x0000_s1029" type="#_x0000_t202" alt="Internal" style="position:absolute;margin-left:0;margin-top:0;width:60.1pt;height:41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" filled="f" stroked="f">
                    <v:textbox style="mso-fit-shape-to-text:t" inset="20pt,15pt,0,0">
                      <w:txbxContent>
                        <w:p w14:paraId="68C7C4C5" w14:textId="52D4A920" w:rsidR="00554797" w:rsidRPr="00554797" w:rsidRDefault="00554797" w:rsidP="00554797">
                          <w:pPr>
                            <w:spacing w:after="0"/>
                            <w:rPr>
                              <w:rFonts w:ascii="Aptos" w:eastAsia="Aptos" w:hAnsi="Aptos" w:cs="Aptos"/>
                              <w:noProof/>
                              <w:color w:val="000000"/>
                              <w:szCs w:val="24"/>
                            </w:rPr>
                          </w:pPr>
                          <w:r w:rsidRPr="00554797">
                            <w:rPr>
                              <w:rFonts w:ascii="Aptos" w:eastAsia="Aptos" w:hAnsi="Aptos" w:cs="Aptos"/>
                              <w:noProof/>
                              <w:color w:val="000000"/>
                              <w:szCs w:val="24"/>
                            </w:rPr>
                            <w:t>Internal</w:t>
                          </w:r>
                        </w:p>
                      </w:txbxContent>
                    </v:textbox>
                    <w10:wrap anchorx="page" anchory="page"/>
                  </v:shape>
                </w:pict>
              </mc:Fallback>
            </mc:AlternateContent>
          </w:r>
          <w:r w:rsidR="006D7267">
            <w:rPr>
              <w:noProof/>
            </w:rPr>
            <w:drawing>
              <wp:inline distT="0" distB="0" distL="0" distR="0" wp14:anchorId="7C55F15F" wp14:editId="0819D6D5">
                <wp:extent cx="1435611" cy="783338"/>
                <wp:effectExtent l="0" t="0" r="0" b="0"/>
                <wp:docPr id="1924861474"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270C3D47" w14:textId="77777777" w:rsidR="006D7267" w:rsidRDefault="006D7267">
    <w:pPr>
      <w:pStyle w:val="Header"/>
    </w:pPr>
    <w:r>
      <w:rPr>
        <w:noProof/>
      </w:rPr>
      <w:drawing>
        <wp:anchor distT="0" distB="0" distL="114300" distR="114300" simplePos="0" relativeHeight="251658241" behindDoc="1" locked="0" layoutInCell="1" allowOverlap="1" wp14:anchorId="62534C85" wp14:editId="30AB6B6D">
          <wp:simplePos x="0" y="0"/>
          <wp:positionH relativeFrom="column">
            <wp:posOffset>5060892</wp:posOffset>
          </wp:positionH>
          <wp:positionV relativeFrom="paragraph">
            <wp:posOffset>-1655445</wp:posOffset>
          </wp:positionV>
          <wp:extent cx="1892812" cy="1892812"/>
          <wp:effectExtent l="0" t="0" r="0" b="0"/>
          <wp:wrapNone/>
          <wp:docPr id="1860102614"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4"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1F64E3"/>
    <w:multiLevelType w:val="hybridMultilevel"/>
    <w:tmpl w:val="FFAE81DA"/>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7" w15:restartNumberingAfterBreak="0">
    <w:nsid w:val="12DB13A5"/>
    <w:multiLevelType w:val="multilevel"/>
    <w:tmpl w:val="01D48404"/>
    <w:lvl w:ilvl="0">
      <w:start w:val="1"/>
      <w:numFmt w:val="decimal"/>
      <w:pStyle w:val="Numberedlist1"/>
      <w:lvlText w:val="%1."/>
      <w:lvlJc w:val="left"/>
      <w:pPr>
        <w:ind w:left="1986" w:hanging="284"/>
      </w:pPr>
      <w:rPr>
        <w:b w:val="0"/>
        <w:bCs/>
      </w:rPr>
    </w:lvl>
    <w:lvl w:ilvl="1">
      <w:start w:val="1"/>
      <w:numFmt w:val="lowerRoman"/>
      <w:lvlText w:val="%2."/>
      <w:lvlJc w:val="left"/>
      <w:pPr>
        <w:ind w:left="710" w:hanging="284"/>
      </w:pPr>
      <w:rPr>
        <w:rFonts w:asciiTheme="minorHAnsi" w:hAnsiTheme="minorHAnsi" w:hint="default"/>
        <w:color w:val="404040" w:themeColor="text2"/>
      </w:rPr>
    </w:lvl>
    <w:lvl w:ilvl="2">
      <w:start w:val="1"/>
      <w:numFmt w:val="upperRoman"/>
      <w:lvlText w:val="%3."/>
      <w:lvlJc w:val="left"/>
      <w:pPr>
        <w:ind w:left="994" w:hanging="284"/>
      </w:pPr>
      <w:rPr>
        <w:rFonts w:asciiTheme="minorHAnsi" w:hAnsiTheme="minorHAnsi" w:hint="default"/>
        <w:color w:val="404040" w:themeColor="text2"/>
      </w:rPr>
    </w:lvl>
    <w:lvl w:ilvl="3">
      <w:start w:val="1"/>
      <w:numFmt w:val="decimal"/>
      <w:lvlText w:val="(%4)"/>
      <w:lvlJc w:val="left"/>
      <w:pPr>
        <w:ind w:left="1278" w:hanging="284"/>
      </w:pPr>
      <w:rPr>
        <w:rFonts w:hint="default"/>
      </w:rPr>
    </w:lvl>
    <w:lvl w:ilvl="4">
      <w:start w:val="1"/>
      <w:numFmt w:val="lowerLetter"/>
      <w:lvlText w:val="(%5)"/>
      <w:lvlJc w:val="left"/>
      <w:pPr>
        <w:ind w:left="1562" w:hanging="284"/>
      </w:pPr>
      <w:rPr>
        <w:rFonts w:hint="default"/>
      </w:rPr>
    </w:lvl>
    <w:lvl w:ilvl="5">
      <w:start w:val="1"/>
      <w:numFmt w:val="lowerRoman"/>
      <w:lvlText w:val="(%6)"/>
      <w:lvlJc w:val="left"/>
      <w:pPr>
        <w:ind w:left="1846" w:hanging="284"/>
      </w:pPr>
      <w:rPr>
        <w:rFonts w:hint="default"/>
      </w:rPr>
    </w:lvl>
    <w:lvl w:ilvl="6">
      <w:start w:val="1"/>
      <w:numFmt w:val="decimal"/>
      <w:lvlText w:val="%7."/>
      <w:lvlJc w:val="left"/>
      <w:pPr>
        <w:ind w:left="2130" w:hanging="284"/>
      </w:pPr>
      <w:rPr>
        <w:rFonts w:asciiTheme="minorHAnsi" w:eastAsiaTheme="minorHAnsi" w:hAnsiTheme="minorHAnsi" w:cstheme="minorBidi"/>
      </w:rPr>
    </w:lvl>
    <w:lvl w:ilvl="7">
      <w:start w:val="1"/>
      <w:numFmt w:val="lowerLetter"/>
      <w:lvlText w:val="%8."/>
      <w:lvlJc w:val="left"/>
      <w:pPr>
        <w:ind w:left="2414" w:hanging="284"/>
      </w:pPr>
      <w:rPr>
        <w:rFonts w:hint="default"/>
      </w:rPr>
    </w:lvl>
    <w:lvl w:ilvl="8">
      <w:start w:val="1"/>
      <w:numFmt w:val="lowerRoman"/>
      <w:lvlText w:val="%9."/>
      <w:lvlJc w:val="left"/>
      <w:pPr>
        <w:ind w:left="2698" w:hanging="284"/>
      </w:pPr>
      <w:rPr>
        <w:rFonts w:hint="default"/>
      </w:rPr>
    </w:lvl>
  </w:abstractNum>
  <w:abstractNum w:abstractNumId="8" w15:restartNumberingAfterBreak="0">
    <w:nsid w:val="17455C88"/>
    <w:multiLevelType w:val="hybridMultilevel"/>
    <w:tmpl w:val="53C64750"/>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18522FA2"/>
    <w:multiLevelType w:val="hybridMultilevel"/>
    <w:tmpl w:val="1B3076D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18F34917"/>
    <w:multiLevelType w:val="hybridMultilevel"/>
    <w:tmpl w:val="29224FF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1B386BF8"/>
    <w:multiLevelType w:val="hybridMultilevel"/>
    <w:tmpl w:val="AAA85DF6"/>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 w15:restartNumberingAfterBreak="0">
    <w:nsid w:val="1D545DB9"/>
    <w:multiLevelType w:val="hybridMultilevel"/>
    <w:tmpl w:val="2F66D72A"/>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586DFE"/>
    <w:multiLevelType w:val="multilevel"/>
    <w:tmpl w:val="BC2EAD96"/>
    <w:styleLink w:val="BulletsStyle"/>
    <w:lvl w:ilvl="0">
      <w:start w:val="1"/>
      <w:numFmt w:val="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F9D676D"/>
    <w:multiLevelType w:val="multilevel"/>
    <w:tmpl w:val="0C09001F"/>
    <w:numStyleLink w:val="111111"/>
  </w:abstractNum>
  <w:abstractNum w:abstractNumId="17"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8" w15:restartNumberingAfterBreak="0">
    <w:nsid w:val="33E51464"/>
    <w:multiLevelType w:val="multilevel"/>
    <w:tmpl w:val="BC2EAD96"/>
    <w:numStyleLink w:val="BulletsStyle"/>
  </w:abstractNum>
  <w:abstractNum w:abstractNumId="19"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363310FE"/>
    <w:multiLevelType w:val="hybridMultilevel"/>
    <w:tmpl w:val="C8E48F8A"/>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1"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411506EA"/>
    <w:multiLevelType w:val="hybridMultilevel"/>
    <w:tmpl w:val="E9B0BEFA"/>
    <w:lvl w:ilvl="0" w:tplc="F7063E9C">
      <w:start w:val="1"/>
      <w:numFmt w:val="bullet"/>
      <w:pStyle w:val="Table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24" w15:restartNumberingAfterBreak="0">
    <w:nsid w:val="44E24E7B"/>
    <w:multiLevelType w:val="hybridMultilevel"/>
    <w:tmpl w:val="AC109264"/>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5"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BD4580D"/>
    <w:multiLevelType w:val="hybridMultilevel"/>
    <w:tmpl w:val="73D4130C"/>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8"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9"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30"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4AA57E1"/>
    <w:multiLevelType w:val="hybridMultilevel"/>
    <w:tmpl w:val="1312F8A4"/>
    <w:lvl w:ilvl="0" w:tplc="585C347C">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7E1583"/>
    <w:multiLevelType w:val="hybridMultilevel"/>
    <w:tmpl w:val="BC6E3E56"/>
    <w:lvl w:ilvl="0" w:tplc="08090001">
      <w:start w:val="1"/>
      <w:numFmt w:val="bullet"/>
      <w:lvlText w:val=""/>
      <w:lvlJc w:val="left"/>
      <w:pPr>
        <w:ind w:left="644" w:hanging="360"/>
      </w:pPr>
      <w:rPr>
        <w:rFonts w:ascii="Symbol" w:hAnsi="Symbol" w:hint="default"/>
        <w:b/>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4" w15:restartNumberingAfterBreak="0">
    <w:nsid w:val="598634B0"/>
    <w:multiLevelType w:val="hybridMultilevel"/>
    <w:tmpl w:val="DB54DA54"/>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5" w15:restartNumberingAfterBreak="0">
    <w:nsid w:val="5A135E04"/>
    <w:multiLevelType w:val="hybridMultilevel"/>
    <w:tmpl w:val="92C2AE2C"/>
    <w:lvl w:ilvl="0" w:tplc="08090001">
      <w:start w:val="1"/>
      <w:numFmt w:val="bullet"/>
      <w:lvlText w:val=""/>
      <w:lvlJc w:val="left"/>
      <w:pPr>
        <w:ind w:left="644" w:hanging="360"/>
      </w:pPr>
      <w:rPr>
        <w:rFonts w:ascii="Symbol" w:hAnsi="Symbol" w:hint="default"/>
        <w:i w:val="0"/>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6"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178084A"/>
    <w:multiLevelType w:val="hybridMultilevel"/>
    <w:tmpl w:val="54521D54"/>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8"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859647D"/>
    <w:multiLevelType w:val="hybridMultilevel"/>
    <w:tmpl w:val="37E6FEE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0" w15:restartNumberingAfterBreak="0">
    <w:nsid w:val="6B2B2D97"/>
    <w:multiLevelType w:val="multilevel"/>
    <w:tmpl w:val="BC102C32"/>
    <w:numStyleLink w:val="AppendixStyle"/>
  </w:abstractNum>
  <w:abstractNum w:abstractNumId="41" w15:restartNumberingAfterBreak="0">
    <w:nsid w:val="6B532330"/>
    <w:multiLevelType w:val="hybridMultilevel"/>
    <w:tmpl w:val="D7624DD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2"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2010FB"/>
    <w:multiLevelType w:val="hybridMultilevel"/>
    <w:tmpl w:val="0A64EAF6"/>
    <w:lvl w:ilvl="0" w:tplc="1122C326">
      <w:start w:val="1"/>
      <w:numFmt w:val="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BF7046E"/>
    <w:multiLevelType w:val="multilevel"/>
    <w:tmpl w:val="F29CF010"/>
    <w:numStyleLink w:val="Numbers"/>
  </w:abstractNum>
  <w:abstractNum w:abstractNumId="46" w15:restartNumberingAfterBreak="0">
    <w:nsid w:val="7D9459B7"/>
    <w:multiLevelType w:val="hybridMultilevel"/>
    <w:tmpl w:val="4E48AEE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7" w15:restartNumberingAfterBreak="0">
    <w:nsid w:val="7EEB52F9"/>
    <w:multiLevelType w:val="hybridMultilevel"/>
    <w:tmpl w:val="CE5C413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8"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36"/>
  </w:num>
  <w:num w:numId="2" w16cid:durableId="1421828783">
    <w:abstractNumId w:val="42"/>
  </w:num>
  <w:num w:numId="3" w16cid:durableId="924455219">
    <w:abstractNumId w:val="31"/>
  </w:num>
  <w:num w:numId="4" w16cid:durableId="8145819">
    <w:abstractNumId w:val="21"/>
  </w:num>
  <w:num w:numId="5" w16cid:durableId="1935043804">
    <w:abstractNumId w:val="17"/>
  </w:num>
  <w:num w:numId="6" w16cid:durableId="1532452615">
    <w:abstractNumId w:val="29"/>
  </w:num>
  <w:num w:numId="7" w16cid:durableId="1898588451">
    <w:abstractNumId w:val="23"/>
  </w:num>
  <w:num w:numId="8" w16cid:durableId="983848062">
    <w:abstractNumId w:val="38"/>
  </w:num>
  <w:num w:numId="9" w16cid:durableId="194080551">
    <w:abstractNumId w:val="44"/>
  </w:num>
  <w:num w:numId="10" w16cid:durableId="2024166019">
    <w:abstractNumId w:val="14"/>
  </w:num>
  <w:num w:numId="11" w16cid:durableId="2124497634">
    <w:abstractNumId w:val="48"/>
  </w:num>
  <w:num w:numId="12" w16cid:durableId="1022440377">
    <w:abstractNumId w:val="19"/>
  </w:num>
  <w:num w:numId="13" w16cid:durableId="988435812">
    <w:abstractNumId w:val="15"/>
  </w:num>
  <w:num w:numId="14" w16cid:durableId="422797658">
    <w:abstractNumId w:val="4"/>
  </w:num>
  <w:num w:numId="15" w16cid:durableId="995574081">
    <w:abstractNumId w:val="26"/>
  </w:num>
  <w:num w:numId="16" w16cid:durableId="1383208082">
    <w:abstractNumId w:val="30"/>
  </w:num>
  <w:num w:numId="17" w16cid:durableId="654719767">
    <w:abstractNumId w:val="2"/>
  </w:num>
  <w:num w:numId="18" w16cid:durableId="2106270163">
    <w:abstractNumId w:val="3"/>
  </w:num>
  <w:num w:numId="19" w16cid:durableId="393092543">
    <w:abstractNumId w:val="1"/>
  </w:num>
  <w:num w:numId="20" w16cid:durableId="358355396">
    <w:abstractNumId w:val="0"/>
  </w:num>
  <w:num w:numId="21" w16cid:durableId="498084787">
    <w:abstractNumId w:val="6"/>
  </w:num>
  <w:num w:numId="22" w16cid:durableId="1153183473">
    <w:abstractNumId w:val="43"/>
  </w:num>
  <w:num w:numId="23" w16cid:durableId="707493237">
    <w:abstractNumId w:val="22"/>
  </w:num>
  <w:num w:numId="24" w16cid:durableId="2011563492">
    <w:abstractNumId w:val="13"/>
  </w:num>
  <w:num w:numId="25" w16cid:durableId="283122014">
    <w:abstractNumId w:val="4"/>
  </w:num>
  <w:num w:numId="26" w16cid:durableId="781416173">
    <w:abstractNumId w:val="26"/>
  </w:num>
  <w:num w:numId="27" w16cid:durableId="1798379127">
    <w:abstractNumId w:val="30"/>
  </w:num>
  <w:num w:numId="28" w16cid:durableId="2115129295">
    <w:abstractNumId w:val="40"/>
  </w:num>
  <w:num w:numId="29" w16cid:durableId="487936713">
    <w:abstractNumId w:val="25"/>
  </w:num>
  <w:num w:numId="30" w16cid:durableId="1494103499">
    <w:abstractNumId w:val="25"/>
  </w:num>
  <w:num w:numId="31" w16cid:durableId="583611803">
    <w:abstractNumId w:val="18"/>
  </w:num>
  <w:num w:numId="32" w16cid:durableId="1832939430">
    <w:abstractNumId w:val="45"/>
  </w:num>
  <w:num w:numId="33" w16cid:durableId="4181387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2669655">
    <w:abstractNumId w:val="16"/>
  </w:num>
  <w:num w:numId="35" w16cid:durableId="1407921063">
    <w:abstractNumId w:val="45"/>
    <w:lvlOverride w:ilvl="0">
      <w:startOverride w:val="1"/>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Override>
    <w:lvlOverride w:ilvl="1">
      <w:startOverride w:val="1"/>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Override>
    <w:lvlOverride w:ilvl="2">
      <w:startOverride w:val="1"/>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Override>
    <w:lvlOverride w:ilvl="3">
      <w:startOverride w:val="1"/>
      <w:lvl w:ilvl="3">
        <w:start w:val="1"/>
        <w:numFmt w:val="decimal"/>
        <w:lvlText w:val="(%4)"/>
        <w:lvlJc w:val="left"/>
        <w:pPr>
          <w:ind w:left="851" w:hanging="284"/>
        </w:pPr>
        <w:rPr>
          <w:rFonts w:hint="default"/>
        </w:rPr>
      </w:lvl>
    </w:lvlOverride>
    <w:lvlOverride w:ilvl="4">
      <w:startOverride w:val="1"/>
      <w:lvl w:ilvl="4">
        <w:start w:val="1"/>
        <w:numFmt w:val="lowerLetter"/>
        <w:lvlText w:val="(%5)"/>
        <w:lvlJc w:val="left"/>
        <w:pPr>
          <w:tabs>
            <w:tab w:val="num" w:pos="8507"/>
          </w:tabs>
          <w:ind w:left="2157" w:hanging="284"/>
        </w:pPr>
        <w:rPr>
          <w:rFonts w:hint="default"/>
        </w:rPr>
      </w:lvl>
    </w:lvlOverride>
    <w:lvlOverride w:ilvl="5">
      <w:startOverride w:val="1"/>
      <w:lvl w:ilvl="5">
        <w:start w:val="1"/>
        <w:numFmt w:val="lowerRoman"/>
        <w:lvlText w:val="(%6)"/>
        <w:lvlJc w:val="left"/>
        <w:pPr>
          <w:tabs>
            <w:tab w:val="num" w:pos="8791"/>
          </w:tabs>
          <w:ind w:left="2441" w:hanging="284"/>
        </w:pPr>
        <w:rPr>
          <w:rFonts w:hint="default"/>
        </w:rPr>
      </w:lvl>
    </w:lvlOverride>
    <w:lvlOverride w:ilvl="6">
      <w:startOverride w:val="1"/>
      <w:lvl w:ilvl="6">
        <w:start w:val="1"/>
        <w:numFmt w:val="decimal"/>
        <w:lvlText w:val="%7."/>
        <w:lvlJc w:val="left"/>
        <w:pPr>
          <w:tabs>
            <w:tab w:val="num" w:pos="9075"/>
          </w:tabs>
          <w:ind w:left="2725" w:hanging="284"/>
        </w:pPr>
        <w:rPr>
          <w:rFonts w:hint="default"/>
        </w:rPr>
      </w:lvl>
    </w:lvlOverride>
    <w:lvlOverride w:ilvl="7">
      <w:startOverride w:val="1"/>
      <w:lvl w:ilvl="7">
        <w:start w:val="1"/>
        <w:numFmt w:val="lowerLetter"/>
        <w:lvlText w:val="%8."/>
        <w:lvlJc w:val="left"/>
        <w:pPr>
          <w:tabs>
            <w:tab w:val="num" w:pos="9359"/>
          </w:tabs>
          <w:ind w:left="3009" w:hanging="284"/>
        </w:pPr>
        <w:rPr>
          <w:rFonts w:hint="default"/>
        </w:rPr>
      </w:lvl>
    </w:lvlOverride>
    <w:lvlOverride w:ilvl="8">
      <w:startOverride w:val="1"/>
      <w:lvl w:ilvl="8">
        <w:start w:val="1"/>
        <w:numFmt w:val="lowerRoman"/>
        <w:lvlText w:val="%9."/>
        <w:lvlJc w:val="left"/>
        <w:pPr>
          <w:tabs>
            <w:tab w:val="num" w:pos="9643"/>
          </w:tabs>
          <w:ind w:left="3293" w:hanging="284"/>
        </w:pPr>
        <w:rPr>
          <w:rFonts w:hint="default"/>
        </w:rPr>
      </w:lvl>
    </w:lvlOverride>
  </w:num>
  <w:num w:numId="36" w16cid:durableId="633566698">
    <w:abstractNumId w:val="20"/>
  </w:num>
  <w:num w:numId="37" w16cid:durableId="2146503179">
    <w:abstractNumId w:val="34"/>
  </w:num>
  <w:num w:numId="38" w16cid:durableId="383524117">
    <w:abstractNumId w:val="24"/>
  </w:num>
  <w:num w:numId="39" w16cid:durableId="471362395">
    <w:abstractNumId w:val="35"/>
  </w:num>
  <w:num w:numId="40" w16cid:durableId="107163236">
    <w:abstractNumId w:val="33"/>
  </w:num>
  <w:num w:numId="41" w16cid:durableId="1033268374">
    <w:abstractNumId w:val="12"/>
  </w:num>
  <w:num w:numId="42" w16cid:durableId="1604266118">
    <w:abstractNumId w:val="11"/>
  </w:num>
  <w:num w:numId="43" w16cid:durableId="383716746">
    <w:abstractNumId w:val="8"/>
  </w:num>
  <w:num w:numId="44" w16cid:durableId="809517995">
    <w:abstractNumId w:val="37"/>
  </w:num>
  <w:num w:numId="45" w16cid:durableId="816607907">
    <w:abstractNumId w:val="27"/>
  </w:num>
  <w:num w:numId="46" w16cid:durableId="2144612097">
    <w:abstractNumId w:val="39"/>
  </w:num>
  <w:num w:numId="47" w16cid:durableId="26495717">
    <w:abstractNumId w:val="41"/>
  </w:num>
  <w:num w:numId="48" w16cid:durableId="2025865858">
    <w:abstractNumId w:val="46"/>
  </w:num>
  <w:num w:numId="49" w16cid:durableId="670716251">
    <w:abstractNumId w:val="9"/>
  </w:num>
  <w:num w:numId="50" w16cid:durableId="2006738130">
    <w:abstractNumId w:val="10"/>
  </w:num>
  <w:num w:numId="51" w16cid:durableId="291786790">
    <w:abstractNumId w:val="47"/>
  </w:num>
  <w:num w:numId="52" w16cid:durableId="826242352">
    <w:abstractNumId w:val="5"/>
  </w:num>
  <w:num w:numId="53" w16cid:durableId="2079089355">
    <w:abstractNumId w:val="32"/>
  </w:num>
  <w:num w:numId="54" w16cid:durableId="16598416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5463428">
    <w:abstractNumId w:val="22"/>
  </w:num>
  <w:num w:numId="56" w16cid:durableId="1078866093">
    <w:abstractNumId w:val="22"/>
  </w:num>
  <w:num w:numId="57" w16cid:durableId="1499882180">
    <w:abstractNumId w:val="22"/>
  </w:num>
  <w:num w:numId="58" w16cid:durableId="1455489718">
    <w:abstractNumId w:val="22"/>
  </w:num>
  <w:num w:numId="59" w16cid:durableId="2127310218">
    <w:abstractNumId w:val="22"/>
  </w:num>
  <w:num w:numId="60" w16cid:durableId="1472022702">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B56"/>
    <w:rsid w:val="00000C8B"/>
    <w:rsid w:val="0000286A"/>
    <w:rsid w:val="0000298F"/>
    <w:rsid w:val="00002B40"/>
    <w:rsid w:val="00003630"/>
    <w:rsid w:val="000036D2"/>
    <w:rsid w:val="000044A0"/>
    <w:rsid w:val="00005224"/>
    <w:rsid w:val="000068F7"/>
    <w:rsid w:val="00007C2C"/>
    <w:rsid w:val="00007CE9"/>
    <w:rsid w:val="00007FAE"/>
    <w:rsid w:val="0001058C"/>
    <w:rsid w:val="000111D3"/>
    <w:rsid w:val="0001166E"/>
    <w:rsid w:val="00013278"/>
    <w:rsid w:val="00013748"/>
    <w:rsid w:val="0001574C"/>
    <w:rsid w:val="00015799"/>
    <w:rsid w:val="000232FD"/>
    <w:rsid w:val="00024ABE"/>
    <w:rsid w:val="00024C46"/>
    <w:rsid w:val="00025BC1"/>
    <w:rsid w:val="00026C1B"/>
    <w:rsid w:val="000270AE"/>
    <w:rsid w:val="00027179"/>
    <w:rsid w:val="00030341"/>
    <w:rsid w:val="00030759"/>
    <w:rsid w:val="00031C21"/>
    <w:rsid w:val="00032047"/>
    <w:rsid w:val="00032DF9"/>
    <w:rsid w:val="00034E1C"/>
    <w:rsid w:val="00034E58"/>
    <w:rsid w:val="00035815"/>
    <w:rsid w:val="00036FD8"/>
    <w:rsid w:val="00037557"/>
    <w:rsid w:val="000379B8"/>
    <w:rsid w:val="000400F7"/>
    <w:rsid w:val="0004015B"/>
    <w:rsid w:val="00040A81"/>
    <w:rsid w:val="000435A2"/>
    <w:rsid w:val="00045B29"/>
    <w:rsid w:val="00045E20"/>
    <w:rsid w:val="00052A06"/>
    <w:rsid w:val="00053966"/>
    <w:rsid w:val="00053BA4"/>
    <w:rsid w:val="00054C84"/>
    <w:rsid w:val="00054CDA"/>
    <w:rsid w:val="000551ED"/>
    <w:rsid w:val="00055D51"/>
    <w:rsid w:val="00055FC0"/>
    <w:rsid w:val="00057197"/>
    <w:rsid w:val="00057494"/>
    <w:rsid w:val="00057FCB"/>
    <w:rsid w:val="000616DC"/>
    <w:rsid w:val="00061732"/>
    <w:rsid w:val="000621E7"/>
    <w:rsid w:val="00062AD7"/>
    <w:rsid w:val="00063DAC"/>
    <w:rsid w:val="0006404F"/>
    <w:rsid w:val="00065C3F"/>
    <w:rsid w:val="00070883"/>
    <w:rsid w:val="00071B8E"/>
    <w:rsid w:val="00072B8D"/>
    <w:rsid w:val="000744BC"/>
    <w:rsid w:val="00074CBA"/>
    <w:rsid w:val="00075852"/>
    <w:rsid w:val="00075D39"/>
    <w:rsid w:val="00076195"/>
    <w:rsid w:val="000771AF"/>
    <w:rsid w:val="00077D71"/>
    <w:rsid w:val="00077DC8"/>
    <w:rsid w:val="00082DA8"/>
    <w:rsid w:val="00083151"/>
    <w:rsid w:val="00083246"/>
    <w:rsid w:val="00083CB4"/>
    <w:rsid w:val="00084E2D"/>
    <w:rsid w:val="0008617C"/>
    <w:rsid w:val="00087FBE"/>
    <w:rsid w:val="0009116E"/>
    <w:rsid w:val="0009118F"/>
    <w:rsid w:val="000913A3"/>
    <w:rsid w:val="00092CA3"/>
    <w:rsid w:val="00093195"/>
    <w:rsid w:val="00094784"/>
    <w:rsid w:val="000953C3"/>
    <w:rsid w:val="000955D1"/>
    <w:rsid w:val="000965E3"/>
    <w:rsid w:val="000975C1"/>
    <w:rsid w:val="000A0203"/>
    <w:rsid w:val="000A0C20"/>
    <w:rsid w:val="000A183B"/>
    <w:rsid w:val="000A22AA"/>
    <w:rsid w:val="000A37FB"/>
    <w:rsid w:val="000A5632"/>
    <w:rsid w:val="000A5889"/>
    <w:rsid w:val="000A5AF4"/>
    <w:rsid w:val="000A712C"/>
    <w:rsid w:val="000A72A8"/>
    <w:rsid w:val="000B0F6E"/>
    <w:rsid w:val="000B19DA"/>
    <w:rsid w:val="000B1DA3"/>
    <w:rsid w:val="000B3EED"/>
    <w:rsid w:val="000B462E"/>
    <w:rsid w:val="000B47C7"/>
    <w:rsid w:val="000B5FFD"/>
    <w:rsid w:val="000B6CB9"/>
    <w:rsid w:val="000B7385"/>
    <w:rsid w:val="000B7A79"/>
    <w:rsid w:val="000C2B4F"/>
    <w:rsid w:val="000C2FFB"/>
    <w:rsid w:val="000C3E0C"/>
    <w:rsid w:val="000C410D"/>
    <w:rsid w:val="000C470C"/>
    <w:rsid w:val="000C4DF8"/>
    <w:rsid w:val="000C61E5"/>
    <w:rsid w:val="000C7FB2"/>
    <w:rsid w:val="000D0297"/>
    <w:rsid w:val="000D1551"/>
    <w:rsid w:val="000D3F86"/>
    <w:rsid w:val="000D45DE"/>
    <w:rsid w:val="000D462C"/>
    <w:rsid w:val="000D4855"/>
    <w:rsid w:val="000D5892"/>
    <w:rsid w:val="000E08F9"/>
    <w:rsid w:val="000E1935"/>
    <w:rsid w:val="000E1D1F"/>
    <w:rsid w:val="000E1D83"/>
    <w:rsid w:val="000E2DA0"/>
    <w:rsid w:val="000E3049"/>
    <w:rsid w:val="000E42FD"/>
    <w:rsid w:val="000E5104"/>
    <w:rsid w:val="000E5230"/>
    <w:rsid w:val="000E709A"/>
    <w:rsid w:val="000F00D9"/>
    <w:rsid w:val="000F08C3"/>
    <w:rsid w:val="000F2402"/>
    <w:rsid w:val="000F28B4"/>
    <w:rsid w:val="000F2DE2"/>
    <w:rsid w:val="000F3149"/>
    <w:rsid w:val="000F37E3"/>
    <w:rsid w:val="000F3D62"/>
    <w:rsid w:val="000F4F58"/>
    <w:rsid w:val="000F50D0"/>
    <w:rsid w:val="000F5C76"/>
    <w:rsid w:val="000F683F"/>
    <w:rsid w:val="000F7FAF"/>
    <w:rsid w:val="00100454"/>
    <w:rsid w:val="001005AC"/>
    <w:rsid w:val="00100982"/>
    <w:rsid w:val="001010A0"/>
    <w:rsid w:val="00101576"/>
    <w:rsid w:val="00101860"/>
    <w:rsid w:val="001019A1"/>
    <w:rsid w:val="001020BD"/>
    <w:rsid w:val="00102ABA"/>
    <w:rsid w:val="00103692"/>
    <w:rsid w:val="00104FA9"/>
    <w:rsid w:val="00105922"/>
    <w:rsid w:val="00106D42"/>
    <w:rsid w:val="00107541"/>
    <w:rsid w:val="001077B2"/>
    <w:rsid w:val="0010791B"/>
    <w:rsid w:val="001100D1"/>
    <w:rsid w:val="0011040E"/>
    <w:rsid w:val="00110802"/>
    <w:rsid w:val="0011398D"/>
    <w:rsid w:val="00113DAB"/>
    <w:rsid w:val="001141A4"/>
    <w:rsid w:val="001141AE"/>
    <w:rsid w:val="00116250"/>
    <w:rsid w:val="00116EEC"/>
    <w:rsid w:val="0011711C"/>
    <w:rsid w:val="00117F14"/>
    <w:rsid w:val="0012018A"/>
    <w:rsid w:val="001206BD"/>
    <w:rsid w:val="00121694"/>
    <w:rsid w:val="00121AE4"/>
    <w:rsid w:val="00124714"/>
    <w:rsid w:val="00124B3E"/>
    <w:rsid w:val="001270C1"/>
    <w:rsid w:val="00127BAE"/>
    <w:rsid w:val="001302A7"/>
    <w:rsid w:val="0013103A"/>
    <w:rsid w:val="001312D6"/>
    <w:rsid w:val="001314C5"/>
    <w:rsid w:val="001333C0"/>
    <w:rsid w:val="00133511"/>
    <w:rsid w:val="00134839"/>
    <w:rsid w:val="00134FBB"/>
    <w:rsid w:val="0013671F"/>
    <w:rsid w:val="00136A27"/>
    <w:rsid w:val="00136A2D"/>
    <w:rsid w:val="00136A74"/>
    <w:rsid w:val="00136E4E"/>
    <w:rsid w:val="00137883"/>
    <w:rsid w:val="0014132D"/>
    <w:rsid w:val="00143C3B"/>
    <w:rsid w:val="00144389"/>
    <w:rsid w:val="00147D09"/>
    <w:rsid w:val="00154484"/>
    <w:rsid w:val="00155BEC"/>
    <w:rsid w:val="00157E37"/>
    <w:rsid w:val="00160491"/>
    <w:rsid w:val="00161AC6"/>
    <w:rsid w:val="00161B51"/>
    <w:rsid w:val="00162154"/>
    <w:rsid w:val="00162275"/>
    <w:rsid w:val="00162425"/>
    <w:rsid w:val="00162777"/>
    <w:rsid w:val="00163D07"/>
    <w:rsid w:val="001640A1"/>
    <w:rsid w:val="001652D7"/>
    <w:rsid w:val="0016584F"/>
    <w:rsid w:val="00167399"/>
    <w:rsid w:val="00170752"/>
    <w:rsid w:val="001708F4"/>
    <w:rsid w:val="00170DAF"/>
    <w:rsid w:val="001724BC"/>
    <w:rsid w:val="0017337C"/>
    <w:rsid w:val="0017358E"/>
    <w:rsid w:val="001737F5"/>
    <w:rsid w:val="00174DD0"/>
    <w:rsid w:val="0017526C"/>
    <w:rsid w:val="00175465"/>
    <w:rsid w:val="00175679"/>
    <w:rsid w:val="00175E64"/>
    <w:rsid w:val="00176786"/>
    <w:rsid w:val="00176FD4"/>
    <w:rsid w:val="0017710E"/>
    <w:rsid w:val="0017731E"/>
    <w:rsid w:val="001776E0"/>
    <w:rsid w:val="00177731"/>
    <w:rsid w:val="001807CA"/>
    <w:rsid w:val="00182D1F"/>
    <w:rsid w:val="001836F6"/>
    <w:rsid w:val="00184200"/>
    <w:rsid w:val="00185409"/>
    <w:rsid w:val="00186AFB"/>
    <w:rsid w:val="00190510"/>
    <w:rsid w:val="00190A11"/>
    <w:rsid w:val="00192BEA"/>
    <w:rsid w:val="00193582"/>
    <w:rsid w:val="001935FF"/>
    <w:rsid w:val="00193A30"/>
    <w:rsid w:val="0019584F"/>
    <w:rsid w:val="00196B82"/>
    <w:rsid w:val="00196C26"/>
    <w:rsid w:val="001A03A7"/>
    <w:rsid w:val="001A11D1"/>
    <w:rsid w:val="001A14D8"/>
    <w:rsid w:val="001A1637"/>
    <w:rsid w:val="001A2B2A"/>
    <w:rsid w:val="001A2BAB"/>
    <w:rsid w:val="001A30E8"/>
    <w:rsid w:val="001A3362"/>
    <w:rsid w:val="001A33B7"/>
    <w:rsid w:val="001A58BE"/>
    <w:rsid w:val="001A5A98"/>
    <w:rsid w:val="001A639A"/>
    <w:rsid w:val="001A69A2"/>
    <w:rsid w:val="001A6AE6"/>
    <w:rsid w:val="001A6F4A"/>
    <w:rsid w:val="001A7694"/>
    <w:rsid w:val="001A76AA"/>
    <w:rsid w:val="001B310A"/>
    <w:rsid w:val="001B38D8"/>
    <w:rsid w:val="001B4AC8"/>
    <w:rsid w:val="001B52A0"/>
    <w:rsid w:val="001B5F65"/>
    <w:rsid w:val="001B6BA6"/>
    <w:rsid w:val="001B6CCB"/>
    <w:rsid w:val="001B747C"/>
    <w:rsid w:val="001B7B5E"/>
    <w:rsid w:val="001B7CDA"/>
    <w:rsid w:val="001B7E2B"/>
    <w:rsid w:val="001C0AE1"/>
    <w:rsid w:val="001C0C6B"/>
    <w:rsid w:val="001C1E69"/>
    <w:rsid w:val="001C35E9"/>
    <w:rsid w:val="001C3A38"/>
    <w:rsid w:val="001C511E"/>
    <w:rsid w:val="001C51AC"/>
    <w:rsid w:val="001D0B96"/>
    <w:rsid w:val="001D0E78"/>
    <w:rsid w:val="001D11F8"/>
    <w:rsid w:val="001D16CA"/>
    <w:rsid w:val="001D3CBE"/>
    <w:rsid w:val="001D741B"/>
    <w:rsid w:val="001D7549"/>
    <w:rsid w:val="001D7BE0"/>
    <w:rsid w:val="001E0198"/>
    <w:rsid w:val="001E0E78"/>
    <w:rsid w:val="001E1404"/>
    <w:rsid w:val="001E15F5"/>
    <w:rsid w:val="001E197C"/>
    <w:rsid w:val="001E2A98"/>
    <w:rsid w:val="001E3099"/>
    <w:rsid w:val="001E3732"/>
    <w:rsid w:val="001E3DB5"/>
    <w:rsid w:val="001E5FC4"/>
    <w:rsid w:val="001E6C52"/>
    <w:rsid w:val="001E79E0"/>
    <w:rsid w:val="001E7E7B"/>
    <w:rsid w:val="001F0823"/>
    <w:rsid w:val="001F1007"/>
    <w:rsid w:val="001F3913"/>
    <w:rsid w:val="001F435C"/>
    <w:rsid w:val="001F4C7F"/>
    <w:rsid w:val="001F6C35"/>
    <w:rsid w:val="0020292B"/>
    <w:rsid w:val="00202B37"/>
    <w:rsid w:val="002033DF"/>
    <w:rsid w:val="002039DC"/>
    <w:rsid w:val="00205972"/>
    <w:rsid w:val="0020679D"/>
    <w:rsid w:val="00206A27"/>
    <w:rsid w:val="00207019"/>
    <w:rsid w:val="00211E67"/>
    <w:rsid w:val="00215A55"/>
    <w:rsid w:val="00216CF7"/>
    <w:rsid w:val="00216EDE"/>
    <w:rsid w:val="00216F13"/>
    <w:rsid w:val="0022008D"/>
    <w:rsid w:val="00222191"/>
    <w:rsid w:val="00222C71"/>
    <w:rsid w:val="00223EC4"/>
    <w:rsid w:val="002267EE"/>
    <w:rsid w:val="0023022E"/>
    <w:rsid w:val="0023065D"/>
    <w:rsid w:val="00230F57"/>
    <w:rsid w:val="00231A11"/>
    <w:rsid w:val="00231ED4"/>
    <w:rsid w:val="00232FB9"/>
    <w:rsid w:val="002347AA"/>
    <w:rsid w:val="00235040"/>
    <w:rsid w:val="002374D4"/>
    <w:rsid w:val="00240131"/>
    <w:rsid w:val="0024035F"/>
    <w:rsid w:val="002418F1"/>
    <w:rsid w:val="00243C09"/>
    <w:rsid w:val="00244191"/>
    <w:rsid w:val="00244791"/>
    <w:rsid w:val="00244B56"/>
    <w:rsid w:val="00244BE9"/>
    <w:rsid w:val="00246165"/>
    <w:rsid w:val="002466C0"/>
    <w:rsid w:val="0024675B"/>
    <w:rsid w:val="00246C10"/>
    <w:rsid w:val="002477A5"/>
    <w:rsid w:val="00250E24"/>
    <w:rsid w:val="00252EA1"/>
    <w:rsid w:val="002538A4"/>
    <w:rsid w:val="002564EB"/>
    <w:rsid w:val="00256BBA"/>
    <w:rsid w:val="002575EC"/>
    <w:rsid w:val="00257752"/>
    <w:rsid w:val="00263425"/>
    <w:rsid w:val="00263835"/>
    <w:rsid w:val="0026399B"/>
    <w:rsid w:val="0026402B"/>
    <w:rsid w:val="002654B5"/>
    <w:rsid w:val="00265B25"/>
    <w:rsid w:val="0026633C"/>
    <w:rsid w:val="002665E3"/>
    <w:rsid w:val="00267270"/>
    <w:rsid w:val="002677C8"/>
    <w:rsid w:val="0027079E"/>
    <w:rsid w:val="00271DAE"/>
    <w:rsid w:val="00272518"/>
    <w:rsid w:val="0027299A"/>
    <w:rsid w:val="00272D19"/>
    <w:rsid w:val="00272E43"/>
    <w:rsid w:val="002731AE"/>
    <w:rsid w:val="002750CE"/>
    <w:rsid w:val="00275546"/>
    <w:rsid w:val="00276707"/>
    <w:rsid w:val="0028049D"/>
    <w:rsid w:val="002815F6"/>
    <w:rsid w:val="002817B0"/>
    <w:rsid w:val="0028524F"/>
    <w:rsid w:val="00285549"/>
    <w:rsid w:val="0028568D"/>
    <w:rsid w:val="00285821"/>
    <w:rsid w:val="00286A37"/>
    <w:rsid w:val="00286EB4"/>
    <w:rsid w:val="00286F8A"/>
    <w:rsid w:val="00287D23"/>
    <w:rsid w:val="00287E17"/>
    <w:rsid w:val="002901B8"/>
    <w:rsid w:val="00290222"/>
    <w:rsid w:val="00290CF8"/>
    <w:rsid w:val="00291A57"/>
    <w:rsid w:val="002921AC"/>
    <w:rsid w:val="00292A0A"/>
    <w:rsid w:val="00293E9B"/>
    <w:rsid w:val="00293F96"/>
    <w:rsid w:val="00295681"/>
    <w:rsid w:val="00296436"/>
    <w:rsid w:val="002969F7"/>
    <w:rsid w:val="002A0099"/>
    <w:rsid w:val="002A0CC9"/>
    <w:rsid w:val="002A2A6B"/>
    <w:rsid w:val="002A3146"/>
    <w:rsid w:val="002A3908"/>
    <w:rsid w:val="002A3E43"/>
    <w:rsid w:val="002A4F78"/>
    <w:rsid w:val="002A60C2"/>
    <w:rsid w:val="002A67C2"/>
    <w:rsid w:val="002A79CD"/>
    <w:rsid w:val="002B2B46"/>
    <w:rsid w:val="002B3113"/>
    <w:rsid w:val="002B482D"/>
    <w:rsid w:val="002B5953"/>
    <w:rsid w:val="002B6C97"/>
    <w:rsid w:val="002B756C"/>
    <w:rsid w:val="002C0420"/>
    <w:rsid w:val="002C085F"/>
    <w:rsid w:val="002C1D11"/>
    <w:rsid w:val="002C368B"/>
    <w:rsid w:val="002C3A75"/>
    <w:rsid w:val="002C458A"/>
    <w:rsid w:val="002C4B3D"/>
    <w:rsid w:val="002C58A0"/>
    <w:rsid w:val="002C5B48"/>
    <w:rsid w:val="002C700C"/>
    <w:rsid w:val="002C76C4"/>
    <w:rsid w:val="002D0251"/>
    <w:rsid w:val="002D0FB4"/>
    <w:rsid w:val="002D136C"/>
    <w:rsid w:val="002D2282"/>
    <w:rsid w:val="002D26EC"/>
    <w:rsid w:val="002D2758"/>
    <w:rsid w:val="002D74F2"/>
    <w:rsid w:val="002D79DC"/>
    <w:rsid w:val="002D79F8"/>
    <w:rsid w:val="002E0437"/>
    <w:rsid w:val="002E2AAA"/>
    <w:rsid w:val="002E2C7B"/>
    <w:rsid w:val="002E3AF4"/>
    <w:rsid w:val="002E3D60"/>
    <w:rsid w:val="002E5419"/>
    <w:rsid w:val="002E5D97"/>
    <w:rsid w:val="002F07BE"/>
    <w:rsid w:val="002F0D73"/>
    <w:rsid w:val="002F1C6A"/>
    <w:rsid w:val="002F32B0"/>
    <w:rsid w:val="002F4276"/>
    <w:rsid w:val="002F47BF"/>
    <w:rsid w:val="002F5E05"/>
    <w:rsid w:val="002F7EE9"/>
    <w:rsid w:val="003000E8"/>
    <w:rsid w:val="003005BE"/>
    <w:rsid w:val="00300E52"/>
    <w:rsid w:val="0030198D"/>
    <w:rsid w:val="00301B57"/>
    <w:rsid w:val="003030C4"/>
    <w:rsid w:val="003057EB"/>
    <w:rsid w:val="0030583E"/>
    <w:rsid w:val="00305A3A"/>
    <w:rsid w:val="00306D54"/>
    <w:rsid w:val="00307CD1"/>
    <w:rsid w:val="00310187"/>
    <w:rsid w:val="003103A1"/>
    <w:rsid w:val="00311A47"/>
    <w:rsid w:val="00312F92"/>
    <w:rsid w:val="00314F80"/>
    <w:rsid w:val="003164C5"/>
    <w:rsid w:val="00316C05"/>
    <w:rsid w:val="003175F2"/>
    <w:rsid w:val="003204FF"/>
    <w:rsid w:val="003229AA"/>
    <w:rsid w:val="00322CE9"/>
    <w:rsid w:val="00323715"/>
    <w:rsid w:val="003255F2"/>
    <w:rsid w:val="00326038"/>
    <w:rsid w:val="00326473"/>
    <w:rsid w:val="00330B20"/>
    <w:rsid w:val="00330BD8"/>
    <w:rsid w:val="00331A51"/>
    <w:rsid w:val="0033246B"/>
    <w:rsid w:val="00332B59"/>
    <w:rsid w:val="0033506F"/>
    <w:rsid w:val="00335767"/>
    <w:rsid w:val="00335BD0"/>
    <w:rsid w:val="0033678D"/>
    <w:rsid w:val="003368BC"/>
    <w:rsid w:val="003368EB"/>
    <w:rsid w:val="0034039B"/>
    <w:rsid w:val="00342113"/>
    <w:rsid w:val="0034368D"/>
    <w:rsid w:val="0034373A"/>
    <w:rsid w:val="0034543C"/>
    <w:rsid w:val="0034596C"/>
    <w:rsid w:val="00345DE2"/>
    <w:rsid w:val="00345E88"/>
    <w:rsid w:val="0034687D"/>
    <w:rsid w:val="00346A65"/>
    <w:rsid w:val="00347F09"/>
    <w:rsid w:val="00351F19"/>
    <w:rsid w:val="00352449"/>
    <w:rsid w:val="00353FA7"/>
    <w:rsid w:val="0035766E"/>
    <w:rsid w:val="00357AE3"/>
    <w:rsid w:val="003605CF"/>
    <w:rsid w:val="003612EB"/>
    <w:rsid w:val="003661AA"/>
    <w:rsid w:val="00366C7A"/>
    <w:rsid w:val="003671F4"/>
    <w:rsid w:val="003679CC"/>
    <w:rsid w:val="00370006"/>
    <w:rsid w:val="00371528"/>
    <w:rsid w:val="00371ADC"/>
    <w:rsid w:val="0037216A"/>
    <w:rsid w:val="00373531"/>
    <w:rsid w:val="00373535"/>
    <w:rsid w:val="003736E8"/>
    <w:rsid w:val="00373CAB"/>
    <w:rsid w:val="00374753"/>
    <w:rsid w:val="003752DA"/>
    <w:rsid w:val="00375A2D"/>
    <w:rsid w:val="00377877"/>
    <w:rsid w:val="00377A6B"/>
    <w:rsid w:val="003810F2"/>
    <w:rsid w:val="00381F4F"/>
    <w:rsid w:val="00382D37"/>
    <w:rsid w:val="00383CDB"/>
    <w:rsid w:val="00384FBC"/>
    <w:rsid w:val="00385280"/>
    <w:rsid w:val="00391207"/>
    <w:rsid w:val="00391980"/>
    <w:rsid w:val="00392147"/>
    <w:rsid w:val="0039482E"/>
    <w:rsid w:val="00396E48"/>
    <w:rsid w:val="003A0DB1"/>
    <w:rsid w:val="003A1ACE"/>
    <w:rsid w:val="003A20B1"/>
    <w:rsid w:val="003A2309"/>
    <w:rsid w:val="003A27F4"/>
    <w:rsid w:val="003A3347"/>
    <w:rsid w:val="003A5271"/>
    <w:rsid w:val="003A72E5"/>
    <w:rsid w:val="003B03D8"/>
    <w:rsid w:val="003B06F0"/>
    <w:rsid w:val="003B09A0"/>
    <w:rsid w:val="003B0E97"/>
    <w:rsid w:val="003B18B1"/>
    <w:rsid w:val="003B228F"/>
    <w:rsid w:val="003B24B2"/>
    <w:rsid w:val="003B524C"/>
    <w:rsid w:val="003B5404"/>
    <w:rsid w:val="003B7795"/>
    <w:rsid w:val="003B7B18"/>
    <w:rsid w:val="003B7D3C"/>
    <w:rsid w:val="003C0C76"/>
    <w:rsid w:val="003C0E69"/>
    <w:rsid w:val="003C1642"/>
    <w:rsid w:val="003C1822"/>
    <w:rsid w:val="003C2BE8"/>
    <w:rsid w:val="003C3D03"/>
    <w:rsid w:val="003C3E6A"/>
    <w:rsid w:val="003C5B66"/>
    <w:rsid w:val="003C607F"/>
    <w:rsid w:val="003C6FEF"/>
    <w:rsid w:val="003C7080"/>
    <w:rsid w:val="003D0028"/>
    <w:rsid w:val="003D06FB"/>
    <w:rsid w:val="003D0EA6"/>
    <w:rsid w:val="003D22B0"/>
    <w:rsid w:val="003D37DB"/>
    <w:rsid w:val="003D3EBC"/>
    <w:rsid w:val="003D64A8"/>
    <w:rsid w:val="003D6AE1"/>
    <w:rsid w:val="003D7B37"/>
    <w:rsid w:val="003D7DA6"/>
    <w:rsid w:val="003E0C76"/>
    <w:rsid w:val="003E324C"/>
    <w:rsid w:val="003E4E1F"/>
    <w:rsid w:val="003E55F7"/>
    <w:rsid w:val="003E5891"/>
    <w:rsid w:val="003E614B"/>
    <w:rsid w:val="003E7324"/>
    <w:rsid w:val="003F0257"/>
    <w:rsid w:val="003F34C9"/>
    <w:rsid w:val="003F3634"/>
    <w:rsid w:val="003F466D"/>
    <w:rsid w:val="003F51BA"/>
    <w:rsid w:val="003F5A9E"/>
    <w:rsid w:val="003F6BE2"/>
    <w:rsid w:val="003F6D88"/>
    <w:rsid w:val="003F6E2B"/>
    <w:rsid w:val="004009F6"/>
    <w:rsid w:val="00400B39"/>
    <w:rsid w:val="00401143"/>
    <w:rsid w:val="0040188D"/>
    <w:rsid w:val="00401A4F"/>
    <w:rsid w:val="004043CA"/>
    <w:rsid w:val="004073DB"/>
    <w:rsid w:val="00410C9E"/>
    <w:rsid w:val="00410CB2"/>
    <w:rsid w:val="00410E28"/>
    <w:rsid w:val="004115F9"/>
    <w:rsid w:val="00415458"/>
    <w:rsid w:val="00416845"/>
    <w:rsid w:val="00416CC6"/>
    <w:rsid w:val="004218FA"/>
    <w:rsid w:val="00421CE6"/>
    <w:rsid w:val="004224BC"/>
    <w:rsid w:val="00422752"/>
    <w:rsid w:val="00422BB5"/>
    <w:rsid w:val="00423682"/>
    <w:rsid w:val="00427FC2"/>
    <w:rsid w:val="0043072C"/>
    <w:rsid w:val="00430E61"/>
    <w:rsid w:val="00432D8A"/>
    <w:rsid w:val="00433740"/>
    <w:rsid w:val="00437101"/>
    <w:rsid w:val="00442916"/>
    <w:rsid w:val="00443884"/>
    <w:rsid w:val="00443E89"/>
    <w:rsid w:val="00444637"/>
    <w:rsid w:val="00446347"/>
    <w:rsid w:val="00446523"/>
    <w:rsid w:val="0044722E"/>
    <w:rsid w:val="0044777A"/>
    <w:rsid w:val="00450205"/>
    <w:rsid w:val="004510FC"/>
    <w:rsid w:val="0045123D"/>
    <w:rsid w:val="00451821"/>
    <w:rsid w:val="004546B0"/>
    <w:rsid w:val="00455482"/>
    <w:rsid w:val="004554E1"/>
    <w:rsid w:val="0045618E"/>
    <w:rsid w:val="004562EC"/>
    <w:rsid w:val="0045736C"/>
    <w:rsid w:val="00457B2F"/>
    <w:rsid w:val="00457C33"/>
    <w:rsid w:val="004603DB"/>
    <w:rsid w:val="004605FE"/>
    <w:rsid w:val="00460BEA"/>
    <w:rsid w:val="00461910"/>
    <w:rsid w:val="0046322D"/>
    <w:rsid w:val="00467F4D"/>
    <w:rsid w:val="00470173"/>
    <w:rsid w:val="00470E01"/>
    <w:rsid w:val="00472E54"/>
    <w:rsid w:val="00477155"/>
    <w:rsid w:val="004779D8"/>
    <w:rsid w:val="004779F0"/>
    <w:rsid w:val="00477C88"/>
    <w:rsid w:val="00480ECC"/>
    <w:rsid w:val="004815EE"/>
    <w:rsid w:val="004824F6"/>
    <w:rsid w:val="004826E0"/>
    <w:rsid w:val="00482A95"/>
    <w:rsid w:val="00482B7E"/>
    <w:rsid w:val="00482EE6"/>
    <w:rsid w:val="00484D98"/>
    <w:rsid w:val="00485E92"/>
    <w:rsid w:val="004864FB"/>
    <w:rsid w:val="004870B2"/>
    <w:rsid w:val="0048713B"/>
    <w:rsid w:val="00487C1E"/>
    <w:rsid w:val="00491285"/>
    <w:rsid w:val="00491DFF"/>
    <w:rsid w:val="00492B9D"/>
    <w:rsid w:val="004942F1"/>
    <w:rsid w:val="00494B76"/>
    <w:rsid w:val="004955B3"/>
    <w:rsid w:val="0049596E"/>
    <w:rsid w:val="004961F0"/>
    <w:rsid w:val="00496259"/>
    <w:rsid w:val="004A24F0"/>
    <w:rsid w:val="004A2741"/>
    <w:rsid w:val="004A3742"/>
    <w:rsid w:val="004A3C33"/>
    <w:rsid w:val="004A4A67"/>
    <w:rsid w:val="004A512B"/>
    <w:rsid w:val="004A5A60"/>
    <w:rsid w:val="004A7F49"/>
    <w:rsid w:val="004B2622"/>
    <w:rsid w:val="004B36DC"/>
    <w:rsid w:val="004B3E30"/>
    <w:rsid w:val="004B4976"/>
    <w:rsid w:val="004B5D0E"/>
    <w:rsid w:val="004B65A0"/>
    <w:rsid w:val="004B6F57"/>
    <w:rsid w:val="004C032C"/>
    <w:rsid w:val="004C1BDB"/>
    <w:rsid w:val="004C1FD5"/>
    <w:rsid w:val="004C2AB8"/>
    <w:rsid w:val="004C363E"/>
    <w:rsid w:val="004C6DAD"/>
    <w:rsid w:val="004D0A38"/>
    <w:rsid w:val="004D133B"/>
    <w:rsid w:val="004D1C4F"/>
    <w:rsid w:val="004D1E06"/>
    <w:rsid w:val="004D1E56"/>
    <w:rsid w:val="004D1F97"/>
    <w:rsid w:val="004D2902"/>
    <w:rsid w:val="004D3800"/>
    <w:rsid w:val="004D421D"/>
    <w:rsid w:val="004D57E8"/>
    <w:rsid w:val="004D5E32"/>
    <w:rsid w:val="004D5EE1"/>
    <w:rsid w:val="004D668C"/>
    <w:rsid w:val="004D6C3C"/>
    <w:rsid w:val="004E0E02"/>
    <w:rsid w:val="004E150B"/>
    <w:rsid w:val="004E19B5"/>
    <w:rsid w:val="004E2D56"/>
    <w:rsid w:val="004E3295"/>
    <w:rsid w:val="004E33AE"/>
    <w:rsid w:val="004E3F49"/>
    <w:rsid w:val="004E74BD"/>
    <w:rsid w:val="004E7E4D"/>
    <w:rsid w:val="004F0B68"/>
    <w:rsid w:val="004F197D"/>
    <w:rsid w:val="004F2FE0"/>
    <w:rsid w:val="004F3BEF"/>
    <w:rsid w:val="004F6B2A"/>
    <w:rsid w:val="004F736A"/>
    <w:rsid w:val="004F759C"/>
    <w:rsid w:val="004F75C4"/>
    <w:rsid w:val="005018CA"/>
    <w:rsid w:val="00502FC0"/>
    <w:rsid w:val="0050359B"/>
    <w:rsid w:val="00504598"/>
    <w:rsid w:val="00505F04"/>
    <w:rsid w:val="00506641"/>
    <w:rsid w:val="005078ED"/>
    <w:rsid w:val="005107EF"/>
    <w:rsid w:val="0051081C"/>
    <w:rsid w:val="005116E1"/>
    <w:rsid w:val="005117CD"/>
    <w:rsid w:val="0051251B"/>
    <w:rsid w:val="00512726"/>
    <w:rsid w:val="00515E60"/>
    <w:rsid w:val="00517045"/>
    <w:rsid w:val="00517443"/>
    <w:rsid w:val="005179AD"/>
    <w:rsid w:val="00517E0B"/>
    <w:rsid w:val="0052082B"/>
    <w:rsid w:val="005209D1"/>
    <w:rsid w:val="00520E87"/>
    <w:rsid w:val="005211A0"/>
    <w:rsid w:val="00521E44"/>
    <w:rsid w:val="00523934"/>
    <w:rsid w:val="00523D35"/>
    <w:rsid w:val="005246B2"/>
    <w:rsid w:val="0052516C"/>
    <w:rsid w:val="005255CB"/>
    <w:rsid w:val="005265BB"/>
    <w:rsid w:val="00526652"/>
    <w:rsid w:val="005269C1"/>
    <w:rsid w:val="005269E6"/>
    <w:rsid w:val="00526F40"/>
    <w:rsid w:val="00527386"/>
    <w:rsid w:val="005329DD"/>
    <w:rsid w:val="005368F8"/>
    <w:rsid w:val="00540C8A"/>
    <w:rsid w:val="005410C7"/>
    <w:rsid w:val="00541211"/>
    <w:rsid w:val="00541954"/>
    <w:rsid w:val="00541F35"/>
    <w:rsid w:val="00541FE6"/>
    <w:rsid w:val="0054284F"/>
    <w:rsid w:val="00542A80"/>
    <w:rsid w:val="00543A48"/>
    <w:rsid w:val="005455E0"/>
    <w:rsid w:val="00546F68"/>
    <w:rsid w:val="00551341"/>
    <w:rsid w:val="005516A0"/>
    <w:rsid w:val="00551E4A"/>
    <w:rsid w:val="005520D9"/>
    <w:rsid w:val="00552A7A"/>
    <w:rsid w:val="00554797"/>
    <w:rsid w:val="005549E4"/>
    <w:rsid w:val="00555115"/>
    <w:rsid w:val="00555AB6"/>
    <w:rsid w:val="00556BCC"/>
    <w:rsid w:val="00557C4C"/>
    <w:rsid w:val="00560C8B"/>
    <w:rsid w:val="00560DBA"/>
    <w:rsid w:val="00561417"/>
    <w:rsid w:val="00562AD3"/>
    <w:rsid w:val="0056357E"/>
    <w:rsid w:val="005641A6"/>
    <w:rsid w:val="00564686"/>
    <w:rsid w:val="005647A6"/>
    <w:rsid w:val="005648A7"/>
    <w:rsid w:val="00564BD5"/>
    <w:rsid w:val="00565C71"/>
    <w:rsid w:val="005708DB"/>
    <w:rsid w:val="00571757"/>
    <w:rsid w:val="00573400"/>
    <w:rsid w:val="00573616"/>
    <w:rsid w:val="005740B0"/>
    <w:rsid w:val="005741B0"/>
    <w:rsid w:val="00574826"/>
    <w:rsid w:val="005749CB"/>
    <w:rsid w:val="0057588F"/>
    <w:rsid w:val="0057798B"/>
    <w:rsid w:val="00580EEF"/>
    <w:rsid w:val="0058119B"/>
    <w:rsid w:val="00581AD3"/>
    <w:rsid w:val="005822CE"/>
    <w:rsid w:val="0058277F"/>
    <w:rsid w:val="00582B51"/>
    <w:rsid w:val="00582D16"/>
    <w:rsid w:val="00584412"/>
    <w:rsid w:val="00584440"/>
    <w:rsid w:val="0058457D"/>
    <w:rsid w:val="005912E3"/>
    <w:rsid w:val="00591804"/>
    <w:rsid w:val="00593811"/>
    <w:rsid w:val="00595C47"/>
    <w:rsid w:val="00595D67"/>
    <w:rsid w:val="00595EE4"/>
    <w:rsid w:val="0059700F"/>
    <w:rsid w:val="005A07E2"/>
    <w:rsid w:val="005A09CD"/>
    <w:rsid w:val="005A1083"/>
    <w:rsid w:val="005A1715"/>
    <w:rsid w:val="005A1E32"/>
    <w:rsid w:val="005A20A6"/>
    <w:rsid w:val="005A2572"/>
    <w:rsid w:val="005A29D6"/>
    <w:rsid w:val="005A419C"/>
    <w:rsid w:val="005A4C72"/>
    <w:rsid w:val="005A58B0"/>
    <w:rsid w:val="005A646E"/>
    <w:rsid w:val="005A6862"/>
    <w:rsid w:val="005A6A61"/>
    <w:rsid w:val="005A72E2"/>
    <w:rsid w:val="005A78CA"/>
    <w:rsid w:val="005B038A"/>
    <w:rsid w:val="005B15C5"/>
    <w:rsid w:val="005B1B5A"/>
    <w:rsid w:val="005B2874"/>
    <w:rsid w:val="005B3097"/>
    <w:rsid w:val="005B311A"/>
    <w:rsid w:val="005B4E22"/>
    <w:rsid w:val="005B61B0"/>
    <w:rsid w:val="005B65A1"/>
    <w:rsid w:val="005B7B74"/>
    <w:rsid w:val="005B7C9C"/>
    <w:rsid w:val="005C0363"/>
    <w:rsid w:val="005C04E2"/>
    <w:rsid w:val="005C04F5"/>
    <w:rsid w:val="005C0D34"/>
    <w:rsid w:val="005C0EBF"/>
    <w:rsid w:val="005C2334"/>
    <w:rsid w:val="005C250D"/>
    <w:rsid w:val="005C53D4"/>
    <w:rsid w:val="005C5711"/>
    <w:rsid w:val="005C647A"/>
    <w:rsid w:val="005C66ED"/>
    <w:rsid w:val="005C6A7B"/>
    <w:rsid w:val="005C7C0D"/>
    <w:rsid w:val="005D0054"/>
    <w:rsid w:val="005D0D32"/>
    <w:rsid w:val="005D2BEE"/>
    <w:rsid w:val="005D409A"/>
    <w:rsid w:val="005D6390"/>
    <w:rsid w:val="005D66F5"/>
    <w:rsid w:val="005E131E"/>
    <w:rsid w:val="005E2094"/>
    <w:rsid w:val="005E22E1"/>
    <w:rsid w:val="005E3C59"/>
    <w:rsid w:val="005E5F13"/>
    <w:rsid w:val="005E608F"/>
    <w:rsid w:val="005E7C16"/>
    <w:rsid w:val="005F01DF"/>
    <w:rsid w:val="005F1828"/>
    <w:rsid w:val="005F1D1A"/>
    <w:rsid w:val="005F2B7F"/>
    <w:rsid w:val="005F3FCA"/>
    <w:rsid w:val="005F522E"/>
    <w:rsid w:val="005F62FA"/>
    <w:rsid w:val="005F6403"/>
    <w:rsid w:val="005F6FCF"/>
    <w:rsid w:val="005F7286"/>
    <w:rsid w:val="005F7AA9"/>
    <w:rsid w:val="006002F0"/>
    <w:rsid w:val="00600829"/>
    <w:rsid w:val="00602D88"/>
    <w:rsid w:val="006033BF"/>
    <w:rsid w:val="00604419"/>
    <w:rsid w:val="00604DCB"/>
    <w:rsid w:val="006061C4"/>
    <w:rsid w:val="006064D1"/>
    <w:rsid w:val="00606F39"/>
    <w:rsid w:val="00607DB4"/>
    <w:rsid w:val="006101DF"/>
    <w:rsid w:val="0061095E"/>
    <w:rsid w:val="00610DD3"/>
    <w:rsid w:val="00610F76"/>
    <w:rsid w:val="00611690"/>
    <w:rsid w:val="006118B5"/>
    <w:rsid w:val="00613759"/>
    <w:rsid w:val="00615910"/>
    <w:rsid w:val="00615B29"/>
    <w:rsid w:val="006168C5"/>
    <w:rsid w:val="00616D68"/>
    <w:rsid w:val="00617481"/>
    <w:rsid w:val="00617D96"/>
    <w:rsid w:val="00620F1E"/>
    <w:rsid w:val="006214FF"/>
    <w:rsid w:val="00621A82"/>
    <w:rsid w:val="00622A35"/>
    <w:rsid w:val="00623679"/>
    <w:rsid w:val="0062378F"/>
    <w:rsid w:val="00624DF7"/>
    <w:rsid w:val="00625FED"/>
    <w:rsid w:val="00626A6E"/>
    <w:rsid w:val="00626CCB"/>
    <w:rsid w:val="006279F0"/>
    <w:rsid w:val="00630AC5"/>
    <w:rsid w:val="00631E3F"/>
    <w:rsid w:val="006328FC"/>
    <w:rsid w:val="006333A5"/>
    <w:rsid w:val="00633EA6"/>
    <w:rsid w:val="0063412F"/>
    <w:rsid w:val="00634158"/>
    <w:rsid w:val="00635743"/>
    <w:rsid w:val="00636880"/>
    <w:rsid w:val="0063698B"/>
    <w:rsid w:val="00636B65"/>
    <w:rsid w:val="00636C63"/>
    <w:rsid w:val="00640D68"/>
    <w:rsid w:val="00642369"/>
    <w:rsid w:val="00642A4E"/>
    <w:rsid w:val="00642CCF"/>
    <w:rsid w:val="00643354"/>
    <w:rsid w:val="006459B9"/>
    <w:rsid w:val="0064665A"/>
    <w:rsid w:val="006504C8"/>
    <w:rsid w:val="00651DA6"/>
    <w:rsid w:val="0065271E"/>
    <w:rsid w:val="00653F0F"/>
    <w:rsid w:val="00654D86"/>
    <w:rsid w:val="0065591B"/>
    <w:rsid w:val="00655E21"/>
    <w:rsid w:val="006560AD"/>
    <w:rsid w:val="006564E2"/>
    <w:rsid w:val="0065653A"/>
    <w:rsid w:val="0065703F"/>
    <w:rsid w:val="006572F8"/>
    <w:rsid w:val="00657828"/>
    <w:rsid w:val="00664317"/>
    <w:rsid w:val="0066663F"/>
    <w:rsid w:val="00666F8A"/>
    <w:rsid w:val="006704CD"/>
    <w:rsid w:val="00670BBC"/>
    <w:rsid w:val="00670DAF"/>
    <w:rsid w:val="006710B5"/>
    <w:rsid w:val="00673698"/>
    <w:rsid w:val="00673AB8"/>
    <w:rsid w:val="00673D48"/>
    <w:rsid w:val="00674873"/>
    <w:rsid w:val="006750A3"/>
    <w:rsid w:val="006757D5"/>
    <w:rsid w:val="00681461"/>
    <w:rsid w:val="006818B4"/>
    <w:rsid w:val="00681BBB"/>
    <w:rsid w:val="00681EE8"/>
    <w:rsid w:val="00682BA1"/>
    <w:rsid w:val="0068307E"/>
    <w:rsid w:val="00683376"/>
    <w:rsid w:val="00683BB9"/>
    <w:rsid w:val="00683BF1"/>
    <w:rsid w:val="006864B6"/>
    <w:rsid w:val="006876C5"/>
    <w:rsid w:val="00690126"/>
    <w:rsid w:val="00690E94"/>
    <w:rsid w:val="00690F5C"/>
    <w:rsid w:val="006910B9"/>
    <w:rsid w:val="00692BE2"/>
    <w:rsid w:val="00694AC3"/>
    <w:rsid w:val="00697C18"/>
    <w:rsid w:val="006A0793"/>
    <w:rsid w:val="006A1C8F"/>
    <w:rsid w:val="006A3036"/>
    <w:rsid w:val="006A5FCC"/>
    <w:rsid w:val="006A6104"/>
    <w:rsid w:val="006A6B50"/>
    <w:rsid w:val="006B0835"/>
    <w:rsid w:val="006B1720"/>
    <w:rsid w:val="006B1AC7"/>
    <w:rsid w:val="006B1C80"/>
    <w:rsid w:val="006B2532"/>
    <w:rsid w:val="006B3EAA"/>
    <w:rsid w:val="006B470D"/>
    <w:rsid w:val="006B5764"/>
    <w:rsid w:val="006B5A7C"/>
    <w:rsid w:val="006B5D7B"/>
    <w:rsid w:val="006C2AEC"/>
    <w:rsid w:val="006C2FEA"/>
    <w:rsid w:val="006C4402"/>
    <w:rsid w:val="006C57BF"/>
    <w:rsid w:val="006C67D6"/>
    <w:rsid w:val="006D0B2A"/>
    <w:rsid w:val="006D26F3"/>
    <w:rsid w:val="006D2B03"/>
    <w:rsid w:val="006D335E"/>
    <w:rsid w:val="006D4828"/>
    <w:rsid w:val="006D595D"/>
    <w:rsid w:val="006D67EA"/>
    <w:rsid w:val="006D7267"/>
    <w:rsid w:val="006E0D9A"/>
    <w:rsid w:val="006E1244"/>
    <w:rsid w:val="006E1EB0"/>
    <w:rsid w:val="006E22C0"/>
    <w:rsid w:val="006E2D9D"/>
    <w:rsid w:val="006E37CA"/>
    <w:rsid w:val="006E3BA2"/>
    <w:rsid w:val="006E5AD8"/>
    <w:rsid w:val="006E5B26"/>
    <w:rsid w:val="006E64F6"/>
    <w:rsid w:val="006E6661"/>
    <w:rsid w:val="006E6A08"/>
    <w:rsid w:val="006E6A1F"/>
    <w:rsid w:val="006E6B8E"/>
    <w:rsid w:val="006E7353"/>
    <w:rsid w:val="006E78EF"/>
    <w:rsid w:val="006E7AD3"/>
    <w:rsid w:val="006E7DC3"/>
    <w:rsid w:val="006F0465"/>
    <w:rsid w:val="006F1E5D"/>
    <w:rsid w:val="006F272E"/>
    <w:rsid w:val="006F2AB8"/>
    <w:rsid w:val="006F2F60"/>
    <w:rsid w:val="006F3577"/>
    <w:rsid w:val="006F4491"/>
    <w:rsid w:val="006F4FE4"/>
    <w:rsid w:val="006F6540"/>
    <w:rsid w:val="006F6D3A"/>
    <w:rsid w:val="00702D6E"/>
    <w:rsid w:val="00703A06"/>
    <w:rsid w:val="00704A1A"/>
    <w:rsid w:val="00706203"/>
    <w:rsid w:val="00706C7B"/>
    <w:rsid w:val="00706D02"/>
    <w:rsid w:val="007074A9"/>
    <w:rsid w:val="007123F1"/>
    <w:rsid w:val="007135D8"/>
    <w:rsid w:val="00714572"/>
    <w:rsid w:val="0071561B"/>
    <w:rsid w:val="0071562A"/>
    <w:rsid w:val="007200C6"/>
    <w:rsid w:val="0072071B"/>
    <w:rsid w:val="007222AB"/>
    <w:rsid w:val="00722B9A"/>
    <w:rsid w:val="00722F25"/>
    <w:rsid w:val="007243A6"/>
    <w:rsid w:val="00725BE7"/>
    <w:rsid w:val="00726A2F"/>
    <w:rsid w:val="0073072C"/>
    <w:rsid w:val="0073091E"/>
    <w:rsid w:val="00731F86"/>
    <w:rsid w:val="00732911"/>
    <w:rsid w:val="0073366F"/>
    <w:rsid w:val="00733E67"/>
    <w:rsid w:val="00734453"/>
    <w:rsid w:val="00734A21"/>
    <w:rsid w:val="00734D17"/>
    <w:rsid w:val="00735790"/>
    <w:rsid w:val="0073584C"/>
    <w:rsid w:val="00737B5B"/>
    <w:rsid w:val="00737BD1"/>
    <w:rsid w:val="00737CB1"/>
    <w:rsid w:val="00737F75"/>
    <w:rsid w:val="00742921"/>
    <w:rsid w:val="007437A0"/>
    <w:rsid w:val="00744906"/>
    <w:rsid w:val="00745189"/>
    <w:rsid w:val="00746854"/>
    <w:rsid w:val="00746FDE"/>
    <w:rsid w:val="00747402"/>
    <w:rsid w:val="00747C50"/>
    <w:rsid w:val="007502B3"/>
    <w:rsid w:val="00750DF7"/>
    <w:rsid w:val="007511EC"/>
    <w:rsid w:val="007524C4"/>
    <w:rsid w:val="00754862"/>
    <w:rsid w:val="00754CE4"/>
    <w:rsid w:val="00755D6F"/>
    <w:rsid w:val="0075625A"/>
    <w:rsid w:val="00756272"/>
    <w:rsid w:val="00756FEB"/>
    <w:rsid w:val="00757A82"/>
    <w:rsid w:val="00760B42"/>
    <w:rsid w:val="007611FF"/>
    <w:rsid w:val="00761633"/>
    <w:rsid w:val="00762E91"/>
    <w:rsid w:val="00762FD5"/>
    <w:rsid w:val="0076694D"/>
    <w:rsid w:val="00766A5A"/>
    <w:rsid w:val="00766C18"/>
    <w:rsid w:val="00767FE5"/>
    <w:rsid w:val="0077074C"/>
    <w:rsid w:val="00770CC3"/>
    <w:rsid w:val="00771FBC"/>
    <w:rsid w:val="00772376"/>
    <w:rsid w:val="00772C8F"/>
    <w:rsid w:val="00773F15"/>
    <w:rsid w:val="0077412A"/>
    <w:rsid w:val="00774A0C"/>
    <w:rsid w:val="00774A1C"/>
    <w:rsid w:val="00774D7B"/>
    <w:rsid w:val="00774D80"/>
    <w:rsid w:val="007765E6"/>
    <w:rsid w:val="00777CA1"/>
    <w:rsid w:val="007813FE"/>
    <w:rsid w:val="00781CE0"/>
    <w:rsid w:val="0078234B"/>
    <w:rsid w:val="0078373D"/>
    <w:rsid w:val="00785FC8"/>
    <w:rsid w:val="00786BA5"/>
    <w:rsid w:val="007872B7"/>
    <w:rsid w:val="007877F9"/>
    <w:rsid w:val="0079230B"/>
    <w:rsid w:val="00793094"/>
    <w:rsid w:val="00793BA3"/>
    <w:rsid w:val="00793E66"/>
    <w:rsid w:val="00794CE3"/>
    <w:rsid w:val="00796934"/>
    <w:rsid w:val="00797367"/>
    <w:rsid w:val="00797412"/>
    <w:rsid w:val="00797587"/>
    <w:rsid w:val="00797CB5"/>
    <w:rsid w:val="007A0F0D"/>
    <w:rsid w:val="007A0FEA"/>
    <w:rsid w:val="007A2F38"/>
    <w:rsid w:val="007A3CD4"/>
    <w:rsid w:val="007A4B78"/>
    <w:rsid w:val="007A5479"/>
    <w:rsid w:val="007A6D8A"/>
    <w:rsid w:val="007A7F3E"/>
    <w:rsid w:val="007B1E57"/>
    <w:rsid w:val="007B2033"/>
    <w:rsid w:val="007B233A"/>
    <w:rsid w:val="007B2C18"/>
    <w:rsid w:val="007B348B"/>
    <w:rsid w:val="007B362B"/>
    <w:rsid w:val="007B785D"/>
    <w:rsid w:val="007C1638"/>
    <w:rsid w:val="007C1E96"/>
    <w:rsid w:val="007C24DC"/>
    <w:rsid w:val="007C2F58"/>
    <w:rsid w:val="007C4FA5"/>
    <w:rsid w:val="007C4FAD"/>
    <w:rsid w:val="007C4FDB"/>
    <w:rsid w:val="007C5E9D"/>
    <w:rsid w:val="007C6832"/>
    <w:rsid w:val="007C7AE1"/>
    <w:rsid w:val="007D0B83"/>
    <w:rsid w:val="007D14DC"/>
    <w:rsid w:val="007D202F"/>
    <w:rsid w:val="007D2E34"/>
    <w:rsid w:val="007D31C8"/>
    <w:rsid w:val="007D3414"/>
    <w:rsid w:val="007D46FD"/>
    <w:rsid w:val="007D5130"/>
    <w:rsid w:val="007D5355"/>
    <w:rsid w:val="007D5953"/>
    <w:rsid w:val="007D6FC4"/>
    <w:rsid w:val="007E0C52"/>
    <w:rsid w:val="007E36FA"/>
    <w:rsid w:val="007E3C2F"/>
    <w:rsid w:val="007E460E"/>
    <w:rsid w:val="007E4F3E"/>
    <w:rsid w:val="007E5BEE"/>
    <w:rsid w:val="007E6080"/>
    <w:rsid w:val="007E648A"/>
    <w:rsid w:val="007E6ADE"/>
    <w:rsid w:val="007E7BC8"/>
    <w:rsid w:val="007F022C"/>
    <w:rsid w:val="007F0AD3"/>
    <w:rsid w:val="007F0B62"/>
    <w:rsid w:val="007F105A"/>
    <w:rsid w:val="007F1B4A"/>
    <w:rsid w:val="007F20A3"/>
    <w:rsid w:val="007F2A9B"/>
    <w:rsid w:val="007F2F42"/>
    <w:rsid w:val="007F3429"/>
    <w:rsid w:val="007F3466"/>
    <w:rsid w:val="007F38C4"/>
    <w:rsid w:val="007F4985"/>
    <w:rsid w:val="007F4D05"/>
    <w:rsid w:val="007F6962"/>
    <w:rsid w:val="007F6FAE"/>
    <w:rsid w:val="007F7D15"/>
    <w:rsid w:val="008008B7"/>
    <w:rsid w:val="008008EC"/>
    <w:rsid w:val="00801C60"/>
    <w:rsid w:val="00801EAD"/>
    <w:rsid w:val="0080251F"/>
    <w:rsid w:val="008034ED"/>
    <w:rsid w:val="00803C11"/>
    <w:rsid w:val="008043EF"/>
    <w:rsid w:val="0080525F"/>
    <w:rsid w:val="008066A7"/>
    <w:rsid w:val="00811F50"/>
    <w:rsid w:val="008128AC"/>
    <w:rsid w:val="00814653"/>
    <w:rsid w:val="00814EF7"/>
    <w:rsid w:val="00815AD7"/>
    <w:rsid w:val="00816122"/>
    <w:rsid w:val="00816DA1"/>
    <w:rsid w:val="00816F56"/>
    <w:rsid w:val="00816F58"/>
    <w:rsid w:val="008170D2"/>
    <w:rsid w:val="008210FF"/>
    <w:rsid w:val="00821A3B"/>
    <w:rsid w:val="00821E71"/>
    <w:rsid w:val="00823131"/>
    <w:rsid w:val="008239DD"/>
    <w:rsid w:val="00823A7C"/>
    <w:rsid w:val="0082492D"/>
    <w:rsid w:val="008249F1"/>
    <w:rsid w:val="00824DA9"/>
    <w:rsid w:val="00825325"/>
    <w:rsid w:val="00826110"/>
    <w:rsid w:val="008267EA"/>
    <w:rsid w:val="00826C1F"/>
    <w:rsid w:val="00831F70"/>
    <w:rsid w:val="00832A0E"/>
    <w:rsid w:val="008337B4"/>
    <w:rsid w:val="0083600D"/>
    <w:rsid w:val="00836E64"/>
    <w:rsid w:val="00837814"/>
    <w:rsid w:val="008378F4"/>
    <w:rsid w:val="00837A0E"/>
    <w:rsid w:val="00840061"/>
    <w:rsid w:val="0084022F"/>
    <w:rsid w:val="008407D8"/>
    <w:rsid w:val="00840DCC"/>
    <w:rsid w:val="008429B1"/>
    <w:rsid w:val="008446D0"/>
    <w:rsid w:val="00845101"/>
    <w:rsid w:val="00845FC7"/>
    <w:rsid w:val="008461D6"/>
    <w:rsid w:val="0085064F"/>
    <w:rsid w:val="00850C40"/>
    <w:rsid w:val="00850FD7"/>
    <w:rsid w:val="00851F55"/>
    <w:rsid w:val="008526DE"/>
    <w:rsid w:val="00853131"/>
    <w:rsid w:val="008540E7"/>
    <w:rsid w:val="00854731"/>
    <w:rsid w:val="0085516F"/>
    <w:rsid w:val="00856500"/>
    <w:rsid w:val="0085668A"/>
    <w:rsid w:val="00856B80"/>
    <w:rsid w:val="00856DAB"/>
    <w:rsid w:val="00857883"/>
    <w:rsid w:val="00861BDE"/>
    <w:rsid w:val="008638DB"/>
    <w:rsid w:val="00864DE6"/>
    <w:rsid w:val="008656AB"/>
    <w:rsid w:val="00865EAF"/>
    <w:rsid w:val="00866B32"/>
    <w:rsid w:val="00867136"/>
    <w:rsid w:val="00867748"/>
    <w:rsid w:val="00870038"/>
    <w:rsid w:val="008705AB"/>
    <w:rsid w:val="00870D0C"/>
    <w:rsid w:val="00870E01"/>
    <w:rsid w:val="00871D32"/>
    <w:rsid w:val="008742B2"/>
    <w:rsid w:val="00875824"/>
    <w:rsid w:val="00876665"/>
    <w:rsid w:val="0087735A"/>
    <w:rsid w:val="00877E91"/>
    <w:rsid w:val="008802F2"/>
    <w:rsid w:val="00880AFD"/>
    <w:rsid w:val="00881AC0"/>
    <w:rsid w:val="00881D3D"/>
    <w:rsid w:val="008821BA"/>
    <w:rsid w:val="008830E6"/>
    <w:rsid w:val="00883378"/>
    <w:rsid w:val="00883DBC"/>
    <w:rsid w:val="008842C5"/>
    <w:rsid w:val="00885943"/>
    <w:rsid w:val="00886014"/>
    <w:rsid w:val="008909D6"/>
    <w:rsid w:val="00891592"/>
    <w:rsid w:val="00895BF4"/>
    <w:rsid w:val="00897D89"/>
    <w:rsid w:val="008A040D"/>
    <w:rsid w:val="008A0669"/>
    <w:rsid w:val="008A07AD"/>
    <w:rsid w:val="008A3248"/>
    <w:rsid w:val="008A3D6B"/>
    <w:rsid w:val="008A3DBA"/>
    <w:rsid w:val="008A3F47"/>
    <w:rsid w:val="008A426F"/>
    <w:rsid w:val="008A5035"/>
    <w:rsid w:val="008A54B8"/>
    <w:rsid w:val="008A5F40"/>
    <w:rsid w:val="008A6F54"/>
    <w:rsid w:val="008A6F55"/>
    <w:rsid w:val="008B015C"/>
    <w:rsid w:val="008B1C4F"/>
    <w:rsid w:val="008B2588"/>
    <w:rsid w:val="008B35A8"/>
    <w:rsid w:val="008B6B44"/>
    <w:rsid w:val="008C01DB"/>
    <w:rsid w:val="008C0367"/>
    <w:rsid w:val="008C04AB"/>
    <w:rsid w:val="008C09E4"/>
    <w:rsid w:val="008C13DC"/>
    <w:rsid w:val="008C16C0"/>
    <w:rsid w:val="008C27CF"/>
    <w:rsid w:val="008C2BF6"/>
    <w:rsid w:val="008C481F"/>
    <w:rsid w:val="008C5C2D"/>
    <w:rsid w:val="008C6140"/>
    <w:rsid w:val="008C623F"/>
    <w:rsid w:val="008C711A"/>
    <w:rsid w:val="008C7AF0"/>
    <w:rsid w:val="008D053F"/>
    <w:rsid w:val="008D1E17"/>
    <w:rsid w:val="008D2AD8"/>
    <w:rsid w:val="008D3072"/>
    <w:rsid w:val="008D35FD"/>
    <w:rsid w:val="008D5CCE"/>
    <w:rsid w:val="008D69FD"/>
    <w:rsid w:val="008D6D1F"/>
    <w:rsid w:val="008D73D4"/>
    <w:rsid w:val="008D75D5"/>
    <w:rsid w:val="008D774C"/>
    <w:rsid w:val="008E063A"/>
    <w:rsid w:val="008E1368"/>
    <w:rsid w:val="008E1468"/>
    <w:rsid w:val="008E2EAD"/>
    <w:rsid w:val="008E3015"/>
    <w:rsid w:val="008E4189"/>
    <w:rsid w:val="008E65A3"/>
    <w:rsid w:val="008F0AF5"/>
    <w:rsid w:val="0090323D"/>
    <w:rsid w:val="0090407E"/>
    <w:rsid w:val="00904590"/>
    <w:rsid w:val="00904BB0"/>
    <w:rsid w:val="00904D8D"/>
    <w:rsid w:val="009058DC"/>
    <w:rsid w:val="009067CE"/>
    <w:rsid w:val="009069DB"/>
    <w:rsid w:val="009070FD"/>
    <w:rsid w:val="00907EF6"/>
    <w:rsid w:val="0091193A"/>
    <w:rsid w:val="00911E15"/>
    <w:rsid w:val="009146DF"/>
    <w:rsid w:val="00914935"/>
    <w:rsid w:val="00915202"/>
    <w:rsid w:val="00917C1D"/>
    <w:rsid w:val="009216A1"/>
    <w:rsid w:val="0092200C"/>
    <w:rsid w:val="00923968"/>
    <w:rsid w:val="00927FA1"/>
    <w:rsid w:val="009301D5"/>
    <w:rsid w:val="00930D3C"/>
    <w:rsid w:val="00931332"/>
    <w:rsid w:val="00931D25"/>
    <w:rsid w:val="00931E54"/>
    <w:rsid w:val="00932304"/>
    <w:rsid w:val="00932968"/>
    <w:rsid w:val="00932C80"/>
    <w:rsid w:val="0093395B"/>
    <w:rsid w:val="00934859"/>
    <w:rsid w:val="00935AF9"/>
    <w:rsid w:val="00937690"/>
    <w:rsid w:val="00937EFD"/>
    <w:rsid w:val="009401DF"/>
    <w:rsid w:val="00940802"/>
    <w:rsid w:val="00940F35"/>
    <w:rsid w:val="0094193F"/>
    <w:rsid w:val="0094367F"/>
    <w:rsid w:val="00943900"/>
    <w:rsid w:val="0094484A"/>
    <w:rsid w:val="0094553D"/>
    <w:rsid w:val="00945AD1"/>
    <w:rsid w:val="00945C25"/>
    <w:rsid w:val="00946D83"/>
    <w:rsid w:val="00947C8E"/>
    <w:rsid w:val="00947E05"/>
    <w:rsid w:val="00950BCC"/>
    <w:rsid w:val="009515AC"/>
    <w:rsid w:val="0095181A"/>
    <w:rsid w:val="009535D3"/>
    <w:rsid w:val="00954287"/>
    <w:rsid w:val="009549BC"/>
    <w:rsid w:val="009565EF"/>
    <w:rsid w:val="009571E4"/>
    <w:rsid w:val="00957A8E"/>
    <w:rsid w:val="009604E7"/>
    <w:rsid w:val="00960919"/>
    <w:rsid w:val="00962A32"/>
    <w:rsid w:val="00963B00"/>
    <w:rsid w:val="00965166"/>
    <w:rsid w:val="009656DE"/>
    <w:rsid w:val="00965E48"/>
    <w:rsid w:val="00966155"/>
    <w:rsid w:val="00966170"/>
    <w:rsid w:val="009663C1"/>
    <w:rsid w:val="0096652C"/>
    <w:rsid w:val="00967284"/>
    <w:rsid w:val="00967927"/>
    <w:rsid w:val="00967996"/>
    <w:rsid w:val="00967D19"/>
    <w:rsid w:val="00970F58"/>
    <w:rsid w:val="00970F86"/>
    <w:rsid w:val="00971239"/>
    <w:rsid w:val="0097250D"/>
    <w:rsid w:val="009730C2"/>
    <w:rsid w:val="00974FCD"/>
    <w:rsid w:val="00976683"/>
    <w:rsid w:val="00980B3B"/>
    <w:rsid w:val="00982569"/>
    <w:rsid w:val="0098396D"/>
    <w:rsid w:val="00985A0F"/>
    <w:rsid w:val="00985C1F"/>
    <w:rsid w:val="00986B53"/>
    <w:rsid w:val="00991C19"/>
    <w:rsid w:val="00991CE2"/>
    <w:rsid w:val="00992DE4"/>
    <w:rsid w:val="00992F2F"/>
    <w:rsid w:val="00993FE4"/>
    <w:rsid w:val="00994E27"/>
    <w:rsid w:val="00996110"/>
    <w:rsid w:val="009961E9"/>
    <w:rsid w:val="0099793C"/>
    <w:rsid w:val="00997DFA"/>
    <w:rsid w:val="009A37C6"/>
    <w:rsid w:val="009A3A65"/>
    <w:rsid w:val="009A3B8F"/>
    <w:rsid w:val="009A4B9D"/>
    <w:rsid w:val="009A4F9A"/>
    <w:rsid w:val="009A5EEE"/>
    <w:rsid w:val="009A6F1D"/>
    <w:rsid w:val="009A7ABD"/>
    <w:rsid w:val="009B1562"/>
    <w:rsid w:val="009B23E1"/>
    <w:rsid w:val="009B31EF"/>
    <w:rsid w:val="009B4576"/>
    <w:rsid w:val="009B5705"/>
    <w:rsid w:val="009B5BAF"/>
    <w:rsid w:val="009B6375"/>
    <w:rsid w:val="009B6BCD"/>
    <w:rsid w:val="009C0692"/>
    <w:rsid w:val="009C06CC"/>
    <w:rsid w:val="009C0B38"/>
    <w:rsid w:val="009C1E9F"/>
    <w:rsid w:val="009C2E4F"/>
    <w:rsid w:val="009C5253"/>
    <w:rsid w:val="009C5329"/>
    <w:rsid w:val="009C5953"/>
    <w:rsid w:val="009D1897"/>
    <w:rsid w:val="009D1D06"/>
    <w:rsid w:val="009D32A7"/>
    <w:rsid w:val="009D44EF"/>
    <w:rsid w:val="009D5BD4"/>
    <w:rsid w:val="009D74E9"/>
    <w:rsid w:val="009D787F"/>
    <w:rsid w:val="009D7C79"/>
    <w:rsid w:val="009E3255"/>
    <w:rsid w:val="009E68A4"/>
    <w:rsid w:val="009E71B6"/>
    <w:rsid w:val="009F2135"/>
    <w:rsid w:val="009F2171"/>
    <w:rsid w:val="009F27A4"/>
    <w:rsid w:val="009F2BF7"/>
    <w:rsid w:val="009F4110"/>
    <w:rsid w:val="009F63D0"/>
    <w:rsid w:val="009F6522"/>
    <w:rsid w:val="009F67C9"/>
    <w:rsid w:val="009F6902"/>
    <w:rsid w:val="009F742D"/>
    <w:rsid w:val="00A00A95"/>
    <w:rsid w:val="00A00AA9"/>
    <w:rsid w:val="00A02395"/>
    <w:rsid w:val="00A02D38"/>
    <w:rsid w:val="00A02E9C"/>
    <w:rsid w:val="00A03F81"/>
    <w:rsid w:val="00A0408F"/>
    <w:rsid w:val="00A043DE"/>
    <w:rsid w:val="00A058C5"/>
    <w:rsid w:val="00A05D33"/>
    <w:rsid w:val="00A06369"/>
    <w:rsid w:val="00A13E29"/>
    <w:rsid w:val="00A15924"/>
    <w:rsid w:val="00A15C93"/>
    <w:rsid w:val="00A16AF2"/>
    <w:rsid w:val="00A16EE3"/>
    <w:rsid w:val="00A176E8"/>
    <w:rsid w:val="00A17CBF"/>
    <w:rsid w:val="00A21BF1"/>
    <w:rsid w:val="00A22C77"/>
    <w:rsid w:val="00A237EC"/>
    <w:rsid w:val="00A250FF"/>
    <w:rsid w:val="00A2684C"/>
    <w:rsid w:val="00A27975"/>
    <w:rsid w:val="00A3044F"/>
    <w:rsid w:val="00A30D7D"/>
    <w:rsid w:val="00A31448"/>
    <w:rsid w:val="00A316B7"/>
    <w:rsid w:val="00A31EF3"/>
    <w:rsid w:val="00A32B50"/>
    <w:rsid w:val="00A32DB3"/>
    <w:rsid w:val="00A33724"/>
    <w:rsid w:val="00A346C4"/>
    <w:rsid w:val="00A34984"/>
    <w:rsid w:val="00A41112"/>
    <w:rsid w:val="00A41E80"/>
    <w:rsid w:val="00A43C31"/>
    <w:rsid w:val="00A43E74"/>
    <w:rsid w:val="00A44840"/>
    <w:rsid w:val="00A46524"/>
    <w:rsid w:val="00A47936"/>
    <w:rsid w:val="00A47E62"/>
    <w:rsid w:val="00A505F0"/>
    <w:rsid w:val="00A5079C"/>
    <w:rsid w:val="00A507C5"/>
    <w:rsid w:val="00A5080F"/>
    <w:rsid w:val="00A50F4D"/>
    <w:rsid w:val="00A51ECE"/>
    <w:rsid w:val="00A522D3"/>
    <w:rsid w:val="00A534BF"/>
    <w:rsid w:val="00A53FB3"/>
    <w:rsid w:val="00A540AA"/>
    <w:rsid w:val="00A54BAF"/>
    <w:rsid w:val="00A55355"/>
    <w:rsid w:val="00A55691"/>
    <w:rsid w:val="00A55ED7"/>
    <w:rsid w:val="00A56142"/>
    <w:rsid w:val="00A564E3"/>
    <w:rsid w:val="00A56ECB"/>
    <w:rsid w:val="00A573A1"/>
    <w:rsid w:val="00A57C05"/>
    <w:rsid w:val="00A57CCE"/>
    <w:rsid w:val="00A57F45"/>
    <w:rsid w:val="00A60388"/>
    <w:rsid w:val="00A610B1"/>
    <w:rsid w:val="00A61423"/>
    <w:rsid w:val="00A62D47"/>
    <w:rsid w:val="00A63509"/>
    <w:rsid w:val="00A63C56"/>
    <w:rsid w:val="00A63D8E"/>
    <w:rsid w:val="00A646FD"/>
    <w:rsid w:val="00A6561E"/>
    <w:rsid w:val="00A65835"/>
    <w:rsid w:val="00A66451"/>
    <w:rsid w:val="00A666F4"/>
    <w:rsid w:val="00A66CCE"/>
    <w:rsid w:val="00A67167"/>
    <w:rsid w:val="00A672AB"/>
    <w:rsid w:val="00A672F5"/>
    <w:rsid w:val="00A708F1"/>
    <w:rsid w:val="00A70D90"/>
    <w:rsid w:val="00A72B55"/>
    <w:rsid w:val="00A7356C"/>
    <w:rsid w:val="00A74F07"/>
    <w:rsid w:val="00A75BA6"/>
    <w:rsid w:val="00A77E76"/>
    <w:rsid w:val="00A80890"/>
    <w:rsid w:val="00A83A47"/>
    <w:rsid w:val="00A85A42"/>
    <w:rsid w:val="00A86BBE"/>
    <w:rsid w:val="00A870F6"/>
    <w:rsid w:val="00A875BD"/>
    <w:rsid w:val="00A90BBB"/>
    <w:rsid w:val="00A90DA1"/>
    <w:rsid w:val="00A91E70"/>
    <w:rsid w:val="00A938B7"/>
    <w:rsid w:val="00A94DA9"/>
    <w:rsid w:val="00A96697"/>
    <w:rsid w:val="00AA37FF"/>
    <w:rsid w:val="00AA483E"/>
    <w:rsid w:val="00AA542C"/>
    <w:rsid w:val="00AA667D"/>
    <w:rsid w:val="00AA6AA1"/>
    <w:rsid w:val="00AA6D11"/>
    <w:rsid w:val="00AA6D44"/>
    <w:rsid w:val="00AA78D9"/>
    <w:rsid w:val="00AA79E0"/>
    <w:rsid w:val="00AB0E6F"/>
    <w:rsid w:val="00AB2685"/>
    <w:rsid w:val="00AB33DE"/>
    <w:rsid w:val="00AB3D83"/>
    <w:rsid w:val="00AB4BB6"/>
    <w:rsid w:val="00AB5008"/>
    <w:rsid w:val="00AB5643"/>
    <w:rsid w:val="00AB5CAA"/>
    <w:rsid w:val="00AB6CF1"/>
    <w:rsid w:val="00AB77EF"/>
    <w:rsid w:val="00AB780D"/>
    <w:rsid w:val="00AC0259"/>
    <w:rsid w:val="00AC06AE"/>
    <w:rsid w:val="00AC0805"/>
    <w:rsid w:val="00AC191E"/>
    <w:rsid w:val="00AC2D72"/>
    <w:rsid w:val="00AC381F"/>
    <w:rsid w:val="00AC4C1E"/>
    <w:rsid w:val="00AC56BF"/>
    <w:rsid w:val="00AC727C"/>
    <w:rsid w:val="00AC7541"/>
    <w:rsid w:val="00AC78F7"/>
    <w:rsid w:val="00AC7D42"/>
    <w:rsid w:val="00AC7D94"/>
    <w:rsid w:val="00AD0EB8"/>
    <w:rsid w:val="00AD2AE5"/>
    <w:rsid w:val="00AD419C"/>
    <w:rsid w:val="00AD440C"/>
    <w:rsid w:val="00AD5436"/>
    <w:rsid w:val="00AD55F9"/>
    <w:rsid w:val="00AD6888"/>
    <w:rsid w:val="00AD6AFC"/>
    <w:rsid w:val="00AD7C29"/>
    <w:rsid w:val="00AE097D"/>
    <w:rsid w:val="00AE19BC"/>
    <w:rsid w:val="00AE2F7E"/>
    <w:rsid w:val="00AE37E8"/>
    <w:rsid w:val="00AE3DFA"/>
    <w:rsid w:val="00AE3F56"/>
    <w:rsid w:val="00AE4187"/>
    <w:rsid w:val="00AE4652"/>
    <w:rsid w:val="00AE65F1"/>
    <w:rsid w:val="00AE6B99"/>
    <w:rsid w:val="00AE75F5"/>
    <w:rsid w:val="00AE7D6D"/>
    <w:rsid w:val="00AF0282"/>
    <w:rsid w:val="00AF1D3E"/>
    <w:rsid w:val="00AF2DCC"/>
    <w:rsid w:val="00AF3382"/>
    <w:rsid w:val="00AF3A5F"/>
    <w:rsid w:val="00AF3BA0"/>
    <w:rsid w:val="00AF496F"/>
    <w:rsid w:val="00AF4A77"/>
    <w:rsid w:val="00B00997"/>
    <w:rsid w:val="00B01255"/>
    <w:rsid w:val="00B017DD"/>
    <w:rsid w:val="00B01D37"/>
    <w:rsid w:val="00B03630"/>
    <w:rsid w:val="00B036ED"/>
    <w:rsid w:val="00B047B7"/>
    <w:rsid w:val="00B0513E"/>
    <w:rsid w:val="00B05803"/>
    <w:rsid w:val="00B0597A"/>
    <w:rsid w:val="00B0598D"/>
    <w:rsid w:val="00B05DDA"/>
    <w:rsid w:val="00B06254"/>
    <w:rsid w:val="00B0703F"/>
    <w:rsid w:val="00B0708C"/>
    <w:rsid w:val="00B07890"/>
    <w:rsid w:val="00B07BC7"/>
    <w:rsid w:val="00B10646"/>
    <w:rsid w:val="00B11131"/>
    <w:rsid w:val="00B11EED"/>
    <w:rsid w:val="00B12163"/>
    <w:rsid w:val="00B12412"/>
    <w:rsid w:val="00B1277C"/>
    <w:rsid w:val="00B13DD6"/>
    <w:rsid w:val="00B17140"/>
    <w:rsid w:val="00B1759C"/>
    <w:rsid w:val="00B2006E"/>
    <w:rsid w:val="00B2014B"/>
    <w:rsid w:val="00B212F8"/>
    <w:rsid w:val="00B235B7"/>
    <w:rsid w:val="00B2603F"/>
    <w:rsid w:val="00B27D43"/>
    <w:rsid w:val="00B27D66"/>
    <w:rsid w:val="00B30020"/>
    <w:rsid w:val="00B306AD"/>
    <w:rsid w:val="00B306FE"/>
    <w:rsid w:val="00B30D7C"/>
    <w:rsid w:val="00B30FFE"/>
    <w:rsid w:val="00B32C70"/>
    <w:rsid w:val="00B33682"/>
    <w:rsid w:val="00B35FC3"/>
    <w:rsid w:val="00B3664D"/>
    <w:rsid w:val="00B3736D"/>
    <w:rsid w:val="00B37954"/>
    <w:rsid w:val="00B37C2B"/>
    <w:rsid w:val="00B402B9"/>
    <w:rsid w:val="00B4061A"/>
    <w:rsid w:val="00B41691"/>
    <w:rsid w:val="00B43166"/>
    <w:rsid w:val="00B439CC"/>
    <w:rsid w:val="00B44113"/>
    <w:rsid w:val="00B44B81"/>
    <w:rsid w:val="00B45AD7"/>
    <w:rsid w:val="00B4629E"/>
    <w:rsid w:val="00B462A3"/>
    <w:rsid w:val="00B47385"/>
    <w:rsid w:val="00B47959"/>
    <w:rsid w:val="00B50043"/>
    <w:rsid w:val="00B508F6"/>
    <w:rsid w:val="00B5222F"/>
    <w:rsid w:val="00B52361"/>
    <w:rsid w:val="00B52619"/>
    <w:rsid w:val="00B5350B"/>
    <w:rsid w:val="00B54C98"/>
    <w:rsid w:val="00B55B6C"/>
    <w:rsid w:val="00B55FAA"/>
    <w:rsid w:val="00B5674D"/>
    <w:rsid w:val="00B56B05"/>
    <w:rsid w:val="00B5773E"/>
    <w:rsid w:val="00B60532"/>
    <w:rsid w:val="00B6112A"/>
    <w:rsid w:val="00B615E4"/>
    <w:rsid w:val="00B616B4"/>
    <w:rsid w:val="00B618C0"/>
    <w:rsid w:val="00B6364B"/>
    <w:rsid w:val="00B666DA"/>
    <w:rsid w:val="00B67502"/>
    <w:rsid w:val="00B67626"/>
    <w:rsid w:val="00B7099F"/>
    <w:rsid w:val="00B70D52"/>
    <w:rsid w:val="00B72C21"/>
    <w:rsid w:val="00B72C22"/>
    <w:rsid w:val="00B7447C"/>
    <w:rsid w:val="00B74E2B"/>
    <w:rsid w:val="00B754CC"/>
    <w:rsid w:val="00B7771E"/>
    <w:rsid w:val="00B777B1"/>
    <w:rsid w:val="00B803BD"/>
    <w:rsid w:val="00B824B5"/>
    <w:rsid w:val="00B82C30"/>
    <w:rsid w:val="00B842BF"/>
    <w:rsid w:val="00B844A6"/>
    <w:rsid w:val="00B8464A"/>
    <w:rsid w:val="00B86D89"/>
    <w:rsid w:val="00B87985"/>
    <w:rsid w:val="00B92CDD"/>
    <w:rsid w:val="00B92D96"/>
    <w:rsid w:val="00B939C7"/>
    <w:rsid w:val="00B94217"/>
    <w:rsid w:val="00B95C47"/>
    <w:rsid w:val="00B9616A"/>
    <w:rsid w:val="00B975FA"/>
    <w:rsid w:val="00B97C6C"/>
    <w:rsid w:val="00B97E21"/>
    <w:rsid w:val="00BA0914"/>
    <w:rsid w:val="00BA18D2"/>
    <w:rsid w:val="00BA21E9"/>
    <w:rsid w:val="00BA22C9"/>
    <w:rsid w:val="00BA36ED"/>
    <w:rsid w:val="00BA3815"/>
    <w:rsid w:val="00BA3DA3"/>
    <w:rsid w:val="00BA4689"/>
    <w:rsid w:val="00BA4BF8"/>
    <w:rsid w:val="00BB1179"/>
    <w:rsid w:val="00BB4735"/>
    <w:rsid w:val="00BB4D15"/>
    <w:rsid w:val="00BB55DE"/>
    <w:rsid w:val="00BB6F67"/>
    <w:rsid w:val="00BB70AA"/>
    <w:rsid w:val="00BB7F6D"/>
    <w:rsid w:val="00BC2F2F"/>
    <w:rsid w:val="00BC3B25"/>
    <w:rsid w:val="00BC61DC"/>
    <w:rsid w:val="00BD09C0"/>
    <w:rsid w:val="00BD1608"/>
    <w:rsid w:val="00BD28E4"/>
    <w:rsid w:val="00BD40D7"/>
    <w:rsid w:val="00BD4CAD"/>
    <w:rsid w:val="00BD5355"/>
    <w:rsid w:val="00BD5B4F"/>
    <w:rsid w:val="00BD5DB4"/>
    <w:rsid w:val="00BD62FD"/>
    <w:rsid w:val="00BD6479"/>
    <w:rsid w:val="00BD66AD"/>
    <w:rsid w:val="00BD7CA2"/>
    <w:rsid w:val="00BD7D48"/>
    <w:rsid w:val="00BD7D76"/>
    <w:rsid w:val="00BE12F6"/>
    <w:rsid w:val="00BE13AB"/>
    <w:rsid w:val="00BE5188"/>
    <w:rsid w:val="00BE57E8"/>
    <w:rsid w:val="00BE7450"/>
    <w:rsid w:val="00BF3248"/>
    <w:rsid w:val="00BF3307"/>
    <w:rsid w:val="00BF3A53"/>
    <w:rsid w:val="00BF3DFD"/>
    <w:rsid w:val="00BF3EC9"/>
    <w:rsid w:val="00BF416D"/>
    <w:rsid w:val="00BF4218"/>
    <w:rsid w:val="00BF674C"/>
    <w:rsid w:val="00BF79B0"/>
    <w:rsid w:val="00C0048A"/>
    <w:rsid w:val="00C00A86"/>
    <w:rsid w:val="00C023C2"/>
    <w:rsid w:val="00C02892"/>
    <w:rsid w:val="00C05F94"/>
    <w:rsid w:val="00C104A3"/>
    <w:rsid w:val="00C104D0"/>
    <w:rsid w:val="00C1137D"/>
    <w:rsid w:val="00C115DD"/>
    <w:rsid w:val="00C11E46"/>
    <w:rsid w:val="00C12092"/>
    <w:rsid w:val="00C126F6"/>
    <w:rsid w:val="00C1445A"/>
    <w:rsid w:val="00C15D45"/>
    <w:rsid w:val="00C16B35"/>
    <w:rsid w:val="00C16E3B"/>
    <w:rsid w:val="00C23420"/>
    <w:rsid w:val="00C24243"/>
    <w:rsid w:val="00C24B57"/>
    <w:rsid w:val="00C252C9"/>
    <w:rsid w:val="00C265C4"/>
    <w:rsid w:val="00C26623"/>
    <w:rsid w:val="00C27145"/>
    <w:rsid w:val="00C31CD7"/>
    <w:rsid w:val="00C32425"/>
    <w:rsid w:val="00C346EE"/>
    <w:rsid w:val="00C34B37"/>
    <w:rsid w:val="00C357DC"/>
    <w:rsid w:val="00C36151"/>
    <w:rsid w:val="00C37A89"/>
    <w:rsid w:val="00C37ECD"/>
    <w:rsid w:val="00C45252"/>
    <w:rsid w:val="00C45BCF"/>
    <w:rsid w:val="00C465A6"/>
    <w:rsid w:val="00C46A62"/>
    <w:rsid w:val="00C47F9B"/>
    <w:rsid w:val="00C509EE"/>
    <w:rsid w:val="00C54246"/>
    <w:rsid w:val="00C555F7"/>
    <w:rsid w:val="00C5668B"/>
    <w:rsid w:val="00C61154"/>
    <w:rsid w:val="00C618C3"/>
    <w:rsid w:val="00C63879"/>
    <w:rsid w:val="00C64410"/>
    <w:rsid w:val="00C64B17"/>
    <w:rsid w:val="00C67622"/>
    <w:rsid w:val="00C67866"/>
    <w:rsid w:val="00C67C55"/>
    <w:rsid w:val="00C67E81"/>
    <w:rsid w:val="00C67F56"/>
    <w:rsid w:val="00C70758"/>
    <w:rsid w:val="00C713E7"/>
    <w:rsid w:val="00C71AED"/>
    <w:rsid w:val="00C72192"/>
    <w:rsid w:val="00C736F2"/>
    <w:rsid w:val="00C74CF4"/>
    <w:rsid w:val="00C75F2D"/>
    <w:rsid w:val="00C7626C"/>
    <w:rsid w:val="00C76871"/>
    <w:rsid w:val="00C77055"/>
    <w:rsid w:val="00C77AC4"/>
    <w:rsid w:val="00C80393"/>
    <w:rsid w:val="00C81164"/>
    <w:rsid w:val="00C81669"/>
    <w:rsid w:val="00C817D8"/>
    <w:rsid w:val="00C81E38"/>
    <w:rsid w:val="00C84FF3"/>
    <w:rsid w:val="00C85EB2"/>
    <w:rsid w:val="00C8794F"/>
    <w:rsid w:val="00C879CC"/>
    <w:rsid w:val="00C92D66"/>
    <w:rsid w:val="00C9515B"/>
    <w:rsid w:val="00C95173"/>
    <w:rsid w:val="00C96910"/>
    <w:rsid w:val="00C9726E"/>
    <w:rsid w:val="00CA16EA"/>
    <w:rsid w:val="00CA2679"/>
    <w:rsid w:val="00CA5AF4"/>
    <w:rsid w:val="00CA5C36"/>
    <w:rsid w:val="00CA67DA"/>
    <w:rsid w:val="00CA6D86"/>
    <w:rsid w:val="00CA702F"/>
    <w:rsid w:val="00CB010F"/>
    <w:rsid w:val="00CB30DA"/>
    <w:rsid w:val="00CB317B"/>
    <w:rsid w:val="00CB337A"/>
    <w:rsid w:val="00CB3B8F"/>
    <w:rsid w:val="00CB464E"/>
    <w:rsid w:val="00CB4A2D"/>
    <w:rsid w:val="00CC04AD"/>
    <w:rsid w:val="00CC0D28"/>
    <w:rsid w:val="00CC2054"/>
    <w:rsid w:val="00CC26DF"/>
    <w:rsid w:val="00CC2C24"/>
    <w:rsid w:val="00CC33A9"/>
    <w:rsid w:val="00CC40DE"/>
    <w:rsid w:val="00CC47A4"/>
    <w:rsid w:val="00CC6A1F"/>
    <w:rsid w:val="00CC6EEF"/>
    <w:rsid w:val="00CC75AA"/>
    <w:rsid w:val="00CC7972"/>
    <w:rsid w:val="00CD0835"/>
    <w:rsid w:val="00CD2F1A"/>
    <w:rsid w:val="00CD3330"/>
    <w:rsid w:val="00CD3C93"/>
    <w:rsid w:val="00CD442B"/>
    <w:rsid w:val="00CD4BE2"/>
    <w:rsid w:val="00CD51FE"/>
    <w:rsid w:val="00CD57B9"/>
    <w:rsid w:val="00CD580E"/>
    <w:rsid w:val="00CD6FBD"/>
    <w:rsid w:val="00CD7D19"/>
    <w:rsid w:val="00CE3565"/>
    <w:rsid w:val="00CE37CF"/>
    <w:rsid w:val="00CE39B4"/>
    <w:rsid w:val="00CE45A4"/>
    <w:rsid w:val="00CE4DC7"/>
    <w:rsid w:val="00CE4E61"/>
    <w:rsid w:val="00CE5B1D"/>
    <w:rsid w:val="00CE6B1D"/>
    <w:rsid w:val="00CF0299"/>
    <w:rsid w:val="00CF06F7"/>
    <w:rsid w:val="00CF1403"/>
    <w:rsid w:val="00CF1A46"/>
    <w:rsid w:val="00CF240A"/>
    <w:rsid w:val="00CF2CC7"/>
    <w:rsid w:val="00CF2FD0"/>
    <w:rsid w:val="00CF7FA9"/>
    <w:rsid w:val="00D001F6"/>
    <w:rsid w:val="00D0045C"/>
    <w:rsid w:val="00D009F6"/>
    <w:rsid w:val="00D0157E"/>
    <w:rsid w:val="00D01955"/>
    <w:rsid w:val="00D01DA6"/>
    <w:rsid w:val="00D020EB"/>
    <w:rsid w:val="00D029BC"/>
    <w:rsid w:val="00D03807"/>
    <w:rsid w:val="00D03C21"/>
    <w:rsid w:val="00D03D5D"/>
    <w:rsid w:val="00D07C18"/>
    <w:rsid w:val="00D07CAA"/>
    <w:rsid w:val="00D138D3"/>
    <w:rsid w:val="00D167CB"/>
    <w:rsid w:val="00D1681F"/>
    <w:rsid w:val="00D20B4F"/>
    <w:rsid w:val="00D21629"/>
    <w:rsid w:val="00D2182A"/>
    <w:rsid w:val="00D2338B"/>
    <w:rsid w:val="00D24D1D"/>
    <w:rsid w:val="00D25EA5"/>
    <w:rsid w:val="00D26D70"/>
    <w:rsid w:val="00D27D5C"/>
    <w:rsid w:val="00D3270D"/>
    <w:rsid w:val="00D32A73"/>
    <w:rsid w:val="00D33428"/>
    <w:rsid w:val="00D34782"/>
    <w:rsid w:val="00D349BA"/>
    <w:rsid w:val="00D36563"/>
    <w:rsid w:val="00D37FAF"/>
    <w:rsid w:val="00D400D4"/>
    <w:rsid w:val="00D411E1"/>
    <w:rsid w:val="00D42DC6"/>
    <w:rsid w:val="00D42F9C"/>
    <w:rsid w:val="00D44BD2"/>
    <w:rsid w:val="00D44DD8"/>
    <w:rsid w:val="00D45B6F"/>
    <w:rsid w:val="00D460B8"/>
    <w:rsid w:val="00D467B6"/>
    <w:rsid w:val="00D46B3E"/>
    <w:rsid w:val="00D4782D"/>
    <w:rsid w:val="00D47AAE"/>
    <w:rsid w:val="00D50476"/>
    <w:rsid w:val="00D5108A"/>
    <w:rsid w:val="00D52383"/>
    <w:rsid w:val="00D53515"/>
    <w:rsid w:val="00D54AA0"/>
    <w:rsid w:val="00D5684F"/>
    <w:rsid w:val="00D571F4"/>
    <w:rsid w:val="00D575BD"/>
    <w:rsid w:val="00D575EB"/>
    <w:rsid w:val="00D5762F"/>
    <w:rsid w:val="00D60597"/>
    <w:rsid w:val="00D61467"/>
    <w:rsid w:val="00D6146B"/>
    <w:rsid w:val="00D62B68"/>
    <w:rsid w:val="00D63E8B"/>
    <w:rsid w:val="00D6436F"/>
    <w:rsid w:val="00D64DCD"/>
    <w:rsid w:val="00D66802"/>
    <w:rsid w:val="00D6709C"/>
    <w:rsid w:val="00D67316"/>
    <w:rsid w:val="00D674F0"/>
    <w:rsid w:val="00D73E03"/>
    <w:rsid w:val="00D741C4"/>
    <w:rsid w:val="00D75B2F"/>
    <w:rsid w:val="00D80F1C"/>
    <w:rsid w:val="00D8143A"/>
    <w:rsid w:val="00D83A33"/>
    <w:rsid w:val="00D84BD6"/>
    <w:rsid w:val="00D84D8D"/>
    <w:rsid w:val="00D855A8"/>
    <w:rsid w:val="00D8622A"/>
    <w:rsid w:val="00D86303"/>
    <w:rsid w:val="00D8689C"/>
    <w:rsid w:val="00D86DA9"/>
    <w:rsid w:val="00D87E62"/>
    <w:rsid w:val="00D904C8"/>
    <w:rsid w:val="00D92527"/>
    <w:rsid w:val="00D925B7"/>
    <w:rsid w:val="00D92852"/>
    <w:rsid w:val="00D94186"/>
    <w:rsid w:val="00D95C15"/>
    <w:rsid w:val="00D96463"/>
    <w:rsid w:val="00D96BCC"/>
    <w:rsid w:val="00D978EA"/>
    <w:rsid w:val="00DA04AF"/>
    <w:rsid w:val="00DA0AFA"/>
    <w:rsid w:val="00DA1860"/>
    <w:rsid w:val="00DA1EC7"/>
    <w:rsid w:val="00DA202C"/>
    <w:rsid w:val="00DA3DE0"/>
    <w:rsid w:val="00DA4209"/>
    <w:rsid w:val="00DA44DE"/>
    <w:rsid w:val="00DA5BB6"/>
    <w:rsid w:val="00DA67B6"/>
    <w:rsid w:val="00DA6AA4"/>
    <w:rsid w:val="00DA7C38"/>
    <w:rsid w:val="00DB0B3A"/>
    <w:rsid w:val="00DB0F6C"/>
    <w:rsid w:val="00DB2ADE"/>
    <w:rsid w:val="00DB300C"/>
    <w:rsid w:val="00DB4129"/>
    <w:rsid w:val="00DB5DB1"/>
    <w:rsid w:val="00DB7622"/>
    <w:rsid w:val="00DC006B"/>
    <w:rsid w:val="00DC0434"/>
    <w:rsid w:val="00DC1412"/>
    <w:rsid w:val="00DC18CB"/>
    <w:rsid w:val="00DC1902"/>
    <w:rsid w:val="00DC38DA"/>
    <w:rsid w:val="00DC45FB"/>
    <w:rsid w:val="00DC4672"/>
    <w:rsid w:val="00DC6419"/>
    <w:rsid w:val="00DC769A"/>
    <w:rsid w:val="00DD0450"/>
    <w:rsid w:val="00DD05C7"/>
    <w:rsid w:val="00DD0C96"/>
    <w:rsid w:val="00DD2ED1"/>
    <w:rsid w:val="00DD4240"/>
    <w:rsid w:val="00DD4B4B"/>
    <w:rsid w:val="00DD5CC6"/>
    <w:rsid w:val="00DD7257"/>
    <w:rsid w:val="00DE01F8"/>
    <w:rsid w:val="00DE0685"/>
    <w:rsid w:val="00DE0F31"/>
    <w:rsid w:val="00DE149E"/>
    <w:rsid w:val="00DE1797"/>
    <w:rsid w:val="00DE2194"/>
    <w:rsid w:val="00DE234E"/>
    <w:rsid w:val="00DE244E"/>
    <w:rsid w:val="00DE3055"/>
    <w:rsid w:val="00DE30C4"/>
    <w:rsid w:val="00DE4D93"/>
    <w:rsid w:val="00DE54F9"/>
    <w:rsid w:val="00DE5CAF"/>
    <w:rsid w:val="00DE6692"/>
    <w:rsid w:val="00DE6CDC"/>
    <w:rsid w:val="00DE714B"/>
    <w:rsid w:val="00DE7A12"/>
    <w:rsid w:val="00DE7AE7"/>
    <w:rsid w:val="00DF0762"/>
    <w:rsid w:val="00DF098C"/>
    <w:rsid w:val="00DF1293"/>
    <w:rsid w:val="00DF1C46"/>
    <w:rsid w:val="00DF3979"/>
    <w:rsid w:val="00DF3ABE"/>
    <w:rsid w:val="00DF3B6E"/>
    <w:rsid w:val="00DF3C6B"/>
    <w:rsid w:val="00DF44BF"/>
    <w:rsid w:val="00DF5EB9"/>
    <w:rsid w:val="00DF60DA"/>
    <w:rsid w:val="00E0190D"/>
    <w:rsid w:val="00E03EC5"/>
    <w:rsid w:val="00E04784"/>
    <w:rsid w:val="00E04866"/>
    <w:rsid w:val="00E04F5B"/>
    <w:rsid w:val="00E060C2"/>
    <w:rsid w:val="00E06BA4"/>
    <w:rsid w:val="00E10587"/>
    <w:rsid w:val="00E10BFC"/>
    <w:rsid w:val="00E10C3A"/>
    <w:rsid w:val="00E10F82"/>
    <w:rsid w:val="00E112B5"/>
    <w:rsid w:val="00E115A7"/>
    <w:rsid w:val="00E12AFC"/>
    <w:rsid w:val="00E13018"/>
    <w:rsid w:val="00E13E72"/>
    <w:rsid w:val="00E15B34"/>
    <w:rsid w:val="00E16746"/>
    <w:rsid w:val="00E217E0"/>
    <w:rsid w:val="00E23656"/>
    <w:rsid w:val="00E2482B"/>
    <w:rsid w:val="00E24E5F"/>
    <w:rsid w:val="00E2555D"/>
    <w:rsid w:val="00E26CF6"/>
    <w:rsid w:val="00E304B7"/>
    <w:rsid w:val="00E31E5F"/>
    <w:rsid w:val="00E33EB9"/>
    <w:rsid w:val="00E345F8"/>
    <w:rsid w:val="00E34679"/>
    <w:rsid w:val="00E37B78"/>
    <w:rsid w:val="00E413EF"/>
    <w:rsid w:val="00E423E7"/>
    <w:rsid w:val="00E42824"/>
    <w:rsid w:val="00E42AA0"/>
    <w:rsid w:val="00E42B88"/>
    <w:rsid w:val="00E4329E"/>
    <w:rsid w:val="00E433D1"/>
    <w:rsid w:val="00E4371D"/>
    <w:rsid w:val="00E43D3D"/>
    <w:rsid w:val="00E4552E"/>
    <w:rsid w:val="00E45F2B"/>
    <w:rsid w:val="00E45F61"/>
    <w:rsid w:val="00E468D5"/>
    <w:rsid w:val="00E4724A"/>
    <w:rsid w:val="00E502EB"/>
    <w:rsid w:val="00E513FC"/>
    <w:rsid w:val="00E5339D"/>
    <w:rsid w:val="00E567DB"/>
    <w:rsid w:val="00E5709F"/>
    <w:rsid w:val="00E57D8F"/>
    <w:rsid w:val="00E618B8"/>
    <w:rsid w:val="00E62851"/>
    <w:rsid w:val="00E6347B"/>
    <w:rsid w:val="00E73B31"/>
    <w:rsid w:val="00E752E9"/>
    <w:rsid w:val="00E760AA"/>
    <w:rsid w:val="00E76202"/>
    <w:rsid w:val="00E76767"/>
    <w:rsid w:val="00E77AA6"/>
    <w:rsid w:val="00E77D05"/>
    <w:rsid w:val="00E77D47"/>
    <w:rsid w:val="00E8116E"/>
    <w:rsid w:val="00E81B64"/>
    <w:rsid w:val="00E82C79"/>
    <w:rsid w:val="00E854EF"/>
    <w:rsid w:val="00E87554"/>
    <w:rsid w:val="00E87BF0"/>
    <w:rsid w:val="00E90C70"/>
    <w:rsid w:val="00E941AB"/>
    <w:rsid w:val="00E945E3"/>
    <w:rsid w:val="00E979C4"/>
    <w:rsid w:val="00E97E29"/>
    <w:rsid w:val="00EA04E4"/>
    <w:rsid w:val="00EA0AA6"/>
    <w:rsid w:val="00EA0CD3"/>
    <w:rsid w:val="00EA298D"/>
    <w:rsid w:val="00EA2A6F"/>
    <w:rsid w:val="00EA3550"/>
    <w:rsid w:val="00EA493D"/>
    <w:rsid w:val="00EA5367"/>
    <w:rsid w:val="00EA5D0F"/>
    <w:rsid w:val="00EA7314"/>
    <w:rsid w:val="00EB03D8"/>
    <w:rsid w:val="00EB0A30"/>
    <w:rsid w:val="00EB151A"/>
    <w:rsid w:val="00EB2499"/>
    <w:rsid w:val="00EB425F"/>
    <w:rsid w:val="00EB5948"/>
    <w:rsid w:val="00EB5962"/>
    <w:rsid w:val="00EB6CFE"/>
    <w:rsid w:val="00EB6D5B"/>
    <w:rsid w:val="00EC0607"/>
    <w:rsid w:val="00EC26F9"/>
    <w:rsid w:val="00EC3569"/>
    <w:rsid w:val="00EC35F4"/>
    <w:rsid w:val="00EC5A2C"/>
    <w:rsid w:val="00EC5ABA"/>
    <w:rsid w:val="00EC5B17"/>
    <w:rsid w:val="00EC5C1B"/>
    <w:rsid w:val="00EC6432"/>
    <w:rsid w:val="00EC6E05"/>
    <w:rsid w:val="00ED03E2"/>
    <w:rsid w:val="00ED1184"/>
    <w:rsid w:val="00ED19AA"/>
    <w:rsid w:val="00ED1E35"/>
    <w:rsid w:val="00ED43AF"/>
    <w:rsid w:val="00ED45FD"/>
    <w:rsid w:val="00ED4C17"/>
    <w:rsid w:val="00EE0790"/>
    <w:rsid w:val="00EE0897"/>
    <w:rsid w:val="00EE0BBF"/>
    <w:rsid w:val="00EE4636"/>
    <w:rsid w:val="00EE6A29"/>
    <w:rsid w:val="00EE6A46"/>
    <w:rsid w:val="00EE6FAD"/>
    <w:rsid w:val="00EE7678"/>
    <w:rsid w:val="00EE77A6"/>
    <w:rsid w:val="00EE7A53"/>
    <w:rsid w:val="00EF2E5E"/>
    <w:rsid w:val="00EF477C"/>
    <w:rsid w:val="00EF4C56"/>
    <w:rsid w:val="00EF513B"/>
    <w:rsid w:val="00EF5DC9"/>
    <w:rsid w:val="00EF6FC4"/>
    <w:rsid w:val="00EF7C8D"/>
    <w:rsid w:val="00F022A1"/>
    <w:rsid w:val="00F04356"/>
    <w:rsid w:val="00F06E72"/>
    <w:rsid w:val="00F07EAB"/>
    <w:rsid w:val="00F1022F"/>
    <w:rsid w:val="00F1026B"/>
    <w:rsid w:val="00F116EB"/>
    <w:rsid w:val="00F11706"/>
    <w:rsid w:val="00F124B3"/>
    <w:rsid w:val="00F168C3"/>
    <w:rsid w:val="00F16C7E"/>
    <w:rsid w:val="00F17DAE"/>
    <w:rsid w:val="00F22162"/>
    <w:rsid w:val="00F235A4"/>
    <w:rsid w:val="00F240A6"/>
    <w:rsid w:val="00F24CEB"/>
    <w:rsid w:val="00F25838"/>
    <w:rsid w:val="00F2621E"/>
    <w:rsid w:val="00F26622"/>
    <w:rsid w:val="00F26C2A"/>
    <w:rsid w:val="00F27D09"/>
    <w:rsid w:val="00F30B75"/>
    <w:rsid w:val="00F31AD8"/>
    <w:rsid w:val="00F32ED1"/>
    <w:rsid w:val="00F331B7"/>
    <w:rsid w:val="00F34477"/>
    <w:rsid w:val="00F347FF"/>
    <w:rsid w:val="00F34AC3"/>
    <w:rsid w:val="00F40133"/>
    <w:rsid w:val="00F40805"/>
    <w:rsid w:val="00F4087E"/>
    <w:rsid w:val="00F4142A"/>
    <w:rsid w:val="00F41BB0"/>
    <w:rsid w:val="00F42480"/>
    <w:rsid w:val="00F43B8D"/>
    <w:rsid w:val="00F43BE4"/>
    <w:rsid w:val="00F44062"/>
    <w:rsid w:val="00F4422F"/>
    <w:rsid w:val="00F444BA"/>
    <w:rsid w:val="00F456D0"/>
    <w:rsid w:val="00F45AD3"/>
    <w:rsid w:val="00F45B1E"/>
    <w:rsid w:val="00F465D7"/>
    <w:rsid w:val="00F504C2"/>
    <w:rsid w:val="00F5152D"/>
    <w:rsid w:val="00F51AF4"/>
    <w:rsid w:val="00F5365A"/>
    <w:rsid w:val="00F53956"/>
    <w:rsid w:val="00F55919"/>
    <w:rsid w:val="00F55AED"/>
    <w:rsid w:val="00F55CEB"/>
    <w:rsid w:val="00F55F8D"/>
    <w:rsid w:val="00F572E9"/>
    <w:rsid w:val="00F57B0A"/>
    <w:rsid w:val="00F6027A"/>
    <w:rsid w:val="00F60580"/>
    <w:rsid w:val="00F62EA1"/>
    <w:rsid w:val="00F62F85"/>
    <w:rsid w:val="00F631B0"/>
    <w:rsid w:val="00F6436A"/>
    <w:rsid w:val="00F643FE"/>
    <w:rsid w:val="00F6481F"/>
    <w:rsid w:val="00F65852"/>
    <w:rsid w:val="00F6692F"/>
    <w:rsid w:val="00F674E8"/>
    <w:rsid w:val="00F7026C"/>
    <w:rsid w:val="00F713BB"/>
    <w:rsid w:val="00F718F6"/>
    <w:rsid w:val="00F72CF0"/>
    <w:rsid w:val="00F72E0E"/>
    <w:rsid w:val="00F73791"/>
    <w:rsid w:val="00F75A51"/>
    <w:rsid w:val="00F75CFF"/>
    <w:rsid w:val="00F76243"/>
    <w:rsid w:val="00F80044"/>
    <w:rsid w:val="00F80220"/>
    <w:rsid w:val="00F80F77"/>
    <w:rsid w:val="00F8154D"/>
    <w:rsid w:val="00F81695"/>
    <w:rsid w:val="00F8194E"/>
    <w:rsid w:val="00F82020"/>
    <w:rsid w:val="00F824DA"/>
    <w:rsid w:val="00F82568"/>
    <w:rsid w:val="00F837F8"/>
    <w:rsid w:val="00F83BD3"/>
    <w:rsid w:val="00F83E6B"/>
    <w:rsid w:val="00F84AE8"/>
    <w:rsid w:val="00F857E3"/>
    <w:rsid w:val="00F85FD2"/>
    <w:rsid w:val="00F866CA"/>
    <w:rsid w:val="00F86A66"/>
    <w:rsid w:val="00F87CF2"/>
    <w:rsid w:val="00F90041"/>
    <w:rsid w:val="00F91DD8"/>
    <w:rsid w:val="00F93B91"/>
    <w:rsid w:val="00F955B7"/>
    <w:rsid w:val="00F956F1"/>
    <w:rsid w:val="00F95F0B"/>
    <w:rsid w:val="00F9782F"/>
    <w:rsid w:val="00FA1EF1"/>
    <w:rsid w:val="00FA4B45"/>
    <w:rsid w:val="00FA5A28"/>
    <w:rsid w:val="00FA6059"/>
    <w:rsid w:val="00FA7467"/>
    <w:rsid w:val="00FB126B"/>
    <w:rsid w:val="00FB2DB2"/>
    <w:rsid w:val="00FB3416"/>
    <w:rsid w:val="00FB3CC8"/>
    <w:rsid w:val="00FB5C3E"/>
    <w:rsid w:val="00FB74F3"/>
    <w:rsid w:val="00FB75B9"/>
    <w:rsid w:val="00FC1ADA"/>
    <w:rsid w:val="00FC4BC4"/>
    <w:rsid w:val="00FC5E3F"/>
    <w:rsid w:val="00FC63A3"/>
    <w:rsid w:val="00FC78D2"/>
    <w:rsid w:val="00FD089D"/>
    <w:rsid w:val="00FD1207"/>
    <w:rsid w:val="00FD2193"/>
    <w:rsid w:val="00FD2885"/>
    <w:rsid w:val="00FD2907"/>
    <w:rsid w:val="00FD2D3F"/>
    <w:rsid w:val="00FD3559"/>
    <w:rsid w:val="00FD4FAD"/>
    <w:rsid w:val="00FD509D"/>
    <w:rsid w:val="00FD58B0"/>
    <w:rsid w:val="00FD6EE0"/>
    <w:rsid w:val="00FD72B7"/>
    <w:rsid w:val="00FE1A22"/>
    <w:rsid w:val="00FE2452"/>
    <w:rsid w:val="00FE27C3"/>
    <w:rsid w:val="00FE2C6B"/>
    <w:rsid w:val="00FE4B13"/>
    <w:rsid w:val="00FE7E5F"/>
    <w:rsid w:val="00FF0D8F"/>
    <w:rsid w:val="00FF133B"/>
    <w:rsid w:val="00FF13D2"/>
    <w:rsid w:val="00FF1A1D"/>
    <w:rsid w:val="00FF2D8D"/>
    <w:rsid w:val="00FF4592"/>
    <w:rsid w:val="00FF613C"/>
    <w:rsid w:val="00FF6878"/>
    <w:rsid w:val="00FF6A91"/>
    <w:rsid w:val="00FF6DC4"/>
    <w:rsid w:val="00FF7362"/>
    <w:rsid w:val="49518E2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D92FDE3F-73AE-416B-9395-56C50AE3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97"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
    <w:lsdException w:name="Quote" w:semiHidden="1"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217"/>
    <w:pPr>
      <w:widowControl w:val="0"/>
      <w:spacing w:before="160" w:after="160" w:line="360" w:lineRule="atLeast"/>
    </w:pPr>
    <w:rPr>
      <w:rFonts w:ascii="Montserrat" w:hAnsi="Montserrat"/>
      <w:sz w:val="24"/>
    </w:rPr>
  </w:style>
  <w:style w:type="paragraph" w:styleId="Heading1">
    <w:name w:val="heading 1"/>
    <w:basedOn w:val="Normal"/>
    <w:next w:val="Normal"/>
    <w:link w:val="Heading1Char"/>
    <w:autoRedefine/>
    <w:uiPriority w:val="1"/>
    <w:qFormat/>
    <w:rsid w:val="00B94217"/>
    <w:pPr>
      <w:widowControl/>
      <w:spacing w:before="0" w:after="100" w:line="520" w:lineRule="atLeast"/>
      <w:outlineLvl w:val="0"/>
    </w:pPr>
    <w:rPr>
      <w:rFonts w:eastAsiaTheme="majorEastAsia" w:cstheme="majorBidi"/>
      <w:b/>
      <w:color w:val="65328F" w:themeColor="accent1"/>
      <w:sz w:val="44"/>
      <w:szCs w:val="32"/>
    </w:rPr>
  </w:style>
  <w:style w:type="paragraph" w:styleId="Heading2">
    <w:name w:val="heading 2"/>
    <w:basedOn w:val="Normal"/>
    <w:next w:val="Normal"/>
    <w:link w:val="Heading2Char"/>
    <w:autoRedefine/>
    <w:uiPriority w:val="1"/>
    <w:qFormat/>
    <w:rsid w:val="00B94217"/>
    <w:pPr>
      <w:widowControl/>
      <w:spacing w:before="100" w:after="100" w:line="480" w:lineRule="atLeast"/>
      <w:outlineLvl w:val="1"/>
    </w:pPr>
    <w:rPr>
      <w:rFonts w:eastAsiaTheme="majorEastAsia" w:cstheme="majorBidi"/>
      <w:b/>
      <w:color w:val="65328F" w:themeColor="accent1"/>
      <w:sz w:val="36"/>
      <w:szCs w:val="26"/>
    </w:rPr>
  </w:style>
  <w:style w:type="paragraph" w:styleId="Heading3">
    <w:name w:val="heading 3"/>
    <w:basedOn w:val="Normal"/>
    <w:next w:val="Normal"/>
    <w:link w:val="Heading3Char"/>
    <w:autoRedefine/>
    <w:uiPriority w:val="1"/>
    <w:qFormat/>
    <w:rsid w:val="00B94217"/>
    <w:pPr>
      <w:keepNext/>
      <w:keepLines/>
      <w:spacing w:before="100" w:after="100" w:line="440" w:lineRule="atLeast"/>
      <w:outlineLvl w:val="2"/>
    </w:pPr>
    <w:rPr>
      <w:rFonts w:eastAsiaTheme="majorEastAsia" w:cstheme="majorBidi"/>
      <w:b/>
      <w:color w:val="65328F" w:themeColor="accent1"/>
      <w:sz w:val="32"/>
      <w:szCs w:val="24"/>
    </w:rPr>
  </w:style>
  <w:style w:type="paragraph" w:styleId="Heading4">
    <w:name w:val="heading 4"/>
    <w:basedOn w:val="Normal"/>
    <w:next w:val="Normal"/>
    <w:link w:val="Heading4Char"/>
    <w:autoRedefine/>
    <w:uiPriority w:val="1"/>
    <w:qFormat/>
    <w:rsid w:val="00B94217"/>
    <w:pPr>
      <w:widowControl/>
      <w:spacing w:before="100" w:after="100" w:line="400" w:lineRule="atLeast"/>
      <w:outlineLvl w:val="3"/>
    </w:pPr>
    <w:rPr>
      <w:rFonts w:eastAsiaTheme="majorEastAsia" w:cstheme="majorBidi"/>
      <w:b/>
      <w:iCs/>
      <w:color w:val="65328F" w:themeColor="accent1"/>
      <w:sz w:val="28"/>
      <w:szCs w:val="24"/>
    </w:rPr>
  </w:style>
  <w:style w:type="paragraph" w:styleId="Heading5">
    <w:name w:val="heading 5"/>
    <w:basedOn w:val="Normal"/>
    <w:next w:val="Normal"/>
    <w:link w:val="Heading5Char"/>
    <w:autoRedefine/>
    <w:uiPriority w:val="1"/>
    <w:qFormat/>
    <w:rsid w:val="00B94217"/>
    <w:pPr>
      <w:keepNext/>
      <w:keepLines/>
      <w:spacing w:before="100" w:after="100"/>
      <w:outlineLvl w:val="4"/>
    </w:pPr>
    <w:rPr>
      <w:rFonts w:eastAsiaTheme="majorEastAsia" w:cstheme="majorBidi"/>
      <w:b/>
      <w:color w:val="65328F" w:themeColor="accent1"/>
      <w:szCs w:val="24"/>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rsid w:val="0098396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qFormat/>
    <w:rsid w:val="003229AA"/>
    <w:pPr>
      <w:spacing w:before="0" w:after="0" w:line="240" w:lineRule="atLeast"/>
    </w:pPr>
    <w:rPr>
      <w:color w:val="65328F" w:themeColor="accent1"/>
      <w:sz w:val="18"/>
      <w:szCs w:val="21"/>
    </w:rPr>
  </w:style>
  <w:style w:type="character" w:customStyle="1" w:styleId="FooterChar">
    <w:name w:val="Footer Char"/>
    <w:basedOn w:val="DefaultParagraphFont"/>
    <w:link w:val="Footer"/>
    <w:uiPriority w:val="37"/>
    <w:rsid w:val="003229AA"/>
    <w:rPr>
      <w:rFonts w:ascii="Montserrat" w:hAnsi="Montserrat"/>
      <w:color w:val="65328F" w:themeColor="accent1"/>
      <w:sz w:val="18"/>
      <w:szCs w:val="21"/>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3D22B0"/>
    <w:rPr>
      <w:color w:val="65328F" w:themeColor="accent1"/>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rsid w:val="00914935"/>
    <w:rPr>
      <w:b/>
      <w:bCs/>
      <w:i/>
      <w:iCs/>
      <w:color w:val="65328F" w:themeColor="accent1"/>
    </w:rPr>
  </w:style>
  <w:style w:type="paragraph" w:styleId="IntenseQuote">
    <w:name w:val="Intense Quote"/>
    <w:basedOn w:val="Normal"/>
    <w:next w:val="Normal"/>
    <w:link w:val="IntenseQuoteChar"/>
    <w:uiPriority w:val="30"/>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rsid w:val="00914935"/>
    <w:rPr>
      <w:b/>
      <w:bCs/>
      <w:i/>
      <w:iCs/>
      <w:color w:val="65328F" w:themeColor="accent1"/>
      <w:sz w:val="20"/>
    </w:rPr>
  </w:style>
  <w:style w:type="character" w:styleId="IntenseReference">
    <w:name w:val="Intense Reference"/>
    <w:basedOn w:val="DefaultParagraphFont"/>
    <w:uiPriority w:val="32"/>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7"/>
      </w:numPr>
      <w:contextualSpacing/>
    </w:pPr>
  </w:style>
  <w:style w:type="paragraph" w:styleId="ListBullet5">
    <w:name w:val="List Bullet 5"/>
    <w:basedOn w:val="Normal"/>
    <w:uiPriority w:val="99"/>
    <w:semiHidden/>
    <w:unhideWhenUsed/>
    <w:rsid w:val="00914935"/>
    <w:pPr>
      <w:numPr>
        <w:numId w:val="18"/>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32"/>
      </w:numPr>
      <w:spacing w:before="120" w:after="120"/>
    </w:pPr>
    <w:rPr>
      <w:szCs w:val="20"/>
    </w:rPr>
  </w:style>
  <w:style w:type="paragraph" w:styleId="ListNumber2">
    <w:name w:val="List Number 2"/>
    <w:basedOn w:val="Normal"/>
    <w:uiPriority w:val="1"/>
    <w:qFormat/>
    <w:rsid w:val="009E71B6"/>
    <w:pPr>
      <w:widowControl/>
      <w:numPr>
        <w:ilvl w:val="1"/>
        <w:numId w:val="32"/>
      </w:numPr>
      <w:spacing w:before="120" w:after="120"/>
    </w:pPr>
    <w:rPr>
      <w:szCs w:val="20"/>
    </w:rPr>
  </w:style>
  <w:style w:type="paragraph" w:styleId="ListNumber3">
    <w:name w:val="List Number 3"/>
    <w:basedOn w:val="Normal"/>
    <w:uiPriority w:val="1"/>
    <w:qFormat/>
    <w:rsid w:val="009E71B6"/>
    <w:pPr>
      <w:widowControl/>
      <w:numPr>
        <w:ilvl w:val="2"/>
        <w:numId w:val="32"/>
      </w:numPr>
      <w:spacing w:before="120" w:after="120"/>
      <w:ind w:left="1020" w:hanging="340"/>
    </w:pPr>
    <w:rPr>
      <w:szCs w:val="20"/>
    </w:rPr>
  </w:style>
  <w:style w:type="paragraph" w:styleId="ListNumber4">
    <w:name w:val="List Number 4"/>
    <w:basedOn w:val="Normal"/>
    <w:uiPriority w:val="99"/>
    <w:semiHidden/>
    <w:unhideWhenUsed/>
    <w:rsid w:val="00914935"/>
    <w:pPr>
      <w:numPr>
        <w:numId w:val="19"/>
      </w:numPr>
      <w:contextualSpacing/>
    </w:pPr>
  </w:style>
  <w:style w:type="paragraph" w:styleId="ListNumber5">
    <w:name w:val="List Number 5"/>
    <w:basedOn w:val="Normal"/>
    <w:uiPriority w:val="99"/>
    <w:semiHidden/>
    <w:unhideWhenUsed/>
    <w:rsid w:val="00914935"/>
    <w:pPr>
      <w:numPr>
        <w:numId w:val="20"/>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rPr>
      <w:szCs w:val="24"/>
    </w:rPr>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qFormat/>
    <w:rsid w:val="00914935"/>
    <w:rPr>
      <w:b/>
      <w:bCs/>
    </w:rPr>
  </w:style>
  <w:style w:type="paragraph" w:styleId="Subtitle">
    <w:name w:val="Subtitle"/>
    <w:basedOn w:val="Normal"/>
    <w:next w:val="Normal"/>
    <w:link w:val="SubtitleChar"/>
    <w:uiPriority w:val="1"/>
    <w:rsid w:val="00B94217"/>
    <w:pPr>
      <w:numPr>
        <w:ilvl w:val="1"/>
      </w:numPr>
      <w:spacing w:after="120" w:line="400" w:lineRule="atLeast"/>
    </w:pPr>
    <w:rPr>
      <w:rFonts w:eastAsiaTheme="majorEastAsia" w:cstheme="majorBidi"/>
      <w:b/>
      <w:iCs/>
      <w:color w:val="58595B"/>
      <w:spacing w:val="4"/>
      <w:sz w:val="44"/>
      <w:szCs w:val="44"/>
    </w:rPr>
  </w:style>
  <w:style w:type="character" w:customStyle="1" w:styleId="SubtitleChar">
    <w:name w:val="Subtitle Char"/>
    <w:basedOn w:val="DefaultParagraphFont"/>
    <w:link w:val="Subtitle"/>
    <w:uiPriority w:val="1"/>
    <w:rsid w:val="00B94217"/>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rsid w:val="00914935"/>
    <w:rPr>
      <w:i/>
      <w:iCs/>
      <w:color w:val="808080" w:themeColor="text1" w:themeTint="7F"/>
    </w:rPr>
  </w:style>
  <w:style w:type="character" w:styleId="SubtleReference">
    <w:name w:val="Subtle Reference"/>
    <w:basedOn w:val="DefaultParagraphFont"/>
    <w:uiPriority w:val="31"/>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
    <w:qFormat/>
    <w:rsid w:val="00B94217"/>
    <w:pPr>
      <w:widowControl/>
      <w:spacing w:before="0" w:after="100" w:line="760" w:lineRule="atLeast"/>
    </w:pPr>
    <w:rPr>
      <w:rFonts w:eastAsiaTheme="majorEastAsia" w:cstheme="majorBidi"/>
      <w:b/>
      <w:color w:val="65328F" w:themeColor="accent1"/>
      <w:kern w:val="28"/>
      <w:sz w:val="80"/>
      <w:szCs w:val="80"/>
    </w:rPr>
  </w:style>
  <w:style w:type="character" w:customStyle="1" w:styleId="TitleChar">
    <w:name w:val="Title Char"/>
    <w:basedOn w:val="DefaultParagraphFont"/>
    <w:link w:val="Title"/>
    <w:uiPriority w:val="1"/>
    <w:rsid w:val="00B94217"/>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szCs w:val="24"/>
    </w:rPr>
  </w:style>
  <w:style w:type="paragraph" w:styleId="TOC2">
    <w:name w:val="toc 2"/>
    <w:basedOn w:val="Normal"/>
    <w:next w:val="Normal"/>
    <w:uiPriority w:val="39"/>
    <w:rsid w:val="00997DFA"/>
    <w:pPr>
      <w:tabs>
        <w:tab w:val="right" w:leader="dot" w:pos="9866"/>
      </w:tabs>
      <w:ind w:left="567" w:hanging="567"/>
    </w:pPr>
  </w:style>
  <w:style w:type="paragraph" w:styleId="TOC3">
    <w:name w:val="toc 3"/>
    <w:basedOn w:val="Normal"/>
    <w:next w:val="Normal"/>
    <w:uiPriority w:val="39"/>
    <w:rsid w:val="00BD7D76"/>
    <w:pPr>
      <w:tabs>
        <w:tab w:val="right" w:leader="dot" w:pos="9866"/>
      </w:tabs>
      <w:ind w:left="170"/>
    </w:pPr>
  </w:style>
  <w:style w:type="paragraph" w:styleId="TOC4">
    <w:name w:val="toc 4"/>
    <w:basedOn w:val="Normal"/>
    <w:next w:val="Normal"/>
    <w:uiPriority w:val="39"/>
    <w:semiHidden/>
    <w:rsid w:val="00914935"/>
    <w:pPr>
      <w:ind w:left="1134" w:hanging="964"/>
    </w:pPr>
    <w:rPr>
      <w:b/>
      <w:color w:val="7F7F7F" w:themeColor="text1" w:themeTint="80"/>
    </w:rPr>
  </w:style>
  <w:style w:type="paragraph" w:styleId="TOC5">
    <w:name w:val="toc 5"/>
    <w:basedOn w:val="Normal"/>
    <w:next w:val="Normal"/>
    <w:uiPriority w:val="39"/>
    <w:semiHidden/>
    <w:rsid w:val="00914935"/>
    <w:pPr>
      <w:ind w:left="340"/>
    </w:pPr>
    <w:rPr>
      <w:b/>
      <w:color w:val="7F7F7F" w:themeColor="text1" w:themeTint="80"/>
    </w:rPr>
  </w:style>
  <w:style w:type="paragraph" w:styleId="TOC6">
    <w:name w:val="toc 6"/>
    <w:basedOn w:val="Normal"/>
    <w:next w:val="Normal"/>
    <w:uiPriority w:val="39"/>
    <w:semiHidden/>
    <w:rsid w:val="00914935"/>
    <w:pPr>
      <w:ind w:left="1304" w:hanging="964"/>
    </w:pPr>
    <w:rPr>
      <w:b/>
      <w:color w:val="7F7F7F" w:themeColor="text1" w:themeTint="80"/>
    </w:rPr>
  </w:style>
  <w:style w:type="paragraph" w:styleId="TOC7">
    <w:name w:val="toc 7"/>
    <w:basedOn w:val="Normal"/>
    <w:next w:val="Normal"/>
    <w:autoRedefine/>
    <w:uiPriority w:val="39"/>
    <w:semiHidden/>
    <w:rsid w:val="00914935"/>
    <w:rPr>
      <w:b/>
      <w:color w:val="7F7F7F" w:themeColor="text1" w:themeTint="80"/>
    </w:rPr>
  </w:style>
  <w:style w:type="paragraph" w:styleId="TOC8">
    <w:name w:val="toc 8"/>
    <w:basedOn w:val="Normal"/>
    <w:next w:val="Normal"/>
    <w:autoRedefine/>
    <w:uiPriority w:val="39"/>
    <w:semiHidden/>
    <w:rsid w:val="00914935"/>
    <w:pPr>
      <w:spacing w:after="100"/>
      <w:ind w:left="1680"/>
    </w:pPr>
  </w:style>
  <w:style w:type="paragraph" w:styleId="TOC9">
    <w:name w:val="toc 9"/>
    <w:basedOn w:val="Normal"/>
    <w:next w:val="Normal"/>
    <w:autoRedefine/>
    <w:uiPriority w:val="39"/>
    <w:semiHidden/>
    <w:rsid w:val="00914935"/>
    <w:pPr>
      <w:spacing w:after="100"/>
      <w:ind w:left="1920"/>
    </w:pPr>
  </w:style>
  <w:style w:type="paragraph" w:styleId="TOCHeading">
    <w:name w:val="TOC Heading"/>
    <w:basedOn w:val="Normal"/>
    <w:next w:val="Normal"/>
    <w:uiPriority w:val="39"/>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CE45A4"/>
    <w:pPr>
      <w:widowControl/>
      <w:spacing w:before="60" w:after="60" w:line="280" w:lineRule="atLeast"/>
    </w:pPr>
    <w:rPr>
      <w:b/>
      <w:color w:val="FFFFFF" w:themeColor="background1"/>
      <w:szCs w:val="24"/>
    </w:rPr>
  </w:style>
  <w:style w:type="paragraph" w:customStyle="1" w:styleId="TableText">
    <w:name w:val="Table Text"/>
    <w:basedOn w:val="TableHeading"/>
    <w:autoRedefine/>
    <w:uiPriority w:val="2"/>
    <w:qFormat/>
    <w:rsid w:val="00992F2F"/>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B94217"/>
    <w:rPr>
      <w:rFonts w:ascii="Montserrat" w:eastAsiaTheme="majorEastAsia" w:hAnsi="Montserrat" w:cstheme="majorBidi"/>
      <w:b/>
      <w:iCs/>
      <w:color w:val="65328F" w:themeColor="accent1"/>
      <w:sz w:val="28"/>
      <w:szCs w:val="24"/>
    </w:rPr>
  </w:style>
  <w:style w:type="character" w:customStyle="1" w:styleId="Heading5Char">
    <w:name w:val="Heading 5 Char"/>
    <w:basedOn w:val="DefaultParagraphFont"/>
    <w:link w:val="Heading5"/>
    <w:uiPriority w:val="1"/>
    <w:rsid w:val="00B94217"/>
    <w:rPr>
      <w:rFonts w:ascii="Montserrat" w:eastAsiaTheme="majorEastAsia" w:hAnsi="Montserrat" w:cstheme="majorBidi"/>
      <w:b/>
      <w:color w:val="65328F" w:themeColor="accent1"/>
      <w:sz w:val="24"/>
      <w:szCs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B94217"/>
    <w:rPr>
      <w:rFonts w:ascii="Montserrat" w:eastAsiaTheme="majorEastAsia" w:hAnsi="Montserrat" w:cstheme="majorBidi"/>
      <w:b/>
      <w:color w:val="65328F" w:themeColor="accent1"/>
      <w:sz w:val="44"/>
      <w:szCs w:val="32"/>
    </w:rPr>
  </w:style>
  <w:style w:type="character" w:customStyle="1" w:styleId="Heading2Char">
    <w:name w:val="Heading 2 Char"/>
    <w:basedOn w:val="DefaultParagraphFont"/>
    <w:link w:val="Heading2"/>
    <w:uiPriority w:val="1"/>
    <w:rsid w:val="00B94217"/>
    <w:rPr>
      <w:rFonts w:ascii="Montserrat" w:eastAsiaTheme="majorEastAsia" w:hAnsi="Montserrat" w:cstheme="majorBidi"/>
      <w:b/>
      <w:color w:val="65328F" w:themeColor="accent1"/>
      <w:sz w:val="36"/>
      <w:szCs w:val="26"/>
    </w:rPr>
  </w:style>
  <w:style w:type="character" w:customStyle="1" w:styleId="Heading3Char">
    <w:name w:val="Heading 3 Char"/>
    <w:basedOn w:val="DefaultParagraphFont"/>
    <w:link w:val="Heading3"/>
    <w:uiPriority w:val="1"/>
    <w:rsid w:val="00B94217"/>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1"/>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Normal"/>
    <w:autoRedefine/>
    <w:uiPriority w:val="2"/>
    <w:qFormat/>
    <w:rsid w:val="001D16CA"/>
    <w:pPr>
      <w:numPr>
        <w:numId w:val="23"/>
      </w:numPr>
      <w:spacing w:before="120" w:after="120"/>
    </w:pPr>
    <w:rPr>
      <w:rFonts w:cs="Poppins"/>
      <w:bCs/>
      <w:szCs w:val="20"/>
      <w:lang w:val="en-US"/>
    </w:rPr>
  </w:style>
  <w:style w:type="character" w:styleId="Mention">
    <w:name w:val="Mention"/>
    <w:basedOn w:val="DefaultParagraphFont"/>
    <w:uiPriority w:val="99"/>
    <w:semiHidden/>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ListParagraph"/>
    <w:uiPriority w:val="1"/>
    <w:qFormat/>
    <w:rsid w:val="00E03EC5"/>
    <w:pPr>
      <w:numPr>
        <w:numId w:val="53"/>
      </w:numPr>
      <w:spacing w:before="120" w:after="120"/>
      <w:ind w:left="340" w:hanging="340"/>
    </w:pPr>
    <w:rPr>
      <w:rFonts w:ascii="Montserrat" w:hAnsi="Montserrat" w:cs="Poppins"/>
      <w:szCs w:val="24"/>
    </w:rPr>
  </w:style>
  <w:style w:type="paragraph" w:styleId="ListBullet2">
    <w:name w:val="List Bullet 2"/>
    <w:basedOn w:val="Normal"/>
    <w:uiPriority w:val="1"/>
    <w:qFormat/>
    <w:rsid w:val="009E71B6"/>
    <w:pPr>
      <w:numPr>
        <w:ilvl w:val="1"/>
        <w:numId w:val="31"/>
      </w:numPr>
      <w:spacing w:before="120" w:after="120"/>
    </w:pPr>
  </w:style>
  <w:style w:type="paragraph" w:styleId="ListBullet3">
    <w:name w:val="List Bullet 3"/>
    <w:basedOn w:val="Normal"/>
    <w:uiPriority w:val="1"/>
    <w:qFormat/>
    <w:rsid w:val="009E71B6"/>
    <w:pPr>
      <w:numPr>
        <w:ilvl w:val="2"/>
        <w:numId w:val="31"/>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Next/>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TableHeading"/>
    <w:autoRedefine/>
    <w:uiPriority w:val="3"/>
    <w:qFormat/>
    <w:rsid w:val="00CC40DE"/>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2"/>
      </w:numPr>
    </w:pPr>
  </w:style>
  <w:style w:type="paragraph" w:customStyle="1" w:styleId="BoxHeading1">
    <w:name w:val="Box Heading 1"/>
    <w:basedOn w:val="TableText"/>
    <w:uiPriority w:val="4"/>
    <w:semiHidden/>
    <w:qFormat/>
    <w:rsid w:val="00914935"/>
    <w:rPr>
      <w:b w:val="0"/>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3"/>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4"/>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25"/>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26"/>
      </w:numPr>
    </w:pPr>
  </w:style>
  <w:style w:type="paragraph" w:customStyle="1" w:styleId="NumberedBullet2">
    <w:name w:val="Numbered Bullet 2"/>
    <w:basedOn w:val="Normal"/>
    <w:uiPriority w:val="2"/>
    <w:semiHidden/>
    <w:qFormat/>
    <w:rsid w:val="00914935"/>
    <w:pPr>
      <w:numPr>
        <w:ilvl w:val="1"/>
        <w:numId w:val="26"/>
      </w:numPr>
    </w:pPr>
  </w:style>
  <w:style w:type="paragraph" w:customStyle="1" w:styleId="NumberedBullet3">
    <w:name w:val="Numbered Bullet 3"/>
    <w:basedOn w:val="Normal"/>
    <w:uiPriority w:val="2"/>
    <w:semiHidden/>
    <w:qFormat/>
    <w:rsid w:val="00914935"/>
    <w:pPr>
      <w:numPr>
        <w:ilvl w:val="2"/>
        <w:numId w:val="26"/>
      </w:numPr>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27"/>
      </w:numPr>
    </w:pPr>
  </w:style>
  <w:style w:type="paragraph" w:customStyle="1" w:styleId="BodyTextNumbered2">
    <w:name w:val="Body Text Numbered 2"/>
    <w:basedOn w:val="Normal"/>
    <w:uiPriority w:val="2"/>
    <w:semiHidden/>
    <w:qFormat/>
    <w:rsid w:val="00914935"/>
    <w:pPr>
      <w:numPr>
        <w:ilvl w:val="1"/>
        <w:numId w:val="27"/>
      </w:numPr>
    </w:pPr>
  </w:style>
  <w:style w:type="paragraph" w:customStyle="1" w:styleId="BodyTextNumbered3">
    <w:name w:val="Body Text Numbered 3"/>
    <w:basedOn w:val="Normal"/>
    <w:uiPriority w:val="2"/>
    <w:semiHidden/>
    <w:qFormat/>
    <w:rsid w:val="00914935"/>
    <w:pPr>
      <w:numPr>
        <w:ilvl w:val="2"/>
        <w:numId w:val="27"/>
      </w:numPr>
    </w:pPr>
  </w:style>
  <w:style w:type="numbering" w:customStyle="1" w:styleId="BodyTextnumberedStyles">
    <w:name w:val="Body Text numbered Styles"/>
    <w:uiPriority w:val="99"/>
    <w:rsid w:val="00914935"/>
    <w:pPr>
      <w:numPr>
        <w:numId w:val="16"/>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3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28"/>
      </w:numPr>
      <w:spacing w:before="0" w:line="400" w:lineRule="atLeast"/>
    </w:pPr>
    <w:rPr>
      <w:rFonts w:asciiTheme="majorHAnsi" w:hAnsiTheme="majorHAnsi"/>
      <w:b/>
      <w:color w:val="FFFFFF" w:themeColor="background2"/>
      <w:sz w:val="36"/>
    </w:rPr>
  </w:style>
  <w:style w:type="numbering" w:customStyle="1" w:styleId="ObjectiveHeading">
    <w:name w:val="ObjectiveHeading"/>
    <w:uiPriority w:val="99"/>
    <w:rsid w:val="00CF1403"/>
    <w:pPr>
      <w:numPr>
        <w:numId w:val="29"/>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character" w:styleId="PageNumber">
    <w:name w:val="page number"/>
    <w:basedOn w:val="DefaultParagraphFont"/>
    <w:uiPriority w:val="99"/>
    <w:semiHidden/>
    <w:unhideWhenUsed/>
    <w:rsid w:val="003229AA"/>
  </w:style>
  <w:style w:type="table" w:customStyle="1" w:styleId="CSIaccessibletable">
    <w:name w:val="CSI accessible table"/>
    <w:basedOn w:val="GridTable4"/>
    <w:uiPriority w:val="99"/>
    <w:rsid w:val="00992F2F"/>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992F2F"/>
    <w:rPr>
      <w:rFonts w:cstheme="minorBidi"/>
      <w:color w:val="auto"/>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ource">
    <w:name w:val="Source"/>
    <w:basedOn w:val="Normal"/>
    <w:rsid w:val="00992F2F"/>
    <w:pPr>
      <w:spacing w:after="120" w:line="360" w:lineRule="auto"/>
      <w:ind w:right="57"/>
    </w:pPr>
    <w:rPr>
      <w:rFonts w:cs="Tahoma (Body)"/>
      <w:i/>
      <w:iCs/>
      <w:sz w:val="18"/>
      <w:szCs w:val="18"/>
    </w:rPr>
  </w:style>
  <w:style w:type="paragraph" w:customStyle="1" w:styleId="Numberedlist1">
    <w:name w:val="Numbered list (1)"/>
    <w:basedOn w:val="BodyText"/>
    <w:uiPriority w:val="1"/>
    <w:qFormat/>
    <w:rsid w:val="00992F2F"/>
    <w:pPr>
      <w:numPr>
        <w:numId w:val="33"/>
      </w:numPr>
      <w:spacing w:before="120" w:after="0" w:line="240" w:lineRule="auto"/>
    </w:pPr>
    <w:rPr>
      <w:rFonts w:cs="Poppins"/>
      <w:sz w:val="20"/>
      <w:szCs w:val="20"/>
    </w:rPr>
  </w:style>
  <w:style w:type="paragraph" w:styleId="Quote">
    <w:name w:val="Quote"/>
    <w:basedOn w:val="Normal"/>
    <w:next w:val="Normal"/>
    <w:link w:val="QuoteChar"/>
    <w:uiPriority w:val="29"/>
    <w:qFormat/>
    <w:rsid w:val="00992F2F"/>
    <w:pPr>
      <w:jc w:val="center"/>
    </w:pPr>
    <w:rPr>
      <w:rFonts w:cs="Poppins"/>
      <w:i/>
      <w:iCs/>
      <w:color w:val="404040" w:themeColor="text1" w:themeTint="BF"/>
      <w:szCs w:val="24"/>
    </w:rPr>
  </w:style>
  <w:style w:type="character" w:customStyle="1" w:styleId="QuoteChar">
    <w:name w:val="Quote Char"/>
    <w:basedOn w:val="DefaultParagraphFont"/>
    <w:link w:val="Quote"/>
    <w:uiPriority w:val="29"/>
    <w:rsid w:val="00992F2F"/>
    <w:rPr>
      <w:rFonts w:ascii="Montserrat" w:hAnsi="Montserrat" w:cs="Poppins"/>
      <w:i/>
      <w:iCs/>
      <w:color w:val="404040" w:themeColor="text1" w:themeTint="BF"/>
      <w:sz w:val="24"/>
      <w:szCs w:val="24"/>
    </w:rPr>
  </w:style>
  <w:style w:type="paragraph" w:styleId="ListParagraph">
    <w:name w:val="List Paragraph"/>
    <w:basedOn w:val="Normal"/>
    <w:uiPriority w:val="7"/>
    <w:rsid w:val="00992F2F"/>
    <w:pPr>
      <w:ind w:left="720"/>
      <w:contextualSpacing/>
    </w:pPr>
    <w:rPr>
      <w:rFonts w:asciiTheme="minorHAnsi" w:hAnsiTheme="minorHAnsi"/>
    </w:rPr>
  </w:style>
  <w:style w:type="character" w:customStyle="1" w:styleId="cf01">
    <w:name w:val="cf01"/>
    <w:basedOn w:val="DefaultParagraphFont"/>
    <w:rsid w:val="00992F2F"/>
    <w:rPr>
      <w:rFonts w:ascii="Segoe UI" w:hAnsi="Segoe UI" w:cs="Segoe UI" w:hint="default"/>
      <w:sz w:val="18"/>
      <w:szCs w:val="18"/>
    </w:rPr>
  </w:style>
  <w:style w:type="paragraph" w:customStyle="1" w:styleId="EndNoteBibliographyTitle">
    <w:name w:val="EndNote Bibliography Title"/>
    <w:basedOn w:val="Normal"/>
    <w:link w:val="EndNoteBibliographyTitleChar"/>
    <w:rsid w:val="00992F2F"/>
    <w:pPr>
      <w:spacing w:after="0"/>
      <w:jc w:val="center"/>
    </w:pPr>
    <w:rPr>
      <w:rFonts w:cs="Poppins"/>
      <w:szCs w:val="24"/>
      <w:lang w:val="en-US"/>
    </w:rPr>
  </w:style>
  <w:style w:type="character" w:customStyle="1" w:styleId="EndNoteBibliographyTitleChar">
    <w:name w:val="EndNote Bibliography Title Char"/>
    <w:basedOn w:val="DefaultParagraphFont"/>
    <w:link w:val="EndNoteBibliographyTitle"/>
    <w:rsid w:val="00992F2F"/>
    <w:rPr>
      <w:rFonts w:ascii="Montserrat" w:hAnsi="Montserrat" w:cs="Poppins"/>
      <w:sz w:val="24"/>
      <w:szCs w:val="24"/>
      <w:lang w:val="en-US"/>
    </w:rPr>
  </w:style>
  <w:style w:type="paragraph" w:customStyle="1" w:styleId="EndNoteBibliography">
    <w:name w:val="EndNote Bibliography"/>
    <w:basedOn w:val="Normal"/>
    <w:link w:val="EndNoteBibliographyChar"/>
    <w:rsid w:val="00992F2F"/>
    <w:pPr>
      <w:spacing w:line="240" w:lineRule="atLeast"/>
    </w:pPr>
    <w:rPr>
      <w:rFonts w:cs="Poppins"/>
      <w:szCs w:val="24"/>
      <w:lang w:val="en-US"/>
    </w:rPr>
  </w:style>
  <w:style w:type="character" w:customStyle="1" w:styleId="EndNoteBibliographyChar">
    <w:name w:val="EndNote Bibliography Char"/>
    <w:basedOn w:val="DefaultParagraphFont"/>
    <w:link w:val="EndNoteBibliography"/>
    <w:rsid w:val="00992F2F"/>
    <w:rPr>
      <w:rFonts w:ascii="Montserrat" w:hAnsi="Montserrat" w:cs="Poppins"/>
      <w:sz w:val="24"/>
      <w:szCs w:val="24"/>
      <w:lang w:val="en-US"/>
    </w:rPr>
  </w:style>
  <w:style w:type="paragraph" w:styleId="BlockText">
    <w:name w:val="Block Text"/>
    <w:basedOn w:val="Normal"/>
    <w:autoRedefine/>
    <w:uiPriority w:val="99"/>
    <w:unhideWhenUsed/>
    <w:qFormat/>
    <w:rsid w:val="007200C6"/>
    <w:pPr>
      <w:pBdr>
        <w:top w:val="single" w:sz="2" w:space="10" w:color="65328F"/>
        <w:left w:val="single" w:sz="2" w:space="10" w:color="65328F"/>
        <w:bottom w:val="single" w:sz="2" w:space="10" w:color="65328F"/>
        <w:right w:val="single" w:sz="2" w:space="10" w:color="65328F"/>
      </w:pBdr>
      <w:ind w:left="284" w:right="424"/>
    </w:pPr>
    <w:rPr>
      <w:rFonts w:eastAsia="MS Mincho"/>
      <w:color w:val="000000"/>
    </w:rPr>
  </w:style>
  <w:style w:type="numbering" w:customStyle="1" w:styleId="BulletsStyle1">
    <w:name w:val="Bullets Style1"/>
    <w:uiPriority w:val="99"/>
    <w:rsid w:val="00880AFD"/>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doi.org/10.60836/g07s-0q42"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68771-488F-9643-B4E5-1C65655EBDFD}">
  <ds:schemaRefs>
    <ds:schemaRef ds:uri="http://schemas.openxmlformats.org/officeDocument/2006/bibliography"/>
  </ds:schemaRefs>
</ds:datastoreItem>
</file>

<file path=customXml/itemProps2.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customXml/itemProps3.xml><?xml version="1.0" encoding="utf-8"?>
<ds:datastoreItem xmlns:ds="http://schemas.openxmlformats.org/officeDocument/2006/customXml" ds:itemID="{EC0B70AD-CE9A-4FBE-9EA0-7F6FF6FE7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7A929-B099-4667-B995-3C81F5059F76}">
  <ds:schemaRefs>
    <ds:schemaRef ds:uri="http://schemas.microsoft.com/sharepoint/v3/contenttype/forms"/>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1</TotalTime>
  <Pages>32</Pages>
  <Words>7861</Words>
  <Characters>50629</Characters>
  <Application>Microsoft Office Word</Application>
  <DocSecurity>0</DocSecurity>
  <Lines>955</Lines>
  <Paragraphs>374</Paragraphs>
  <ScaleCrop>false</ScaleCrop>
  <HeadingPairs>
    <vt:vector size="2" baseType="variant">
      <vt:variant>
        <vt:lpstr>Title</vt:lpstr>
      </vt:variant>
      <vt:variant>
        <vt:i4>1</vt:i4>
      </vt:variant>
    </vt:vector>
  </HeadingPairs>
  <TitlesOfParts>
    <vt:vector size="1" baseType="lpstr">
      <vt:lpstr/>
    </vt:vector>
  </TitlesOfParts>
  <Manager/>
  <Company>Centre for Inclusive Employment</Company>
  <LinksUpToDate>false</LinksUpToDate>
  <CharactersWithSpaces>58116</CharactersWithSpaces>
  <SharedDoc>false</SharedDoc>
  <HyperlinkBase/>
  <HLinks>
    <vt:vector size="210" baseType="variant">
      <vt:variant>
        <vt:i4>1703993</vt:i4>
      </vt:variant>
      <vt:variant>
        <vt:i4>208</vt:i4>
      </vt:variant>
      <vt:variant>
        <vt:i4>0</vt:i4>
      </vt:variant>
      <vt:variant>
        <vt:i4>5</vt:i4>
      </vt:variant>
      <vt:variant>
        <vt:lpwstr/>
      </vt:variant>
      <vt:variant>
        <vt:lpwstr>_Toc228967516</vt:lpwstr>
      </vt:variant>
      <vt:variant>
        <vt:i4>1703993</vt:i4>
      </vt:variant>
      <vt:variant>
        <vt:i4>202</vt:i4>
      </vt:variant>
      <vt:variant>
        <vt:i4>0</vt:i4>
      </vt:variant>
      <vt:variant>
        <vt:i4>5</vt:i4>
      </vt:variant>
      <vt:variant>
        <vt:lpwstr/>
      </vt:variant>
      <vt:variant>
        <vt:lpwstr>_Toc228967515</vt:lpwstr>
      </vt:variant>
      <vt:variant>
        <vt:i4>1703993</vt:i4>
      </vt:variant>
      <vt:variant>
        <vt:i4>196</vt:i4>
      </vt:variant>
      <vt:variant>
        <vt:i4>0</vt:i4>
      </vt:variant>
      <vt:variant>
        <vt:i4>5</vt:i4>
      </vt:variant>
      <vt:variant>
        <vt:lpwstr/>
      </vt:variant>
      <vt:variant>
        <vt:lpwstr>_Toc228967514</vt:lpwstr>
      </vt:variant>
      <vt:variant>
        <vt:i4>1703993</vt:i4>
      </vt:variant>
      <vt:variant>
        <vt:i4>190</vt:i4>
      </vt:variant>
      <vt:variant>
        <vt:i4>0</vt:i4>
      </vt:variant>
      <vt:variant>
        <vt:i4>5</vt:i4>
      </vt:variant>
      <vt:variant>
        <vt:lpwstr/>
      </vt:variant>
      <vt:variant>
        <vt:lpwstr>_Toc228967513</vt:lpwstr>
      </vt:variant>
      <vt:variant>
        <vt:i4>1703993</vt:i4>
      </vt:variant>
      <vt:variant>
        <vt:i4>184</vt:i4>
      </vt:variant>
      <vt:variant>
        <vt:i4>0</vt:i4>
      </vt:variant>
      <vt:variant>
        <vt:i4>5</vt:i4>
      </vt:variant>
      <vt:variant>
        <vt:lpwstr/>
      </vt:variant>
      <vt:variant>
        <vt:lpwstr>_Toc228967512</vt:lpwstr>
      </vt:variant>
      <vt:variant>
        <vt:i4>1703993</vt:i4>
      </vt:variant>
      <vt:variant>
        <vt:i4>178</vt:i4>
      </vt:variant>
      <vt:variant>
        <vt:i4>0</vt:i4>
      </vt:variant>
      <vt:variant>
        <vt:i4>5</vt:i4>
      </vt:variant>
      <vt:variant>
        <vt:lpwstr/>
      </vt:variant>
      <vt:variant>
        <vt:lpwstr>_Toc228967511</vt:lpwstr>
      </vt:variant>
      <vt:variant>
        <vt:i4>1703993</vt:i4>
      </vt:variant>
      <vt:variant>
        <vt:i4>172</vt:i4>
      </vt:variant>
      <vt:variant>
        <vt:i4>0</vt:i4>
      </vt:variant>
      <vt:variant>
        <vt:i4>5</vt:i4>
      </vt:variant>
      <vt:variant>
        <vt:lpwstr/>
      </vt:variant>
      <vt:variant>
        <vt:lpwstr>_Toc228967510</vt:lpwstr>
      </vt:variant>
      <vt:variant>
        <vt:i4>1769529</vt:i4>
      </vt:variant>
      <vt:variant>
        <vt:i4>166</vt:i4>
      </vt:variant>
      <vt:variant>
        <vt:i4>0</vt:i4>
      </vt:variant>
      <vt:variant>
        <vt:i4>5</vt:i4>
      </vt:variant>
      <vt:variant>
        <vt:lpwstr/>
      </vt:variant>
      <vt:variant>
        <vt:lpwstr>_Toc228967509</vt:lpwstr>
      </vt:variant>
      <vt:variant>
        <vt:i4>1769529</vt:i4>
      </vt:variant>
      <vt:variant>
        <vt:i4>160</vt:i4>
      </vt:variant>
      <vt:variant>
        <vt:i4>0</vt:i4>
      </vt:variant>
      <vt:variant>
        <vt:i4>5</vt:i4>
      </vt:variant>
      <vt:variant>
        <vt:lpwstr/>
      </vt:variant>
      <vt:variant>
        <vt:lpwstr>_Toc228967508</vt:lpwstr>
      </vt:variant>
      <vt:variant>
        <vt:i4>1769529</vt:i4>
      </vt:variant>
      <vt:variant>
        <vt:i4>154</vt:i4>
      </vt:variant>
      <vt:variant>
        <vt:i4>0</vt:i4>
      </vt:variant>
      <vt:variant>
        <vt:i4>5</vt:i4>
      </vt:variant>
      <vt:variant>
        <vt:lpwstr/>
      </vt:variant>
      <vt:variant>
        <vt:lpwstr>_Toc228967507</vt:lpwstr>
      </vt:variant>
      <vt:variant>
        <vt:i4>1769529</vt:i4>
      </vt:variant>
      <vt:variant>
        <vt:i4>148</vt:i4>
      </vt:variant>
      <vt:variant>
        <vt:i4>0</vt:i4>
      </vt:variant>
      <vt:variant>
        <vt:i4>5</vt:i4>
      </vt:variant>
      <vt:variant>
        <vt:lpwstr/>
      </vt:variant>
      <vt:variant>
        <vt:lpwstr>_Toc228967506</vt:lpwstr>
      </vt:variant>
      <vt:variant>
        <vt:i4>1769529</vt:i4>
      </vt:variant>
      <vt:variant>
        <vt:i4>142</vt:i4>
      </vt:variant>
      <vt:variant>
        <vt:i4>0</vt:i4>
      </vt:variant>
      <vt:variant>
        <vt:i4>5</vt:i4>
      </vt:variant>
      <vt:variant>
        <vt:lpwstr/>
      </vt:variant>
      <vt:variant>
        <vt:lpwstr>_Toc228967505</vt:lpwstr>
      </vt:variant>
      <vt:variant>
        <vt:i4>1769529</vt:i4>
      </vt:variant>
      <vt:variant>
        <vt:i4>136</vt:i4>
      </vt:variant>
      <vt:variant>
        <vt:i4>0</vt:i4>
      </vt:variant>
      <vt:variant>
        <vt:i4>5</vt:i4>
      </vt:variant>
      <vt:variant>
        <vt:lpwstr/>
      </vt:variant>
      <vt:variant>
        <vt:lpwstr>_Toc228967504</vt:lpwstr>
      </vt:variant>
      <vt:variant>
        <vt:i4>1769529</vt:i4>
      </vt:variant>
      <vt:variant>
        <vt:i4>130</vt:i4>
      </vt:variant>
      <vt:variant>
        <vt:i4>0</vt:i4>
      </vt:variant>
      <vt:variant>
        <vt:i4>5</vt:i4>
      </vt:variant>
      <vt:variant>
        <vt:lpwstr/>
      </vt:variant>
      <vt:variant>
        <vt:lpwstr>_Toc228967503</vt:lpwstr>
      </vt:variant>
      <vt:variant>
        <vt:i4>1769529</vt:i4>
      </vt:variant>
      <vt:variant>
        <vt:i4>124</vt:i4>
      </vt:variant>
      <vt:variant>
        <vt:i4>0</vt:i4>
      </vt:variant>
      <vt:variant>
        <vt:i4>5</vt:i4>
      </vt:variant>
      <vt:variant>
        <vt:lpwstr/>
      </vt:variant>
      <vt:variant>
        <vt:lpwstr>_Toc228967502</vt:lpwstr>
      </vt:variant>
      <vt:variant>
        <vt:i4>1769529</vt:i4>
      </vt:variant>
      <vt:variant>
        <vt:i4>118</vt:i4>
      </vt:variant>
      <vt:variant>
        <vt:i4>0</vt:i4>
      </vt:variant>
      <vt:variant>
        <vt:i4>5</vt:i4>
      </vt:variant>
      <vt:variant>
        <vt:lpwstr/>
      </vt:variant>
      <vt:variant>
        <vt:lpwstr>_Toc228967501</vt:lpwstr>
      </vt:variant>
      <vt:variant>
        <vt:i4>1769529</vt:i4>
      </vt:variant>
      <vt:variant>
        <vt:i4>112</vt:i4>
      </vt:variant>
      <vt:variant>
        <vt:i4>0</vt:i4>
      </vt:variant>
      <vt:variant>
        <vt:i4>5</vt:i4>
      </vt:variant>
      <vt:variant>
        <vt:lpwstr/>
      </vt:variant>
      <vt:variant>
        <vt:lpwstr>_Toc228967500</vt:lpwstr>
      </vt:variant>
      <vt:variant>
        <vt:i4>1179704</vt:i4>
      </vt:variant>
      <vt:variant>
        <vt:i4>106</vt:i4>
      </vt:variant>
      <vt:variant>
        <vt:i4>0</vt:i4>
      </vt:variant>
      <vt:variant>
        <vt:i4>5</vt:i4>
      </vt:variant>
      <vt:variant>
        <vt:lpwstr/>
      </vt:variant>
      <vt:variant>
        <vt:lpwstr>_Toc228967499</vt:lpwstr>
      </vt:variant>
      <vt:variant>
        <vt:i4>1179704</vt:i4>
      </vt:variant>
      <vt:variant>
        <vt:i4>100</vt:i4>
      </vt:variant>
      <vt:variant>
        <vt:i4>0</vt:i4>
      </vt:variant>
      <vt:variant>
        <vt:i4>5</vt:i4>
      </vt:variant>
      <vt:variant>
        <vt:lpwstr/>
      </vt:variant>
      <vt:variant>
        <vt:lpwstr>_Toc228967498</vt:lpwstr>
      </vt:variant>
      <vt:variant>
        <vt:i4>1179704</vt:i4>
      </vt:variant>
      <vt:variant>
        <vt:i4>94</vt:i4>
      </vt:variant>
      <vt:variant>
        <vt:i4>0</vt:i4>
      </vt:variant>
      <vt:variant>
        <vt:i4>5</vt:i4>
      </vt:variant>
      <vt:variant>
        <vt:lpwstr/>
      </vt:variant>
      <vt:variant>
        <vt:lpwstr>_Toc228967497</vt:lpwstr>
      </vt:variant>
      <vt:variant>
        <vt:i4>1179704</vt:i4>
      </vt:variant>
      <vt:variant>
        <vt:i4>88</vt:i4>
      </vt:variant>
      <vt:variant>
        <vt:i4>0</vt:i4>
      </vt:variant>
      <vt:variant>
        <vt:i4>5</vt:i4>
      </vt:variant>
      <vt:variant>
        <vt:lpwstr/>
      </vt:variant>
      <vt:variant>
        <vt:lpwstr>_Toc228967496</vt:lpwstr>
      </vt:variant>
      <vt:variant>
        <vt:i4>1179704</vt:i4>
      </vt:variant>
      <vt:variant>
        <vt:i4>82</vt:i4>
      </vt:variant>
      <vt:variant>
        <vt:i4>0</vt:i4>
      </vt:variant>
      <vt:variant>
        <vt:i4>5</vt:i4>
      </vt:variant>
      <vt:variant>
        <vt:lpwstr/>
      </vt:variant>
      <vt:variant>
        <vt:lpwstr>_Toc228967495</vt:lpwstr>
      </vt:variant>
      <vt:variant>
        <vt:i4>1179704</vt:i4>
      </vt:variant>
      <vt:variant>
        <vt:i4>76</vt:i4>
      </vt:variant>
      <vt:variant>
        <vt:i4>0</vt:i4>
      </vt:variant>
      <vt:variant>
        <vt:i4>5</vt:i4>
      </vt:variant>
      <vt:variant>
        <vt:lpwstr/>
      </vt:variant>
      <vt:variant>
        <vt:lpwstr>_Toc228967494</vt:lpwstr>
      </vt:variant>
      <vt:variant>
        <vt:i4>1179704</vt:i4>
      </vt:variant>
      <vt:variant>
        <vt:i4>70</vt:i4>
      </vt:variant>
      <vt:variant>
        <vt:i4>0</vt:i4>
      </vt:variant>
      <vt:variant>
        <vt:i4>5</vt:i4>
      </vt:variant>
      <vt:variant>
        <vt:lpwstr/>
      </vt:variant>
      <vt:variant>
        <vt:lpwstr>_Toc228967493</vt:lpwstr>
      </vt:variant>
      <vt:variant>
        <vt:i4>1179704</vt:i4>
      </vt:variant>
      <vt:variant>
        <vt:i4>64</vt:i4>
      </vt:variant>
      <vt:variant>
        <vt:i4>0</vt:i4>
      </vt:variant>
      <vt:variant>
        <vt:i4>5</vt:i4>
      </vt:variant>
      <vt:variant>
        <vt:lpwstr/>
      </vt:variant>
      <vt:variant>
        <vt:lpwstr>_Toc228967492</vt:lpwstr>
      </vt:variant>
      <vt:variant>
        <vt:i4>1179704</vt:i4>
      </vt:variant>
      <vt:variant>
        <vt:i4>58</vt:i4>
      </vt:variant>
      <vt:variant>
        <vt:i4>0</vt:i4>
      </vt:variant>
      <vt:variant>
        <vt:i4>5</vt:i4>
      </vt:variant>
      <vt:variant>
        <vt:lpwstr/>
      </vt:variant>
      <vt:variant>
        <vt:lpwstr>_Toc228967491</vt:lpwstr>
      </vt:variant>
      <vt:variant>
        <vt:i4>1179704</vt:i4>
      </vt:variant>
      <vt:variant>
        <vt:i4>52</vt:i4>
      </vt:variant>
      <vt:variant>
        <vt:i4>0</vt:i4>
      </vt:variant>
      <vt:variant>
        <vt:i4>5</vt:i4>
      </vt:variant>
      <vt:variant>
        <vt:lpwstr/>
      </vt:variant>
      <vt:variant>
        <vt:lpwstr>_Toc228967490</vt:lpwstr>
      </vt:variant>
      <vt:variant>
        <vt:i4>1245240</vt:i4>
      </vt:variant>
      <vt:variant>
        <vt:i4>46</vt:i4>
      </vt:variant>
      <vt:variant>
        <vt:i4>0</vt:i4>
      </vt:variant>
      <vt:variant>
        <vt:i4>5</vt:i4>
      </vt:variant>
      <vt:variant>
        <vt:lpwstr/>
      </vt:variant>
      <vt:variant>
        <vt:lpwstr>_Toc228967489</vt:lpwstr>
      </vt:variant>
      <vt:variant>
        <vt:i4>1245240</vt:i4>
      </vt:variant>
      <vt:variant>
        <vt:i4>40</vt:i4>
      </vt:variant>
      <vt:variant>
        <vt:i4>0</vt:i4>
      </vt:variant>
      <vt:variant>
        <vt:i4>5</vt:i4>
      </vt:variant>
      <vt:variant>
        <vt:lpwstr/>
      </vt:variant>
      <vt:variant>
        <vt:lpwstr>_Toc228967488</vt:lpwstr>
      </vt:variant>
      <vt:variant>
        <vt:i4>1245240</vt:i4>
      </vt:variant>
      <vt:variant>
        <vt:i4>34</vt:i4>
      </vt:variant>
      <vt:variant>
        <vt:i4>0</vt:i4>
      </vt:variant>
      <vt:variant>
        <vt:i4>5</vt:i4>
      </vt:variant>
      <vt:variant>
        <vt:lpwstr/>
      </vt:variant>
      <vt:variant>
        <vt:lpwstr>_Toc228967487</vt:lpwstr>
      </vt:variant>
      <vt:variant>
        <vt:i4>1245240</vt:i4>
      </vt:variant>
      <vt:variant>
        <vt:i4>28</vt:i4>
      </vt:variant>
      <vt:variant>
        <vt:i4>0</vt:i4>
      </vt:variant>
      <vt:variant>
        <vt:i4>5</vt:i4>
      </vt:variant>
      <vt:variant>
        <vt:lpwstr/>
      </vt:variant>
      <vt:variant>
        <vt:lpwstr>_Toc228967486</vt:lpwstr>
      </vt:variant>
      <vt:variant>
        <vt:i4>1245240</vt:i4>
      </vt:variant>
      <vt:variant>
        <vt:i4>22</vt:i4>
      </vt:variant>
      <vt:variant>
        <vt:i4>0</vt:i4>
      </vt:variant>
      <vt:variant>
        <vt:i4>5</vt:i4>
      </vt:variant>
      <vt:variant>
        <vt:lpwstr/>
      </vt:variant>
      <vt:variant>
        <vt:lpwstr>_Toc228967485</vt:lpwstr>
      </vt:variant>
      <vt:variant>
        <vt:i4>1245240</vt:i4>
      </vt:variant>
      <vt:variant>
        <vt:i4>16</vt:i4>
      </vt:variant>
      <vt:variant>
        <vt:i4>0</vt:i4>
      </vt:variant>
      <vt:variant>
        <vt:i4>5</vt:i4>
      </vt:variant>
      <vt:variant>
        <vt:lpwstr/>
      </vt:variant>
      <vt:variant>
        <vt:lpwstr>_Toc228967484</vt:lpwstr>
      </vt:variant>
      <vt:variant>
        <vt:i4>1245240</vt:i4>
      </vt:variant>
      <vt:variant>
        <vt:i4>10</vt:i4>
      </vt:variant>
      <vt:variant>
        <vt:i4>0</vt:i4>
      </vt:variant>
      <vt:variant>
        <vt:i4>5</vt:i4>
      </vt:variant>
      <vt:variant>
        <vt:lpwstr/>
      </vt:variant>
      <vt:variant>
        <vt:lpwstr>_Toc228967483</vt:lpwstr>
      </vt:variant>
      <vt:variant>
        <vt:i4>1245240</vt:i4>
      </vt:variant>
      <vt:variant>
        <vt:i4>4</vt:i4>
      </vt:variant>
      <vt:variant>
        <vt:i4>0</vt:i4>
      </vt:variant>
      <vt:variant>
        <vt:i4>5</vt:i4>
      </vt:variant>
      <vt:variant>
        <vt:lpwstr/>
      </vt:variant>
      <vt:variant>
        <vt:lpwstr>_Toc228967482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Anderson</dc:creator>
  <cp:keywords>[SEC=OFFICIAL]</cp:keywords>
  <dc:description/>
  <cp:lastModifiedBy>Julie Anderson</cp:lastModifiedBy>
  <cp:revision>4</cp:revision>
  <dcterms:created xsi:type="dcterms:W3CDTF">2026-06-11T05:23:00Z</dcterms:created>
  <dcterms:modified xsi:type="dcterms:W3CDTF">2026-06-11T05:25:00Z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ClassificationContentMarkingHeaderShapeIds">
    <vt:lpwstr>28279b61,47c7ab86,32d2966d,365d1cf8,232c4379,36e4f507,6cf22e11,5aefafe3,5d6ece0,3096abde,194d1e59</vt:lpwstr>
  </property>
  <property fmtid="{D5CDD505-2E9C-101B-9397-08002B2CF9AE}" pid="41" name="ClassificationContentMarkingHeaderFontProps">
    <vt:lpwstr>#000000,12,Aptos</vt:lpwstr>
  </property>
  <property fmtid="{D5CDD505-2E9C-101B-9397-08002B2CF9AE}" pid="42" name="ClassificationContentMarkingHeaderText">
    <vt:lpwstr>Internal</vt:lpwstr>
  </property>
  <property fmtid="{D5CDD505-2E9C-101B-9397-08002B2CF9AE}" pid="43" name="docLang">
    <vt:lpwstr>en</vt:lpwstr>
  </property>
</Properties>
</file>