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9AC8" w14:textId="77777777" w:rsidR="00D0002F" w:rsidRDefault="00D0002F" w:rsidP="00D0002F">
      <w:pPr>
        <w:pStyle w:val="Title"/>
      </w:pPr>
      <w:bookmarkStart w:id="1" w:name="_Toc167875311"/>
      <w:bookmarkStart w:id="2" w:name="_Toc192155912"/>
    </w:p>
    <w:bookmarkEnd w:id="1"/>
    <w:bookmarkEnd w:id="2"/>
    <w:p w14:paraId="1BF67BB5" w14:textId="77777777" w:rsidR="00D0002F" w:rsidRPr="00ED411B" w:rsidRDefault="00D0002F" w:rsidP="00D0002F">
      <w:pPr>
        <w:pStyle w:val="Title"/>
      </w:pPr>
      <w:r w:rsidRPr="00ED411B">
        <w:t>Evidence synthesis</w:t>
      </w:r>
      <w:r w:rsidRPr="00ED411B">
        <w:br/>
        <w:t>Employment support for people with intellectual disability</w:t>
      </w:r>
      <w:r>
        <w:t>:</w:t>
      </w:r>
      <w:r w:rsidRPr="00ED411B">
        <w:br/>
        <w:t>Australia-focused synthesis</w:t>
      </w:r>
    </w:p>
    <w:p w14:paraId="59F48048" w14:textId="77777777" w:rsidR="00D0002F" w:rsidRPr="005F2C88" w:rsidRDefault="00D0002F" w:rsidP="00D0002F">
      <w:pPr>
        <w:pStyle w:val="Subtitle"/>
      </w:pPr>
      <w:r>
        <w:t>Technical report</w:t>
      </w:r>
    </w:p>
    <w:p w14:paraId="13EA2679" w14:textId="77777777" w:rsidR="00D0002F" w:rsidRDefault="00D0002F" w:rsidP="00D0002F"/>
    <w:p w14:paraId="18D29B0B" w14:textId="77777777" w:rsidR="00D0002F" w:rsidRPr="00ED411B" w:rsidRDefault="00D0002F" w:rsidP="00D0002F"/>
    <w:p w14:paraId="6292B97B" w14:textId="77777777" w:rsidR="00D0002F" w:rsidRDefault="00D0002F" w:rsidP="00D0002F"/>
    <w:p w14:paraId="31E27E46" w14:textId="77777777" w:rsidR="00D0002F" w:rsidRDefault="00D0002F" w:rsidP="00D0002F"/>
    <w:p w14:paraId="59130E0F" w14:textId="77777777" w:rsidR="00D0002F" w:rsidRDefault="00D0002F" w:rsidP="00D0002F"/>
    <w:p w14:paraId="4B0F2BFE" w14:textId="77777777" w:rsidR="00D0002F" w:rsidRDefault="00D0002F" w:rsidP="00D0002F"/>
    <w:p w14:paraId="2017813F" w14:textId="77777777" w:rsidR="00D0002F" w:rsidRDefault="00D0002F" w:rsidP="00D0002F"/>
    <w:p w14:paraId="40C61CC9" w14:textId="77777777" w:rsidR="00D0002F" w:rsidRPr="003113FE" w:rsidRDefault="00D0002F" w:rsidP="00D0002F">
      <w:r w:rsidRPr="003113FE">
        <w:t>Dr June Alexander and Dr Angela Rong Yang Zhang</w:t>
      </w:r>
    </w:p>
    <w:p w14:paraId="0B4B2F21" w14:textId="77777777" w:rsidR="00D0002F" w:rsidRPr="003113FE" w:rsidRDefault="00D0002F" w:rsidP="00D0002F">
      <w:r>
        <w:t>April</w:t>
      </w:r>
      <w:r w:rsidRPr="003113FE">
        <w:t xml:space="preserve"> 2026</w:t>
      </w:r>
      <w:r w:rsidRPr="003113FE">
        <w:fldChar w:fldCharType="begin"/>
      </w:r>
      <w:r w:rsidRPr="003113FE">
        <w:instrText xml:space="preserve"> AUTHOR  \* MERGEFORMAT </w:instrText>
      </w:r>
      <w:r w:rsidRPr="003113FE">
        <w:fldChar w:fldCharType="end"/>
      </w:r>
    </w:p>
    <w:p w14:paraId="5E5BABE0" w14:textId="77777777" w:rsidR="00D0002F" w:rsidRPr="00ED411B" w:rsidRDefault="00D0002F" w:rsidP="00D0002F">
      <w:r w:rsidRPr="00ED411B">
        <w:br w:type="page"/>
      </w:r>
    </w:p>
    <w:p w14:paraId="7DDD94A0" w14:textId="77777777" w:rsidR="00D0002F" w:rsidRPr="00D0002F" w:rsidRDefault="00D0002F" w:rsidP="00D0002F">
      <w:pPr>
        <w:rPr>
          <w:b/>
          <w:bCs/>
        </w:rPr>
      </w:pPr>
      <w:r w:rsidRPr="00D0002F">
        <w:rPr>
          <w:b/>
          <w:bCs/>
        </w:rPr>
        <w:lastRenderedPageBreak/>
        <w:t>Acknowledgement of Country</w:t>
      </w:r>
    </w:p>
    <w:p w14:paraId="389BBFAD" w14:textId="77777777" w:rsidR="00D0002F" w:rsidRDefault="00D0002F" w:rsidP="00D0002F">
      <w:r w:rsidRPr="005435A6">
        <w:t xml:space="preserve">We respectfully acknowledge the Wurundjeri People of the Kulin Nation, who are the Traditional Owners of the land on which Centre for </w:t>
      </w:r>
      <w:r>
        <w:t xml:space="preserve">Inclusive Employment </w:t>
      </w:r>
      <w:r w:rsidRPr="005435A6">
        <w:t>is located, in Melbourne’s east and outer-east, and pay our respect to their Elders past and present. We are honoured to recognise our connection to Wurundjeri Country, history, culture, and spirituality through these locations, and strive to ensure that we operate in a manner that respects and honours the Elders and Ancestors of these lands. We also respectfully acknowledge Swinburne’s Aboriginal and Torres Strait Islander staff, students, alumni, partners and visitors.</w:t>
      </w:r>
    </w:p>
    <w:p w14:paraId="4A152BEF" w14:textId="77777777" w:rsidR="00D0002F" w:rsidRPr="006823E9" w:rsidRDefault="00D0002F" w:rsidP="00D0002F">
      <w:r w:rsidRPr="006823E9">
        <w:t>We also acknowledge the Traditional Owners of the land on which Flinders University’s main campus is located, the Kaurna people of the Adelaide Plains. We recognise and respect their enduring connection to Country, and we pay our respects to Elders past, present and emerging. We also acknowledge the contributions of Aboriginal and Torres Strait Islander peoples to knowledge, education, and community, and reaffirm our commitment to walking together towards reconciliation.</w:t>
      </w:r>
    </w:p>
    <w:p w14:paraId="294352BB" w14:textId="77777777" w:rsidR="00D0002F" w:rsidRDefault="00D0002F" w:rsidP="00D0002F">
      <w:r w:rsidRPr="005435A6">
        <w:t>We acknowledge and respect the Traditional Owners of lands across Australia, their Elders, Ancestors, cultures, and heritage, and recognise the continuing sovereignties of all Aboriginal and Torres Strait Islander Nations. </w:t>
      </w:r>
    </w:p>
    <w:p w14:paraId="16C9A0C9" w14:textId="77777777" w:rsidR="00D0002F" w:rsidRPr="004D339E" w:rsidRDefault="00D0002F" w:rsidP="00D0002F">
      <w:r w:rsidRPr="005435A6">
        <w:t>This evidence synthesis was commissioned by the Centre for Inclusive Employment</w:t>
      </w:r>
      <w:r>
        <w:t xml:space="preserve"> on behalf of the Department of Social </w:t>
      </w:r>
      <w:r w:rsidRPr="004D339E">
        <w:t>Services. This report is accompanied by a plain-language implementation report for practitioners and policymakers.</w:t>
      </w:r>
    </w:p>
    <w:p w14:paraId="5029F21F" w14:textId="77777777" w:rsidR="00D0002F" w:rsidRPr="00D0002F" w:rsidRDefault="00D0002F" w:rsidP="00D0002F">
      <w:pPr>
        <w:rPr>
          <w:b/>
          <w:bCs/>
        </w:rPr>
      </w:pPr>
      <w:r w:rsidRPr="00D0002F">
        <w:rPr>
          <w:b/>
          <w:bCs/>
        </w:rPr>
        <w:t>This report was prepared by:</w:t>
      </w:r>
    </w:p>
    <w:p w14:paraId="743A6474" w14:textId="77777777" w:rsidR="00D0002F" w:rsidRPr="005435A6" w:rsidRDefault="00D0002F" w:rsidP="00D0002F">
      <w:r w:rsidRPr="000E000B">
        <w:t>Dr June Alexander and Dr Angela Rong Yang Zhang</w:t>
      </w:r>
      <w:r>
        <w:t>, January 2026</w:t>
      </w:r>
    </w:p>
    <w:p w14:paraId="6EA19F10" w14:textId="786E6CAB" w:rsidR="00D0002F" w:rsidRPr="00485FDC" w:rsidRDefault="00D0002F" w:rsidP="00D0002F">
      <w:pPr>
        <w:rPr>
          <w:b/>
          <w:bCs/>
        </w:rPr>
      </w:pPr>
      <w:r w:rsidRPr="00D0002F">
        <w:rPr>
          <w:b/>
          <w:bCs/>
        </w:rPr>
        <w:t>Address for correspondence</w:t>
      </w:r>
      <w:r w:rsidR="00485FDC">
        <w:rPr>
          <w:b/>
          <w:bCs/>
        </w:rPr>
        <w:t xml:space="preserve">: </w:t>
      </w:r>
      <w:r w:rsidRPr="000E000B">
        <w:t>College of Nursing and Health Sciences</w:t>
      </w:r>
      <w:r>
        <w:t xml:space="preserve">, </w:t>
      </w:r>
      <w:r w:rsidRPr="000E000B">
        <w:t>Flinders University</w:t>
      </w:r>
    </w:p>
    <w:p w14:paraId="49602C9C" w14:textId="1F87F30E" w:rsidR="00D0002F" w:rsidRPr="00895CA5" w:rsidRDefault="00D0002F" w:rsidP="00D0002F">
      <w:r w:rsidRPr="00D20F7F">
        <w:rPr>
          <w:b/>
          <w:bCs/>
        </w:rPr>
        <w:t>Suggested citation:</w:t>
      </w:r>
      <w:r>
        <w:t xml:space="preserve"> </w:t>
      </w:r>
      <w:r w:rsidRPr="006823E9">
        <w:t xml:space="preserve">Alexander, J., &amp; Zhang, R. Y. A. (Flinders University). (2026). </w:t>
      </w:r>
      <w:r w:rsidR="0006101E" w:rsidRPr="00313E73">
        <w:t>Employment support for people with intellectual disability: what works and how to implement it in Australia.</w:t>
      </w:r>
      <w:r w:rsidR="00E75EB0" w:rsidRPr="00313E73">
        <w:t xml:space="preserve"> </w:t>
      </w:r>
      <w:r w:rsidR="009808F0" w:rsidRPr="00313E73">
        <w:t>Technical report.</w:t>
      </w:r>
      <w:r w:rsidR="009808F0">
        <w:t xml:space="preserve"> </w:t>
      </w:r>
      <w:r w:rsidRPr="009808F0">
        <w:t>Centre</w:t>
      </w:r>
      <w:r w:rsidRPr="006823E9">
        <w:t xml:space="preserve"> for Inclusive Employment.</w:t>
      </w:r>
    </w:p>
    <w:p w14:paraId="099C49FF" w14:textId="77777777" w:rsidR="00D0002F" w:rsidRDefault="00D0002F" w:rsidP="00D0002F">
      <w:r w:rsidRPr="00D20F7F">
        <w:rPr>
          <w:b/>
          <w:bCs/>
        </w:rPr>
        <w:t>Disclaimer:</w:t>
      </w:r>
      <w:r>
        <w:t xml:space="preserve"> </w:t>
      </w:r>
      <w:r w:rsidRPr="005676CA">
        <w:t>This evidence synthesis was produced using a methodology commissioned by the Centre for Inclusive Employment. The evidence was current at the time of production.</w:t>
      </w:r>
    </w:p>
    <w:p w14:paraId="4BCF6FA3" w14:textId="77777777" w:rsidR="00D0002F" w:rsidRPr="00D0002F" w:rsidRDefault="00D0002F" w:rsidP="00D0002F">
      <w:pPr>
        <w:rPr>
          <w:sz w:val="22"/>
          <w:szCs w:val="22"/>
        </w:rPr>
      </w:pPr>
      <w:r w:rsidRPr="00D0002F">
        <w:rPr>
          <w:sz w:val="22"/>
          <w:szCs w:val="22"/>
        </w:rPr>
        <w:t>© Commonwealth of Australia 2026</w:t>
      </w:r>
    </w:p>
    <w:p w14:paraId="581139A1" w14:textId="6BFF89EB" w:rsidR="00D0002F" w:rsidRPr="00807628" w:rsidRDefault="00807628" w:rsidP="00D0002F">
      <w:pPr>
        <w:rPr>
          <w:b/>
          <w:bCs/>
          <w:color w:val="65328F"/>
          <w:sz w:val="44"/>
          <w:szCs w:val="44"/>
        </w:rPr>
      </w:pPr>
      <w:r w:rsidRPr="00807628">
        <w:rPr>
          <w:b/>
          <w:bCs/>
          <w:color w:val="65328F"/>
          <w:sz w:val="44"/>
          <w:szCs w:val="44"/>
        </w:rPr>
        <w:lastRenderedPageBreak/>
        <w:t>Contents</w:t>
      </w:r>
    </w:p>
    <w:p w14:paraId="01042724" w14:textId="53FDCF6C" w:rsidR="00807628" w:rsidRDefault="002C79AC">
      <w:pPr>
        <w:pStyle w:val="TOC1"/>
        <w:rPr>
          <w:rFonts w:asciiTheme="minorHAnsi" w:eastAsiaTheme="minorEastAsia" w:hAnsiTheme="minorHAnsi" w:cstheme="minorBidi"/>
          <w:b w:val="0"/>
          <w:noProof/>
          <w:color w:val="auto"/>
          <w:kern w:val="2"/>
          <w:lang w:eastAsia="en-GB"/>
          <w14:ligatures w14:val="standardContextual"/>
        </w:rPr>
      </w:pPr>
      <w:r>
        <w:rPr>
          <w:b w:val="0"/>
        </w:rPr>
        <w:fldChar w:fldCharType="begin"/>
      </w:r>
      <w:r>
        <w:rPr>
          <w:b w:val="0"/>
        </w:rPr>
        <w:instrText xml:space="preserve"> TOC \o "1-3" \h \z \u </w:instrText>
      </w:r>
      <w:r>
        <w:rPr>
          <w:b w:val="0"/>
        </w:rPr>
        <w:fldChar w:fldCharType="separate"/>
      </w:r>
      <w:hyperlink w:anchor="_Toc231220019" w:history="1">
        <w:r w:rsidR="00807628" w:rsidRPr="00D860A3">
          <w:rPr>
            <w:rStyle w:val="Hyperlink"/>
            <w:noProof/>
          </w:rPr>
          <w:t>Glossary</w:t>
        </w:r>
        <w:r w:rsidR="00807628">
          <w:rPr>
            <w:noProof/>
            <w:webHidden/>
          </w:rPr>
          <w:tab/>
        </w:r>
        <w:r w:rsidR="00807628">
          <w:rPr>
            <w:noProof/>
            <w:webHidden/>
          </w:rPr>
          <w:fldChar w:fldCharType="begin"/>
        </w:r>
        <w:r w:rsidR="00807628">
          <w:rPr>
            <w:noProof/>
            <w:webHidden/>
          </w:rPr>
          <w:instrText xml:space="preserve"> PAGEREF _Toc231220019 \h </w:instrText>
        </w:r>
        <w:r w:rsidR="00807628">
          <w:rPr>
            <w:noProof/>
            <w:webHidden/>
          </w:rPr>
        </w:r>
        <w:r w:rsidR="00807628">
          <w:rPr>
            <w:noProof/>
            <w:webHidden/>
          </w:rPr>
          <w:fldChar w:fldCharType="separate"/>
        </w:r>
        <w:r w:rsidR="00807628">
          <w:rPr>
            <w:noProof/>
            <w:webHidden/>
          </w:rPr>
          <w:t>7</w:t>
        </w:r>
        <w:r w:rsidR="00807628">
          <w:rPr>
            <w:noProof/>
            <w:webHidden/>
          </w:rPr>
          <w:fldChar w:fldCharType="end"/>
        </w:r>
      </w:hyperlink>
    </w:p>
    <w:p w14:paraId="175E3565" w14:textId="0B9BD917"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20" w:history="1">
        <w:r w:rsidRPr="00D860A3">
          <w:rPr>
            <w:rStyle w:val="Hyperlink"/>
            <w:noProof/>
          </w:rPr>
          <w:t>Executive Summary</w:t>
        </w:r>
        <w:r>
          <w:rPr>
            <w:noProof/>
            <w:webHidden/>
          </w:rPr>
          <w:tab/>
        </w:r>
        <w:r>
          <w:rPr>
            <w:noProof/>
            <w:webHidden/>
          </w:rPr>
          <w:fldChar w:fldCharType="begin"/>
        </w:r>
        <w:r>
          <w:rPr>
            <w:noProof/>
            <w:webHidden/>
          </w:rPr>
          <w:instrText xml:space="preserve"> PAGEREF _Toc231220020 \h </w:instrText>
        </w:r>
        <w:r>
          <w:rPr>
            <w:noProof/>
            <w:webHidden/>
          </w:rPr>
        </w:r>
        <w:r>
          <w:rPr>
            <w:noProof/>
            <w:webHidden/>
          </w:rPr>
          <w:fldChar w:fldCharType="separate"/>
        </w:r>
        <w:r>
          <w:rPr>
            <w:noProof/>
            <w:webHidden/>
          </w:rPr>
          <w:t>11</w:t>
        </w:r>
        <w:r>
          <w:rPr>
            <w:noProof/>
            <w:webHidden/>
          </w:rPr>
          <w:fldChar w:fldCharType="end"/>
        </w:r>
      </w:hyperlink>
    </w:p>
    <w:p w14:paraId="143328B4" w14:textId="6BF4AE33"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21" w:history="1">
        <w:r w:rsidRPr="00D860A3">
          <w:rPr>
            <w:rStyle w:val="Hyperlink"/>
            <w:noProof/>
          </w:rPr>
          <w:t>Scope and boundaries</w:t>
        </w:r>
        <w:r>
          <w:rPr>
            <w:noProof/>
            <w:webHidden/>
          </w:rPr>
          <w:tab/>
        </w:r>
        <w:r>
          <w:rPr>
            <w:noProof/>
            <w:webHidden/>
          </w:rPr>
          <w:fldChar w:fldCharType="begin"/>
        </w:r>
        <w:r>
          <w:rPr>
            <w:noProof/>
            <w:webHidden/>
          </w:rPr>
          <w:instrText xml:space="preserve"> PAGEREF _Toc231220021 \h </w:instrText>
        </w:r>
        <w:r>
          <w:rPr>
            <w:noProof/>
            <w:webHidden/>
          </w:rPr>
        </w:r>
        <w:r>
          <w:rPr>
            <w:noProof/>
            <w:webHidden/>
          </w:rPr>
          <w:fldChar w:fldCharType="separate"/>
        </w:r>
        <w:r>
          <w:rPr>
            <w:noProof/>
            <w:webHidden/>
          </w:rPr>
          <w:t>11</w:t>
        </w:r>
        <w:r>
          <w:rPr>
            <w:noProof/>
            <w:webHidden/>
          </w:rPr>
          <w:fldChar w:fldCharType="end"/>
        </w:r>
      </w:hyperlink>
    </w:p>
    <w:p w14:paraId="09AD4B89" w14:textId="39DE1D57"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22" w:history="1">
        <w:r w:rsidRPr="00D860A3">
          <w:rPr>
            <w:rStyle w:val="Hyperlink"/>
            <w:noProof/>
          </w:rPr>
          <w:t>Key findings</w:t>
        </w:r>
        <w:r>
          <w:rPr>
            <w:noProof/>
            <w:webHidden/>
          </w:rPr>
          <w:tab/>
        </w:r>
        <w:r>
          <w:rPr>
            <w:noProof/>
            <w:webHidden/>
          </w:rPr>
          <w:fldChar w:fldCharType="begin"/>
        </w:r>
        <w:r>
          <w:rPr>
            <w:noProof/>
            <w:webHidden/>
          </w:rPr>
          <w:instrText xml:space="preserve"> PAGEREF _Toc231220022 \h </w:instrText>
        </w:r>
        <w:r>
          <w:rPr>
            <w:noProof/>
            <w:webHidden/>
          </w:rPr>
        </w:r>
        <w:r>
          <w:rPr>
            <w:noProof/>
            <w:webHidden/>
          </w:rPr>
          <w:fldChar w:fldCharType="separate"/>
        </w:r>
        <w:r>
          <w:rPr>
            <w:noProof/>
            <w:webHidden/>
          </w:rPr>
          <w:t>13</w:t>
        </w:r>
        <w:r>
          <w:rPr>
            <w:noProof/>
            <w:webHidden/>
          </w:rPr>
          <w:fldChar w:fldCharType="end"/>
        </w:r>
      </w:hyperlink>
    </w:p>
    <w:p w14:paraId="58378333" w14:textId="56226452"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23" w:history="1">
        <w:r w:rsidRPr="00D860A3">
          <w:rPr>
            <w:rStyle w:val="Hyperlink"/>
            <w:noProof/>
          </w:rPr>
          <w:t>Implications for service design</w:t>
        </w:r>
        <w:r>
          <w:rPr>
            <w:noProof/>
            <w:webHidden/>
          </w:rPr>
          <w:tab/>
        </w:r>
        <w:r>
          <w:rPr>
            <w:noProof/>
            <w:webHidden/>
          </w:rPr>
          <w:fldChar w:fldCharType="begin"/>
        </w:r>
        <w:r>
          <w:rPr>
            <w:noProof/>
            <w:webHidden/>
          </w:rPr>
          <w:instrText xml:space="preserve"> PAGEREF _Toc231220023 \h </w:instrText>
        </w:r>
        <w:r>
          <w:rPr>
            <w:noProof/>
            <w:webHidden/>
          </w:rPr>
        </w:r>
        <w:r>
          <w:rPr>
            <w:noProof/>
            <w:webHidden/>
          </w:rPr>
          <w:fldChar w:fldCharType="separate"/>
        </w:r>
        <w:r>
          <w:rPr>
            <w:noProof/>
            <w:webHidden/>
          </w:rPr>
          <w:t>13</w:t>
        </w:r>
        <w:r>
          <w:rPr>
            <w:noProof/>
            <w:webHidden/>
          </w:rPr>
          <w:fldChar w:fldCharType="end"/>
        </w:r>
      </w:hyperlink>
    </w:p>
    <w:p w14:paraId="64B1151A" w14:textId="52B9E5B7"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24" w:history="1">
        <w:r w:rsidRPr="00D860A3">
          <w:rPr>
            <w:rStyle w:val="Hyperlink"/>
            <w:noProof/>
          </w:rPr>
          <w:t>Implications for training</w:t>
        </w:r>
        <w:r>
          <w:rPr>
            <w:noProof/>
            <w:webHidden/>
          </w:rPr>
          <w:tab/>
        </w:r>
        <w:r>
          <w:rPr>
            <w:noProof/>
            <w:webHidden/>
          </w:rPr>
          <w:fldChar w:fldCharType="begin"/>
        </w:r>
        <w:r>
          <w:rPr>
            <w:noProof/>
            <w:webHidden/>
          </w:rPr>
          <w:instrText xml:space="preserve"> PAGEREF _Toc231220024 \h </w:instrText>
        </w:r>
        <w:r>
          <w:rPr>
            <w:noProof/>
            <w:webHidden/>
          </w:rPr>
        </w:r>
        <w:r>
          <w:rPr>
            <w:noProof/>
            <w:webHidden/>
          </w:rPr>
          <w:fldChar w:fldCharType="separate"/>
        </w:r>
        <w:r>
          <w:rPr>
            <w:noProof/>
            <w:webHidden/>
          </w:rPr>
          <w:t>14</w:t>
        </w:r>
        <w:r>
          <w:rPr>
            <w:noProof/>
            <w:webHidden/>
          </w:rPr>
          <w:fldChar w:fldCharType="end"/>
        </w:r>
      </w:hyperlink>
    </w:p>
    <w:p w14:paraId="7883794F" w14:textId="016EF30E"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25" w:history="1">
        <w:r w:rsidRPr="00D860A3">
          <w:rPr>
            <w:rStyle w:val="Hyperlink"/>
            <w:noProof/>
          </w:rPr>
          <w:t>1.</w:t>
        </w:r>
        <w:r>
          <w:rPr>
            <w:rFonts w:asciiTheme="minorHAnsi" w:eastAsiaTheme="minorEastAsia" w:hAnsiTheme="minorHAnsi" w:cstheme="minorBidi"/>
            <w:b w:val="0"/>
            <w:noProof/>
            <w:color w:val="auto"/>
            <w:kern w:val="2"/>
            <w:lang w:eastAsia="en-GB"/>
            <w14:ligatures w14:val="standardContextual"/>
          </w:rPr>
          <w:tab/>
        </w:r>
        <w:r w:rsidRPr="00D860A3">
          <w:rPr>
            <w:rStyle w:val="Hyperlink"/>
            <w:noProof/>
          </w:rPr>
          <w:t>Background and purpose</w:t>
        </w:r>
        <w:r>
          <w:rPr>
            <w:noProof/>
            <w:webHidden/>
          </w:rPr>
          <w:tab/>
        </w:r>
        <w:r>
          <w:rPr>
            <w:noProof/>
            <w:webHidden/>
          </w:rPr>
          <w:fldChar w:fldCharType="begin"/>
        </w:r>
        <w:r>
          <w:rPr>
            <w:noProof/>
            <w:webHidden/>
          </w:rPr>
          <w:instrText xml:space="preserve"> PAGEREF _Toc231220025 \h </w:instrText>
        </w:r>
        <w:r>
          <w:rPr>
            <w:noProof/>
            <w:webHidden/>
          </w:rPr>
        </w:r>
        <w:r>
          <w:rPr>
            <w:noProof/>
            <w:webHidden/>
          </w:rPr>
          <w:fldChar w:fldCharType="separate"/>
        </w:r>
        <w:r>
          <w:rPr>
            <w:noProof/>
            <w:webHidden/>
          </w:rPr>
          <w:t>15</w:t>
        </w:r>
        <w:r>
          <w:rPr>
            <w:noProof/>
            <w:webHidden/>
          </w:rPr>
          <w:fldChar w:fldCharType="end"/>
        </w:r>
      </w:hyperlink>
    </w:p>
    <w:p w14:paraId="66D1B6FF" w14:textId="7AC0F0CA"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26" w:history="1">
        <w:r w:rsidRPr="00D860A3">
          <w:rPr>
            <w:rStyle w:val="Hyperlink"/>
            <w:noProof/>
          </w:rPr>
          <w:t>1.1. Key challenges in achieving open employment for people with intellectual disability</w:t>
        </w:r>
        <w:r>
          <w:rPr>
            <w:noProof/>
            <w:webHidden/>
          </w:rPr>
          <w:tab/>
        </w:r>
        <w:r>
          <w:rPr>
            <w:noProof/>
            <w:webHidden/>
          </w:rPr>
          <w:fldChar w:fldCharType="begin"/>
        </w:r>
        <w:r>
          <w:rPr>
            <w:noProof/>
            <w:webHidden/>
          </w:rPr>
          <w:instrText xml:space="preserve"> PAGEREF _Toc231220026 \h </w:instrText>
        </w:r>
        <w:r>
          <w:rPr>
            <w:noProof/>
            <w:webHidden/>
          </w:rPr>
        </w:r>
        <w:r>
          <w:rPr>
            <w:noProof/>
            <w:webHidden/>
          </w:rPr>
          <w:fldChar w:fldCharType="separate"/>
        </w:r>
        <w:r>
          <w:rPr>
            <w:noProof/>
            <w:webHidden/>
          </w:rPr>
          <w:t>15</w:t>
        </w:r>
        <w:r>
          <w:rPr>
            <w:noProof/>
            <w:webHidden/>
          </w:rPr>
          <w:fldChar w:fldCharType="end"/>
        </w:r>
      </w:hyperlink>
    </w:p>
    <w:p w14:paraId="166632AD" w14:textId="4806A5BA"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27" w:history="1">
        <w:r w:rsidRPr="00D860A3">
          <w:rPr>
            <w:rStyle w:val="Hyperlink"/>
            <w:noProof/>
          </w:rPr>
          <w:t>1.2. Australian policy, service and labour-market context</w:t>
        </w:r>
        <w:r>
          <w:rPr>
            <w:noProof/>
            <w:webHidden/>
          </w:rPr>
          <w:tab/>
        </w:r>
        <w:r>
          <w:rPr>
            <w:noProof/>
            <w:webHidden/>
          </w:rPr>
          <w:fldChar w:fldCharType="begin"/>
        </w:r>
        <w:r>
          <w:rPr>
            <w:noProof/>
            <w:webHidden/>
          </w:rPr>
          <w:instrText xml:space="preserve"> PAGEREF _Toc231220027 \h </w:instrText>
        </w:r>
        <w:r>
          <w:rPr>
            <w:noProof/>
            <w:webHidden/>
          </w:rPr>
        </w:r>
        <w:r>
          <w:rPr>
            <w:noProof/>
            <w:webHidden/>
          </w:rPr>
          <w:fldChar w:fldCharType="separate"/>
        </w:r>
        <w:r>
          <w:rPr>
            <w:noProof/>
            <w:webHidden/>
          </w:rPr>
          <w:t>16</w:t>
        </w:r>
        <w:r>
          <w:rPr>
            <w:noProof/>
            <w:webHidden/>
          </w:rPr>
          <w:fldChar w:fldCharType="end"/>
        </w:r>
      </w:hyperlink>
    </w:p>
    <w:p w14:paraId="69B2C8BF" w14:textId="14A2AD1A"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28" w:history="1">
        <w:r w:rsidRPr="00D860A3">
          <w:rPr>
            <w:rStyle w:val="Hyperlink"/>
            <w:noProof/>
          </w:rPr>
          <w:t>1.3. Why this evidence synthesis is timely</w:t>
        </w:r>
        <w:r>
          <w:rPr>
            <w:noProof/>
            <w:webHidden/>
          </w:rPr>
          <w:tab/>
        </w:r>
        <w:r>
          <w:rPr>
            <w:noProof/>
            <w:webHidden/>
          </w:rPr>
          <w:fldChar w:fldCharType="begin"/>
        </w:r>
        <w:r>
          <w:rPr>
            <w:noProof/>
            <w:webHidden/>
          </w:rPr>
          <w:instrText xml:space="preserve"> PAGEREF _Toc231220028 \h </w:instrText>
        </w:r>
        <w:r>
          <w:rPr>
            <w:noProof/>
            <w:webHidden/>
          </w:rPr>
        </w:r>
        <w:r>
          <w:rPr>
            <w:noProof/>
            <w:webHidden/>
          </w:rPr>
          <w:fldChar w:fldCharType="separate"/>
        </w:r>
        <w:r>
          <w:rPr>
            <w:noProof/>
            <w:webHidden/>
          </w:rPr>
          <w:t>18</w:t>
        </w:r>
        <w:r>
          <w:rPr>
            <w:noProof/>
            <w:webHidden/>
          </w:rPr>
          <w:fldChar w:fldCharType="end"/>
        </w:r>
      </w:hyperlink>
    </w:p>
    <w:p w14:paraId="0ACC468B" w14:textId="4B702BE9"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29" w:history="1">
        <w:r w:rsidRPr="00D860A3">
          <w:rPr>
            <w:rStyle w:val="Hyperlink"/>
            <w:noProof/>
          </w:rPr>
          <w:t>1.4. Purpose of this rapid evidence synthesis</w:t>
        </w:r>
        <w:r>
          <w:rPr>
            <w:noProof/>
            <w:webHidden/>
          </w:rPr>
          <w:tab/>
        </w:r>
        <w:r>
          <w:rPr>
            <w:noProof/>
            <w:webHidden/>
          </w:rPr>
          <w:fldChar w:fldCharType="begin"/>
        </w:r>
        <w:r>
          <w:rPr>
            <w:noProof/>
            <w:webHidden/>
          </w:rPr>
          <w:instrText xml:space="preserve"> PAGEREF _Toc231220029 \h </w:instrText>
        </w:r>
        <w:r>
          <w:rPr>
            <w:noProof/>
            <w:webHidden/>
          </w:rPr>
        </w:r>
        <w:r>
          <w:rPr>
            <w:noProof/>
            <w:webHidden/>
          </w:rPr>
          <w:fldChar w:fldCharType="separate"/>
        </w:r>
        <w:r>
          <w:rPr>
            <w:noProof/>
            <w:webHidden/>
          </w:rPr>
          <w:t>18</w:t>
        </w:r>
        <w:r>
          <w:rPr>
            <w:noProof/>
            <w:webHidden/>
          </w:rPr>
          <w:fldChar w:fldCharType="end"/>
        </w:r>
      </w:hyperlink>
    </w:p>
    <w:p w14:paraId="59BAFF56" w14:textId="30B05140"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30" w:history="1">
        <w:r w:rsidRPr="00D860A3">
          <w:rPr>
            <w:rStyle w:val="Hyperlink"/>
            <w:noProof/>
          </w:rPr>
          <w:t>2.</w:t>
        </w:r>
        <w:r>
          <w:rPr>
            <w:rFonts w:asciiTheme="minorHAnsi" w:eastAsiaTheme="minorEastAsia" w:hAnsiTheme="minorHAnsi" w:cstheme="minorBidi"/>
            <w:b w:val="0"/>
            <w:noProof/>
            <w:color w:val="auto"/>
            <w:kern w:val="2"/>
            <w:lang w:eastAsia="en-GB"/>
            <w14:ligatures w14:val="standardContextual"/>
          </w:rPr>
          <w:tab/>
        </w:r>
        <w:r w:rsidRPr="00D860A3">
          <w:rPr>
            <w:rStyle w:val="Hyperlink"/>
            <w:noProof/>
          </w:rPr>
          <w:t>Review questions</w:t>
        </w:r>
        <w:r>
          <w:rPr>
            <w:noProof/>
            <w:webHidden/>
          </w:rPr>
          <w:tab/>
        </w:r>
        <w:r>
          <w:rPr>
            <w:noProof/>
            <w:webHidden/>
          </w:rPr>
          <w:fldChar w:fldCharType="begin"/>
        </w:r>
        <w:r>
          <w:rPr>
            <w:noProof/>
            <w:webHidden/>
          </w:rPr>
          <w:instrText xml:space="preserve"> PAGEREF _Toc231220030 \h </w:instrText>
        </w:r>
        <w:r>
          <w:rPr>
            <w:noProof/>
            <w:webHidden/>
          </w:rPr>
        </w:r>
        <w:r>
          <w:rPr>
            <w:noProof/>
            <w:webHidden/>
          </w:rPr>
          <w:fldChar w:fldCharType="separate"/>
        </w:r>
        <w:r>
          <w:rPr>
            <w:noProof/>
            <w:webHidden/>
          </w:rPr>
          <w:t>19</w:t>
        </w:r>
        <w:r>
          <w:rPr>
            <w:noProof/>
            <w:webHidden/>
          </w:rPr>
          <w:fldChar w:fldCharType="end"/>
        </w:r>
      </w:hyperlink>
    </w:p>
    <w:p w14:paraId="75E272F6" w14:textId="17ADBE68"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31" w:history="1">
        <w:r w:rsidRPr="00D860A3">
          <w:rPr>
            <w:rStyle w:val="Hyperlink"/>
            <w:noProof/>
          </w:rPr>
          <w:t>3.</w:t>
        </w:r>
        <w:r>
          <w:rPr>
            <w:rFonts w:asciiTheme="minorHAnsi" w:eastAsiaTheme="minorEastAsia" w:hAnsiTheme="minorHAnsi" w:cstheme="minorBidi"/>
            <w:b w:val="0"/>
            <w:noProof/>
            <w:color w:val="auto"/>
            <w:kern w:val="2"/>
            <w:lang w:eastAsia="en-GB"/>
            <w14:ligatures w14:val="standardContextual"/>
          </w:rPr>
          <w:tab/>
        </w:r>
        <w:r w:rsidRPr="00D860A3">
          <w:rPr>
            <w:rStyle w:val="Hyperlink"/>
            <w:noProof/>
          </w:rPr>
          <w:t>Theory and analytic framework</w:t>
        </w:r>
        <w:r>
          <w:rPr>
            <w:noProof/>
            <w:webHidden/>
          </w:rPr>
          <w:tab/>
        </w:r>
        <w:r>
          <w:rPr>
            <w:noProof/>
            <w:webHidden/>
          </w:rPr>
          <w:fldChar w:fldCharType="begin"/>
        </w:r>
        <w:r>
          <w:rPr>
            <w:noProof/>
            <w:webHidden/>
          </w:rPr>
          <w:instrText xml:space="preserve"> PAGEREF _Toc231220031 \h </w:instrText>
        </w:r>
        <w:r>
          <w:rPr>
            <w:noProof/>
            <w:webHidden/>
          </w:rPr>
        </w:r>
        <w:r>
          <w:rPr>
            <w:noProof/>
            <w:webHidden/>
          </w:rPr>
          <w:fldChar w:fldCharType="separate"/>
        </w:r>
        <w:r>
          <w:rPr>
            <w:noProof/>
            <w:webHidden/>
          </w:rPr>
          <w:t>20</w:t>
        </w:r>
        <w:r>
          <w:rPr>
            <w:noProof/>
            <w:webHidden/>
          </w:rPr>
          <w:fldChar w:fldCharType="end"/>
        </w:r>
      </w:hyperlink>
    </w:p>
    <w:p w14:paraId="0B6136B7" w14:textId="48BD87CD"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32" w:history="1">
        <w:r w:rsidRPr="00D860A3">
          <w:rPr>
            <w:rStyle w:val="Hyperlink"/>
            <w:noProof/>
          </w:rPr>
          <w:t>3.1. Working definitions</w:t>
        </w:r>
        <w:r>
          <w:rPr>
            <w:noProof/>
            <w:webHidden/>
          </w:rPr>
          <w:tab/>
        </w:r>
        <w:r>
          <w:rPr>
            <w:noProof/>
            <w:webHidden/>
          </w:rPr>
          <w:fldChar w:fldCharType="begin"/>
        </w:r>
        <w:r>
          <w:rPr>
            <w:noProof/>
            <w:webHidden/>
          </w:rPr>
          <w:instrText xml:space="preserve"> PAGEREF _Toc231220032 \h </w:instrText>
        </w:r>
        <w:r>
          <w:rPr>
            <w:noProof/>
            <w:webHidden/>
          </w:rPr>
        </w:r>
        <w:r>
          <w:rPr>
            <w:noProof/>
            <w:webHidden/>
          </w:rPr>
          <w:fldChar w:fldCharType="separate"/>
        </w:r>
        <w:r>
          <w:rPr>
            <w:noProof/>
            <w:webHidden/>
          </w:rPr>
          <w:t>20</w:t>
        </w:r>
        <w:r>
          <w:rPr>
            <w:noProof/>
            <w:webHidden/>
          </w:rPr>
          <w:fldChar w:fldCharType="end"/>
        </w:r>
      </w:hyperlink>
    </w:p>
    <w:p w14:paraId="2B7CBAD0" w14:textId="325DEB65"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33" w:history="1">
        <w:r w:rsidRPr="00D860A3">
          <w:rPr>
            <w:rStyle w:val="Hyperlink"/>
            <w:noProof/>
          </w:rPr>
          <w:t>3.1.1.</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Working definition: intellectual disability for this review</w:t>
        </w:r>
        <w:r>
          <w:rPr>
            <w:noProof/>
            <w:webHidden/>
          </w:rPr>
          <w:tab/>
        </w:r>
        <w:r>
          <w:rPr>
            <w:noProof/>
            <w:webHidden/>
          </w:rPr>
          <w:fldChar w:fldCharType="begin"/>
        </w:r>
        <w:r>
          <w:rPr>
            <w:noProof/>
            <w:webHidden/>
          </w:rPr>
          <w:instrText xml:space="preserve"> PAGEREF _Toc231220033 \h </w:instrText>
        </w:r>
        <w:r>
          <w:rPr>
            <w:noProof/>
            <w:webHidden/>
          </w:rPr>
        </w:r>
        <w:r>
          <w:rPr>
            <w:noProof/>
            <w:webHidden/>
          </w:rPr>
          <w:fldChar w:fldCharType="separate"/>
        </w:r>
        <w:r>
          <w:rPr>
            <w:noProof/>
            <w:webHidden/>
          </w:rPr>
          <w:t>20</w:t>
        </w:r>
        <w:r>
          <w:rPr>
            <w:noProof/>
            <w:webHidden/>
          </w:rPr>
          <w:fldChar w:fldCharType="end"/>
        </w:r>
      </w:hyperlink>
    </w:p>
    <w:p w14:paraId="6B17771B" w14:textId="4F022F57"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34" w:history="1">
        <w:r w:rsidRPr="00D860A3">
          <w:rPr>
            <w:rStyle w:val="Hyperlink"/>
            <w:noProof/>
          </w:rPr>
          <w:t>3.1.2.</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Working definition: Competitive Integrated Employment in the Australian review context</w:t>
        </w:r>
        <w:r>
          <w:rPr>
            <w:noProof/>
            <w:webHidden/>
          </w:rPr>
          <w:tab/>
        </w:r>
        <w:r>
          <w:rPr>
            <w:noProof/>
            <w:webHidden/>
          </w:rPr>
          <w:fldChar w:fldCharType="begin"/>
        </w:r>
        <w:r>
          <w:rPr>
            <w:noProof/>
            <w:webHidden/>
          </w:rPr>
          <w:instrText xml:space="preserve"> PAGEREF _Toc231220034 \h </w:instrText>
        </w:r>
        <w:r>
          <w:rPr>
            <w:noProof/>
            <w:webHidden/>
          </w:rPr>
        </w:r>
        <w:r>
          <w:rPr>
            <w:noProof/>
            <w:webHidden/>
          </w:rPr>
          <w:fldChar w:fldCharType="separate"/>
        </w:r>
        <w:r>
          <w:rPr>
            <w:noProof/>
            <w:webHidden/>
          </w:rPr>
          <w:t>20</w:t>
        </w:r>
        <w:r>
          <w:rPr>
            <w:noProof/>
            <w:webHidden/>
          </w:rPr>
          <w:fldChar w:fldCharType="end"/>
        </w:r>
      </w:hyperlink>
    </w:p>
    <w:p w14:paraId="7E4133D3" w14:textId="04FF9E4B"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35" w:history="1">
        <w:r w:rsidRPr="00D860A3">
          <w:rPr>
            <w:rStyle w:val="Hyperlink"/>
            <w:noProof/>
          </w:rPr>
          <w:t>3.2. Intervention themes framework</w:t>
        </w:r>
        <w:r>
          <w:rPr>
            <w:noProof/>
            <w:webHidden/>
          </w:rPr>
          <w:tab/>
        </w:r>
        <w:r>
          <w:rPr>
            <w:noProof/>
            <w:webHidden/>
          </w:rPr>
          <w:fldChar w:fldCharType="begin"/>
        </w:r>
        <w:r>
          <w:rPr>
            <w:noProof/>
            <w:webHidden/>
          </w:rPr>
          <w:instrText xml:space="preserve"> PAGEREF _Toc231220035 \h </w:instrText>
        </w:r>
        <w:r>
          <w:rPr>
            <w:noProof/>
            <w:webHidden/>
          </w:rPr>
        </w:r>
        <w:r>
          <w:rPr>
            <w:noProof/>
            <w:webHidden/>
          </w:rPr>
          <w:fldChar w:fldCharType="separate"/>
        </w:r>
        <w:r>
          <w:rPr>
            <w:noProof/>
            <w:webHidden/>
          </w:rPr>
          <w:t>21</w:t>
        </w:r>
        <w:r>
          <w:rPr>
            <w:noProof/>
            <w:webHidden/>
          </w:rPr>
          <w:fldChar w:fldCharType="end"/>
        </w:r>
      </w:hyperlink>
    </w:p>
    <w:p w14:paraId="266E30F2" w14:textId="057518A9"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36" w:history="1">
        <w:r w:rsidRPr="00D860A3">
          <w:rPr>
            <w:rStyle w:val="Hyperlink"/>
            <w:noProof/>
          </w:rPr>
          <w:t>3.3. Programme theory (analytic synthesis lens): Mismatch</w:t>
        </w:r>
        <w:r w:rsidRPr="00D860A3">
          <w:rPr>
            <w:rStyle w:val="Hyperlink"/>
            <w:noProof/>
          </w:rPr>
          <w:noBreakHyphen/>
          <w:t>Informed Programme Theory of CIE/open employment (MIP</w:t>
        </w:r>
        <w:r w:rsidRPr="00D860A3">
          <w:rPr>
            <w:rStyle w:val="Hyperlink"/>
            <w:noProof/>
          </w:rPr>
          <w:noBreakHyphen/>
          <w:t>CIE) with CLiFT mechanism</w:t>
        </w:r>
        <w:r>
          <w:rPr>
            <w:noProof/>
            <w:webHidden/>
          </w:rPr>
          <w:tab/>
        </w:r>
        <w:r>
          <w:rPr>
            <w:noProof/>
            <w:webHidden/>
          </w:rPr>
          <w:fldChar w:fldCharType="begin"/>
        </w:r>
        <w:r>
          <w:rPr>
            <w:noProof/>
            <w:webHidden/>
          </w:rPr>
          <w:instrText xml:space="preserve"> PAGEREF _Toc231220036 \h </w:instrText>
        </w:r>
        <w:r>
          <w:rPr>
            <w:noProof/>
            <w:webHidden/>
          </w:rPr>
        </w:r>
        <w:r>
          <w:rPr>
            <w:noProof/>
            <w:webHidden/>
          </w:rPr>
          <w:fldChar w:fldCharType="separate"/>
        </w:r>
        <w:r>
          <w:rPr>
            <w:noProof/>
            <w:webHidden/>
          </w:rPr>
          <w:t>21</w:t>
        </w:r>
        <w:r>
          <w:rPr>
            <w:noProof/>
            <w:webHidden/>
          </w:rPr>
          <w:fldChar w:fldCharType="end"/>
        </w:r>
      </w:hyperlink>
    </w:p>
    <w:p w14:paraId="6C58812A" w14:textId="41143C7A"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37" w:history="1">
        <w:r w:rsidRPr="00D860A3">
          <w:rPr>
            <w:rStyle w:val="Hyperlink"/>
            <w:noProof/>
          </w:rPr>
          <w:t>3.4. Boundary conditions and outcome cascade</w:t>
        </w:r>
        <w:r>
          <w:rPr>
            <w:noProof/>
            <w:webHidden/>
          </w:rPr>
          <w:tab/>
        </w:r>
        <w:r>
          <w:rPr>
            <w:noProof/>
            <w:webHidden/>
          </w:rPr>
          <w:fldChar w:fldCharType="begin"/>
        </w:r>
        <w:r>
          <w:rPr>
            <w:noProof/>
            <w:webHidden/>
          </w:rPr>
          <w:instrText xml:space="preserve"> PAGEREF _Toc231220037 \h </w:instrText>
        </w:r>
        <w:r>
          <w:rPr>
            <w:noProof/>
            <w:webHidden/>
          </w:rPr>
        </w:r>
        <w:r>
          <w:rPr>
            <w:noProof/>
            <w:webHidden/>
          </w:rPr>
          <w:fldChar w:fldCharType="separate"/>
        </w:r>
        <w:r>
          <w:rPr>
            <w:noProof/>
            <w:webHidden/>
          </w:rPr>
          <w:t>22</w:t>
        </w:r>
        <w:r>
          <w:rPr>
            <w:noProof/>
            <w:webHidden/>
          </w:rPr>
          <w:fldChar w:fldCharType="end"/>
        </w:r>
      </w:hyperlink>
    </w:p>
    <w:p w14:paraId="1A600C84" w14:textId="60A637B0"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38" w:history="1">
        <w:r w:rsidRPr="00D860A3">
          <w:rPr>
            <w:rStyle w:val="Hyperlink"/>
            <w:noProof/>
          </w:rPr>
          <w:t>3.5. Programme architecture: components, dose, mechanisms and outcomes</w:t>
        </w:r>
        <w:r>
          <w:rPr>
            <w:noProof/>
            <w:webHidden/>
          </w:rPr>
          <w:tab/>
        </w:r>
        <w:r>
          <w:rPr>
            <w:noProof/>
            <w:webHidden/>
          </w:rPr>
          <w:fldChar w:fldCharType="begin"/>
        </w:r>
        <w:r>
          <w:rPr>
            <w:noProof/>
            <w:webHidden/>
          </w:rPr>
          <w:instrText xml:space="preserve"> PAGEREF _Toc231220038 \h </w:instrText>
        </w:r>
        <w:r>
          <w:rPr>
            <w:noProof/>
            <w:webHidden/>
          </w:rPr>
        </w:r>
        <w:r>
          <w:rPr>
            <w:noProof/>
            <w:webHidden/>
          </w:rPr>
          <w:fldChar w:fldCharType="separate"/>
        </w:r>
        <w:r>
          <w:rPr>
            <w:noProof/>
            <w:webHidden/>
          </w:rPr>
          <w:t>22</w:t>
        </w:r>
        <w:r>
          <w:rPr>
            <w:noProof/>
            <w:webHidden/>
          </w:rPr>
          <w:fldChar w:fldCharType="end"/>
        </w:r>
      </w:hyperlink>
    </w:p>
    <w:p w14:paraId="71CCD8C6" w14:textId="6E49F8F6"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39" w:history="1">
        <w:r w:rsidRPr="00D860A3">
          <w:rPr>
            <w:rStyle w:val="Hyperlink"/>
            <w:noProof/>
          </w:rPr>
          <w:t>3.6. Foregrounding mismatch: reframing ‘support needs’ as person-environment interaction</w:t>
        </w:r>
        <w:r>
          <w:rPr>
            <w:noProof/>
            <w:webHidden/>
          </w:rPr>
          <w:tab/>
        </w:r>
        <w:r>
          <w:rPr>
            <w:noProof/>
            <w:webHidden/>
          </w:rPr>
          <w:fldChar w:fldCharType="begin"/>
        </w:r>
        <w:r>
          <w:rPr>
            <w:noProof/>
            <w:webHidden/>
          </w:rPr>
          <w:instrText xml:space="preserve"> PAGEREF _Toc231220039 \h </w:instrText>
        </w:r>
        <w:r>
          <w:rPr>
            <w:noProof/>
            <w:webHidden/>
          </w:rPr>
        </w:r>
        <w:r>
          <w:rPr>
            <w:noProof/>
            <w:webHidden/>
          </w:rPr>
          <w:fldChar w:fldCharType="separate"/>
        </w:r>
        <w:r>
          <w:rPr>
            <w:noProof/>
            <w:webHidden/>
          </w:rPr>
          <w:t>23</w:t>
        </w:r>
        <w:r>
          <w:rPr>
            <w:noProof/>
            <w:webHidden/>
          </w:rPr>
          <w:fldChar w:fldCharType="end"/>
        </w:r>
      </w:hyperlink>
    </w:p>
    <w:p w14:paraId="5AA5264E" w14:textId="1C821316"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40" w:history="1">
        <w:r w:rsidRPr="00D860A3">
          <w:rPr>
            <w:rStyle w:val="Hyperlink"/>
            <w:noProof/>
          </w:rPr>
          <w:t>3.7. Implementation overlay and Australian delivery interfaces</w:t>
        </w:r>
        <w:r>
          <w:rPr>
            <w:noProof/>
            <w:webHidden/>
          </w:rPr>
          <w:tab/>
        </w:r>
        <w:r>
          <w:rPr>
            <w:noProof/>
            <w:webHidden/>
          </w:rPr>
          <w:fldChar w:fldCharType="begin"/>
        </w:r>
        <w:r>
          <w:rPr>
            <w:noProof/>
            <w:webHidden/>
          </w:rPr>
          <w:instrText xml:space="preserve"> PAGEREF _Toc231220040 \h </w:instrText>
        </w:r>
        <w:r>
          <w:rPr>
            <w:noProof/>
            <w:webHidden/>
          </w:rPr>
        </w:r>
        <w:r>
          <w:rPr>
            <w:noProof/>
            <w:webHidden/>
          </w:rPr>
          <w:fldChar w:fldCharType="separate"/>
        </w:r>
        <w:r>
          <w:rPr>
            <w:noProof/>
            <w:webHidden/>
          </w:rPr>
          <w:t>24</w:t>
        </w:r>
        <w:r>
          <w:rPr>
            <w:noProof/>
            <w:webHidden/>
          </w:rPr>
          <w:fldChar w:fldCharType="end"/>
        </w:r>
      </w:hyperlink>
    </w:p>
    <w:p w14:paraId="0CBB5A47" w14:textId="67E4B045"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41" w:history="1">
        <w:r w:rsidRPr="00D860A3">
          <w:rPr>
            <w:rStyle w:val="Hyperlink"/>
            <w:noProof/>
          </w:rPr>
          <w:t>3.8. Programme theory in practice: design implications matrix</w:t>
        </w:r>
        <w:r>
          <w:rPr>
            <w:noProof/>
            <w:webHidden/>
          </w:rPr>
          <w:tab/>
        </w:r>
        <w:r>
          <w:rPr>
            <w:noProof/>
            <w:webHidden/>
          </w:rPr>
          <w:fldChar w:fldCharType="begin"/>
        </w:r>
        <w:r>
          <w:rPr>
            <w:noProof/>
            <w:webHidden/>
          </w:rPr>
          <w:instrText xml:space="preserve"> PAGEREF _Toc231220041 \h </w:instrText>
        </w:r>
        <w:r>
          <w:rPr>
            <w:noProof/>
            <w:webHidden/>
          </w:rPr>
        </w:r>
        <w:r>
          <w:rPr>
            <w:noProof/>
            <w:webHidden/>
          </w:rPr>
          <w:fldChar w:fldCharType="separate"/>
        </w:r>
        <w:r>
          <w:rPr>
            <w:noProof/>
            <w:webHidden/>
          </w:rPr>
          <w:t>25</w:t>
        </w:r>
        <w:r>
          <w:rPr>
            <w:noProof/>
            <w:webHidden/>
          </w:rPr>
          <w:fldChar w:fldCharType="end"/>
        </w:r>
      </w:hyperlink>
    </w:p>
    <w:p w14:paraId="0A830467" w14:textId="21281D2E"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42" w:history="1">
        <w:r w:rsidRPr="00D860A3">
          <w:rPr>
            <w:rStyle w:val="Hyperlink"/>
            <w:noProof/>
          </w:rPr>
          <w:t>4.</w:t>
        </w:r>
        <w:r>
          <w:rPr>
            <w:rFonts w:asciiTheme="minorHAnsi" w:eastAsiaTheme="minorEastAsia" w:hAnsiTheme="minorHAnsi" w:cstheme="minorBidi"/>
            <w:b w:val="0"/>
            <w:noProof/>
            <w:color w:val="auto"/>
            <w:kern w:val="2"/>
            <w:lang w:eastAsia="en-GB"/>
            <w14:ligatures w14:val="standardContextual"/>
          </w:rPr>
          <w:tab/>
        </w:r>
        <w:r w:rsidRPr="00D860A3">
          <w:rPr>
            <w:rStyle w:val="Hyperlink"/>
            <w:noProof/>
          </w:rPr>
          <w:t>Methods</w:t>
        </w:r>
        <w:r>
          <w:rPr>
            <w:noProof/>
            <w:webHidden/>
          </w:rPr>
          <w:tab/>
        </w:r>
        <w:r>
          <w:rPr>
            <w:noProof/>
            <w:webHidden/>
          </w:rPr>
          <w:fldChar w:fldCharType="begin"/>
        </w:r>
        <w:r>
          <w:rPr>
            <w:noProof/>
            <w:webHidden/>
          </w:rPr>
          <w:instrText xml:space="preserve"> PAGEREF _Toc231220042 \h </w:instrText>
        </w:r>
        <w:r>
          <w:rPr>
            <w:noProof/>
            <w:webHidden/>
          </w:rPr>
        </w:r>
        <w:r>
          <w:rPr>
            <w:noProof/>
            <w:webHidden/>
          </w:rPr>
          <w:fldChar w:fldCharType="separate"/>
        </w:r>
        <w:r>
          <w:rPr>
            <w:noProof/>
            <w:webHidden/>
          </w:rPr>
          <w:t>27</w:t>
        </w:r>
        <w:r>
          <w:rPr>
            <w:noProof/>
            <w:webHidden/>
          </w:rPr>
          <w:fldChar w:fldCharType="end"/>
        </w:r>
      </w:hyperlink>
    </w:p>
    <w:p w14:paraId="5F4C9625" w14:textId="276FA926"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43" w:history="1">
        <w:r w:rsidRPr="00D860A3">
          <w:rPr>
            <w:rStyle w:val="Hyperlink"/>
            <w:noProof/>
          </w:rPr>
          <w:t>4.1. Study rationale</w:t>
        </w:r>
        <w:r>
          <w:rPr>
            <w:noProof/>
            <w:webHidden/>
          </w:rPr>
          <w:tab/>
        </w:r>
        <w:r>
          <w:rPr>
            <w:noProof/>
            <w:webHidden/>
          </w:rPr>
          <w:fldChar w:fldCharType="begin"/>
        </w:r>
        <w:r>
          <w:rPr>
            <w:noProof/>
            <w:webHidden/>
          </w:rPr>
          <w:instrText xml:space="preserve"> PAGEREF _Toc231220043 \h </w:instrText>
        </w:r>
        <w:r>
          <w:rPr>
            <w:noProof/>
            <w:webHidden/>
          </w:rPr>
        </w:r>
        <w:r>
          <w:rPr>
            <w:noProof/>
            <w:webHidden/>
          </w:rPr>
          <w:fldChar w:fldCharType="separate"/>
        </w:r>
        <w:r>
          <w:rPr>
            <w:noProof/>
            <w:webHidden/>
          </w:rPr>
          <w:t>27</w:t>
        </w:r>
        <w:r>
          <w:rPr>
            <w:noProof/>
            <w:webHidden/>
          </w:rPr>
          <w:fldChar w:fldCharType="end"/>
        </w:r>
      </w:hyperlink>
    </w:p>
    <w:p w14:paraId="1828E229" w14:textId="2B2087B7"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44" w:history="1">
        <w:r w:rsidRPr="00D860A3">
          <w:rPr>
            <w:rStyle w:val="Hyperlink"/>
            <w:noProof/>
          </w:rPr>
          <w:t>4.2. Eligibility criteria and scope</w:t>
        </w:r>
        <w:r>
          <w:rPr>
            <w:noProof/>
            <w:webHidden/>
          </w:rPr>
          <w:tab/>
        </w:r>
        <w:r>
          <w:rPr>
            <w:noProof/>
            <w:webHidden/>
          </w:rPr>
          <w:fldChar w:fldCharType="begin"/>
        </w:r>
        <w:r>
          <w:rPr>
            <w:noProof/>
            <w:webHidden/>
          </w:rPr>
          <w:instrText xml:space="preserve"> PAGEREF _Toc231220044 \h </w:instrText>
        </w:r>
        <w:r>
          <w:rPr>
            <w:noProof/>
            <w:webHidden/>
          </w:rPr>
        </w:r>
        <w:r>
          <w:rPr>
            <w:noProof/>
            <w:webHidden/>
          </w:rPr>
          <w:fldChar w:fldCharType="separate"/>
        </w:r>
        <w:r>
          <w:rPr>
            <w:noProof/>
            <w:webHidden/>
          </w:rPr>
          <w:t>27</w:t>
        </w:r>
        <w:r>
          <w:rPr>
            <w:noProof/>
            <w:webHidden/>
          </w:rPr>
          <w:fldChar w:fldCharType="end"/>
        </w:r>
      </w:hyperlink>
    </w:p>
    <w:p w14:paraId="7378F4C4" w14:textId="0A2318B0"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45" w:history="1">
        <w:r w:rsidRPr="00D860A3">
          <w:rPr>
            <w:rStyle w:val="Hyperlink"/>
            <w:noProof/>
          </w:rPr>
          <w:t>4.2.1.</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Language</w:t>
        </w:r>
        <w:r>
          <w:rPr>
            <w:noProof/>
            <w:webHidden/>
          </w:rPr>
          <w:tab/>
        </w:r>
        <w:r>
          <w:rPr>
            <w:noProof/>
            <w:webHidden/>
          </w:rPr>
          <w:fldChar w:fldCharType="begin"/>
        </w:r>
        <w:r>
          <w:rPr>
            <w:noProof/>
            <w:webHidden/>
          </w:rPr>
          <w:instrText xml:space="preserve"> PAGEREF _Toc231220045 \h </w:instrText>
        </w:r>
        <w:r>
          <w:rPr>
            <w:noProof/>
            <w:webHidden/>
          </w:rPr>
        </w:r>
        <w:r>
          <w:rPr>
            <w:noProof/>
            <w:webHidden/>
          </w:rPr>
          <w:fldChar w:fldCharType="separate"/>
        </w:r>
        <w:r>
          <w:rPr>
            <w:noProof/>
            <w:webHidden/>
          </w:rPr>
          <w:t>27</w:t>
        </w:r>
        <w:r>
          <w:rPr>
            <w:noProof/>
            <w:webHidden/>
          </w:rPr>
          <w:fldChar w:fldCharType="end"/>
        </w:r>
      </w:hyperlink>
    </w:p>
    <w:p w14:paraId="0252F40D" w14:textId="09ABC719"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46" w:history="1">
        <w:r w:rsidRPr="00D860A3">
          <w:rPr>
            <w:rStyle w:val="Hyperlink"/>
            <w:noProof/>
          </w:rPr>
          <w:t>4.2.2.</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Publication date limits and handling of older evidence within systematic reviews</w:t>
        </w:r>
        <w:r>
          <w:rPr>
            <w:noProof/>
            <w:webHidden/>
          </w:rPr>
          <w:tab/>
        </w:r>
        <w:r>
          <w:rPr>
            <w:noProof/>
            <w:webHidden/>
          </w:rPr>
          <w:fldChar w:fldCharType="begin"/>
        </w:r>
        <w:r>
          <w:rPr>
            <w:noProof/>
            <w:webHidden/>
          </w:rPr>
          <w:instrText xml:space="preserve"> PAGEREF _Toc231220046 \h </w:instrText>
        </w:r>
        <w:r>
          <w:rPr>
            <w:noProof/>
            <w:webHidden/>
          </w:rPr>
        </w:r>
        <w:r>
          <w:rPr>
            <w:noProof/>
            <w:webHidden/>
          </w:rPr>
          <w:fldChar w:fldCharType="separate"/>
        </w:r>
        <w:r>
          <w:rPr>
            <w:noProof/>
            <w:webHidden/>
          </w:rPr>
          <w:t>27</w:t>
        </w:r>
        <w:r>
          <w:rPr>
            <w:noProof/>
            <w:webHidden/>
          </w:rPr>
          <w:fldChar w:fldCharType="end"/>
        </w:r>
      </w:hyperlink>
    </w:p>
    <w:p w14:paraId="436938F7" w14:textId="46DFC572"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47" w:history="1">
        <w:r w:rsidRPr="00D860A3">
          <w:rPr>
            <w:rStyle w:val="Hyperlink"/>
            <w:noProof/>
          </w:rPr>
          <w:t>4.2.3.</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Eligibility criteria</w:t>
        </w:r>
        <w:r>
          <w:rPr>
            <w:noProof/>
            <w:webHidden/>
          </w:rPr>
          <w:tab/>
        </w:r>
        <w:r>
          <w:rPr>
            <w:noProof/>
            <w:webHidden/>
          </w:rPr>
          <w:fldChar w:fldCharType="begin"/>
        </w:r>
        <w:r>
          <w:rPr>
            <w:noProof/>
            <w:webHidden/>
          </w:rPr>
          <w:instrText xml:space="preserve"> PAGEREF _Toc231220047 \h </w:instrText>
        </w:r>
        <w:r>
          <w:rPr>
            <w:noProof/>
            <w:webHidden/>
          </w:rPr>
        </w:r>
        <w:r>
          <w:rPr>
            <w:noProof/>
            <w:webHidden/>
          </w:rPr>
          <w:fldChar w:fldCharType="separate"/>
        </w:r>
        <w:r>
          <w:rPr>
            <w:noProof/>
            <w:webHidden/>
          </w:rPr>
          <w:t>28</w:t>
        </w:r>
        <w:r>
          <w:rPr>
            <w:noProof/>
            <w:webHidden/>
          </w:rPr>
          <w:fldChar w:fldCharType="end"/>
        </w:r>
      </w:hyperlink>
    </w:p>
    <w:p w14:paraId="36BB35F3" w14:textId="3A3FDE8C"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48" w:history="1">
        <w:r w:rsidRPr="00D860A3">
          <w:rPr>
            <w:rStyle w:val="Hyperlink"/>
            <w:noProof/>
          </w:rPr>
          <w:t>4.2.4.</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Scope refinement (service and practice focus; policy levers out of scope)</w:t>
        </w:r>
        <w:r>
          <w:rPr>
            <w:noProof/>
            <w:webHidden/>
          </w:rPr>
          <w:tab/>
        </w:r>
        <w:r>
          <w:rPr>
            <w:noProof/>
            <w:webHidden/>
          </w:rPr>
          <w:fldChar w:fldCharType="begin"/>
        </w:r>
        <w:r>
          <w:rPr>
            <w:noProof/>
            <w:webHidden/>
          </w:rPr>
          <w:instrText xml:space="preserve"> PAGEREF _Toc231220048 \h </w:instrText>
        </w:r>
        <w:r>
          <w:rPr>
            <w:noProof/>
            <w:webHidden/>
          </w:rPr>
        </w:r>
        <w:r>
          <w:rPr>
            <w:noProof/>
            <w:webHidden/>
          </w:rPr>
          <w:fldChar w:fldCharType="separate"/>
        </w:r>
        <w:r>
          <w:rPr>
            <w:noProof/>
            <w:webHidden/>
          </w:rPr>
          <w:t>28</w:t>
        </w:r>
        <w:r>
          <w:rPr>
            <w:noProof/>
            <w:webHidden/>
          </w:rPr>
          <w:fldChar w:fldCharType="end"/>
        </w:r>
      </w:hyperlink>
    </w:p>
    <w:p w14:paraId="47116A11" w14:textId="7F068CF1"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49" w:history="1">
        <w:r w:rsidRPr="00D860A3">
          <w:rPr>
            <w:rStyle w:val="Hyperlink"/>
            <w:noProof/>
          </w:rPr>
          <w:t>4.3. Search strategy</w:t>
        </w:r>
        <w:r>
          <w:rPr>
            <w:noProof/>
            <w:webHidden/>
          </w:rPr>
          <w:tab/>
        </w:r>
        <w:r>
          <w:rPr>
            <w:noProof/>
            <w:webHidden/>
          </w:rPr>
          <w:fldChar w:fldCharType="begin"/>
        </w:r>
        <w:r>
          <w:rPr>
            <w:noProof/>
            <w:webHidden/>
          </w:rPr>
          <w:instrText xml:space="preserve"> PAGEREF _Toc231220049 \h </w:instrText>
        </w:r>
        <w:r>
          <w:rPr>
            <w:noProof/>
            <w:webHidden/>
          </w:rPr>
        </w:r>
        <w:r>
          <w:rPr>
            <w:noProof/>
            <w:webHidden/>
          </w:rPr>
          <w:fldChar w:fldCharType="separate"/>
        </w:r>
        <w:r>
          <w:rPr>
            <w:noProof/>
            <w:webHidden/>
          </w:rPr>
          <w:t>28</w:t>
        </w:r>
        <w:r>
          <w:rPr>
            <w:noProof/>
            <w:webHidden/>
          </w:rPr>
          <w:fldChar w:fldCharType="end"/>
        </w:r>
      </w:hyperlink>
    </w:p>
    <w:p w14:paraId="021EF043" w14:textId="48BB964C"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50" w:history="1">
        <w:r w:rsidRPr="00D860A3">
          <w:rPr>
            <w:rStyle w:val="Hyperlink"/>
            <w:noProof/>
          </w:rPr>
          <w:t>4.3.1.</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Scope and databases</w:t>
        </w:r>
        <w:r>
          <w:rPr>
            <w:noProof/>
            <w:webHidden/>
          </w:rPr>
          <w:tab/>
        </w:r>
        <w:r>
          <w:rPr>
            <w:noProof/>
            <w:webHidden/>
          </w:rPr>
          <w:fldChar w:fldCharType="begin"/>
        </w:r>
        <w:r>
          <w:rPr>
            <w:noProof/>
            <w:webHidden/>
          </w:rPr>
          <w:instrText xml:space="preserve"> PAGEREF _Toc231220050 \h </w:instrText>
        </w:r>
        <w:r>
          <w:rPr>
            <w:noProof/>
            <w:webHidden/>
          </w:rPr>
        </w:r>
        <w:r>
          <w:rPr>
            <w:noProof/>
            <w:webHidden/>
          </w:rPr>
          <w:fldChar w:fldCharType="separate"/>
        </w:r>
        <w:r>
          <w:rPr>
            <w:noProof/>
            <w:webHidden/>
          </w:rPr>
          <w:t>28</w:t>
        </w:r>
        <w:r>
          <w:rPr>
            <w:noProof/>
            <w:webHidden/>
          </w:rPr>
          <w:fldChar w:fldCharType="end"/>
        </w:r>
      </w:hyperlink>
    </w:p>
    <w:p w14:paraId="77F3E4E5" w14:textId="0CB976B5"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51" w:history="1">
        <w:r w:rsidRPr="00D860A3">
          <w:rPr>
            <w:rStyle w:val="Hyperlink"/>
            <w:noProof/>
          </w:rPr>
          <w:t>4.3.2.</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Search strategy</w:t>
        </w:r>
        <w:r>
          <w:rPr>
            <w:noProof/>
            <w:webHidden/>
          </w:rPr>
          <w:tab/>
        </w:r>
        <w:r>
          <w:rPr>
            <w:noProof/>
            <w:webHidden/>
          </w:rPr>
          <w:fldChar w:fldCharType="begin"/>
        </w:r>
        <w:r>
          <w:rPr>
            <w:noProof/>
            <w:webHidden/>
          </w:rPr>
          <w:instrText xml:space="preserve"> PAGEREF _Toc231220051 \h </w:instrText>
        </w:r>
        <w:r>
          <w:rPr>
            <w:noProof/>
            <w:webHidden/>
          </w:rPr>
        </w:r>
        <w:r>
          <w:rPr>
            <w:noProof/>
            <w:webHidden/>
          </w:rPr>
          <w:fldChar w:fldCharType="separate"/>
        </w:r>
        <w:r>
          <w:rPr>
            <w:noProof/>
            <w:webHidden/>
          </w:rPr>
          <w:t>29</w:t>
        </w:r>
        <w:r>
          <w:rPr>
            <w:noProof/>
            <w:webHidden/>
          </w:rPr>
          <w:fldChar w:fldCharType="end"/>
        </w:r>
      </w:hyperlink>
    </w:p>
    <w:p w14:paraId="62A12BFD" w14:textId="546D23AF"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52" w:history="1">
        <w:r w:rsidRPr="00D860A3">
          <w:rPr>
            <w:rStyle w:val="Hyperlink"/>
            <w:noProof/>
          </w:rPr>
          <w:t>4.3.3.</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Grey literature, tools and resource scan</w:t>
        </w:r>
        <w:r>
          <w:rPr>
            <w:noProof/>
            <w:webHidden/>
          </w:rPr>
          <w:tab/>
        </w:r>
        <w:r>
          <w:rPr>
            <w:noProof/>
            <w:webHidden/>
          </w:rPr>
          <w:fldChar w:fldCharType="begin"/>
        </w:r>
        <w:r>
          <w:rPr>
            <w:noProof/>
            <w:webHidden/>
          </w:rPr>
          <w:instrText xml:space="preserve"> PAGEREF _Toc231220052 \h </w:instrText>
        </w:r>
        <w:r>
          <w:rPr>
            <w:noProof/>
            <w:webHidden/>
          </w:rPr>
        </w:r>
        <w:r>
          <w:rPr>
            <w:noProof/>
            <w:webHidden/>
          </w:rPr>
          <w:fldChar w:fldCharType="separate"/>
        </w:r>
        <w:r>
          <w:rPr>
            <w:noProof/>
            <w:webHidden/>
          </w:rPr>
          <w:t>29</w:t>
        </w:r>
        <w:r>
          <w:rPr>
            <w:noProof/>
            <w:webHidden/>
          </w:rPr>
          <w:fldChar w:fldCharType="end"/>
        </w:r>
      </w:hyperlink>
    </w:p>
    <w:p w14:paraId="5C2170FC" w14:textId="4031E476"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53" w:history="1">
        <w:r w:rsidRPr="00D860A3">
          <w:rPr>
            <w:rStyle w:val="Hyperlink"/>
            <w:noProof/>
          </w:rPr>
          <w:t>4.4. Study selection and data extraction</w:t>
        </w:r>
        <w:r>
          <w:rPr>
            <w:noProof/>
            <w:webHidden/>
          </w:rPr>
          <w:tab/>
        </w:r>
        <w:r>
          <w:rPr>
            <w:noProof/>
            <w:webHidden/>
          </w:rPr>
          <w:fldChar w:fldCharType="begin"/>
        </w:r>
        <w:r>
          <w:rPr>
            <w:noProof/>
            <w:webHidden/>
          </w:rPr>
          <w:instrText xml:space="preserve"> PAGEREF _Toc231220053 \h </w:instrText>
        </w:r>
        <w:r>
          <w:rPr>
            <w:noProof/>
            <w:webHidden/>
          </w:rPr>
        </w:r>
        <w:r>
          <w:rPr>
            <w:noProof/>
            <w:webHidden/>
          </w:rPr>
          <w:fldChar w:fldCharType="separate"/>
        </w:r>
        <w:r>
          <w:rPr>
            <w:noProof/>
            <w:webHidden/>
          </w:rPr>
          <w:t>29</w:t>
        </w:r>
        <w:r>
          <w:rPr>
            <w:noProof/>
            <w:webHidden/>
          </w:rPr>
          <w:fldChar w:fldCharType="end"/>
        </w:r>
      </w:hyperlink>
    </w:p>
    <w:p w14:paraId="09F858DB" w14:textId="5781CB52"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54" w:history="1">
        <w:r w:rsidRPr="00D860A3">
          <w:rPr>
            <w:rStyle w:val="Hyperlink"/>
            <w:noProof/>
          </w:rPr>
          <w:t>4.5. Data analysis and synthesis</w:t>
        </w:r>
        <w:r>
          <w:rPr>
            <w:noProof/>
            <w:webHidden/>
          </w:rPr>
          <w:tab/>
        </w:r>
        <w:r>
          <w:rPr>
            <w:noProof/>
            <w:webHidden/>
          </w:rPr>
          <w:fldChar w:fldCharType="begin"/>
        </w:r>
        <w:r>
          <w:rPr>
            <w:noProof/>
            <w:webHidden/>
          </w:rPr>
          <w:instrText xml:space="preserve"> PAGEREF _Toc231220054 \h </w:instrText>
        </w:r>
        <w:r>
          <w:rPr>
            <w:noProof/>
            <w:webHidden/>
          </w:rPr>
        </w:r>
        <w:r>
          <w:rPr>
            <w:noProof/>
            <w:webHidden/>
          </w:rPr>
          <w:fldChar w:fldCharType="separate"/>
        </w:r>
        <w:r>
          <w:rPr>
            <w:noProof/>
            <w:webHidden/>
          </w:rPr>
          <w:t>29</w:t>
        </w:r>
        <w:r>
          <w:rPr>
            <w:noProof/>
            <w:webHidden/>
          </w:rPr>
          <w:fldChar w:fldCharType="end"/>
        </w:r>
      </w:hyperlink>
    </w:p>
    <w:p w14:paraId="17756CDA" w14:textId="2AF54F86"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55" w:history="1">
        <w:r w:rsidRPr="00D860A3">
          <w:rPr>
            <w:rStyle w:val="Hyperlink"/>
            <w:noProof/>
          </w:rPr>
          <w:t>4.6. Critical appraisal and certainty assessment</w:t>
        </w:r>
        <w:r>
          <w:rPr>
            <w:noProof/>
            <w:webHidden/>
          </w:rPr>
          <w:tab/>
        </w:r>
        <w:r>
          <w:rPr>
            <w:noProof/>
            <w:webHidden/>
          </w:rPr>
          <w:fldChar w:fldCharType="begin"/>
        </w:r>
        <w:r>
          <w:rPr>
            <w:noProof/>
            <w:webHidden/>
          </w:rPr>
          <w:instrText xml:space="preserve"> PAGEREF _Toc231220055 \h </w:instrText>
        </w:r>
        <w:r>
          <w:rPr>
            <w:noProof/>
            <w:webHidden/>
          </w:rPr>
        </w:r>
        <w:r>
          <w:rPr>
            <w:noProof/>
            <w:webHidden/>
          </w:rPr>
          <w:fldChar w:fldCharType="separate"/>
        </w:r>
        <w:r>
          <w:rPr>
            <w:noProof/>
            <w:webHidden/>
          </w:rPr>
          <w:t>31</w:t>
        </w:r>
        <w:r>
          <w:rPr>
            <w:noProof/>
            <w:webHidden/>
          </w:rPr>
          <w:fldChar w:fldCharType="end"/>
        </w:r>
      </w:hyperlink>
    </w:p>
    <w:p w14:paraId="0EDDAFE1" w14:textId="1F174B7A"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56" w:history="1">
        <w:r w:rsidRPr="00D860A3">
          <w:rPr>
            <w:rStyle w:val="Hyperlink"/>
            <w:noProof/>
          </w:rPr>
          <w:t>4.7. Transferability and accessibility</w:t>
        </w:r>
        <w:r>
          <w:rPr>
            <w:noProof/>
            <w:webHidden/>
          </w:rPr>
          <w:tab/>
        </w:r>
        <w:r>
          <w:rPr>
            <w:noProof/>
            <w:webHidden/>
          </w:rPr>
          <w:fldChar w:fldCharType="begin"/>
        </w:r>
        <w:r>
          <w:rPr>
            <w:noProof/>
            <w:webHidden/>
          </w:rPr>
          <w:instrText xml:space="preserve"> PAGEREF _Toc231220056 \h </w:instrText>
        </w:r>
        <w:r>
          <w:rPr>
            <w:noProof/>
            <w:webHidden/>
          </w:rPr>
        </w:r>
        <w:r>
          <w:rPr>
            <w:noProof/>
            <w:webHidden/>
          </w:rPr>
          <w:fldChar w:fldCharType="separate"/>
        </w:r>
        <w:r>
          <w:rPr>
            <w:noProof/>
            <w:webHidden/>
          </w:rPr>
          <w:t>32</w:t>
        </w:r>
        <w:r>
          <w:rPr>
            <w:noProof/>
            <w:webHidden/>
          </w:rPr>
          <w:fldChar w:fldCharType="end"/>
        </w:r>
      </w:hyperlink>
    </w:p>
    <w:p w14:paraId="69B1058E" w14:textId="1F74347E"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57" w:history="1">
        <w:r w:rsidRPr="00D860A3">
          <w:rPr>
            <w:rStyle w:val="Hyperlink"/>
            <w:noProof/>
          </w:rPr>
          <w:t>4.8. Limitations</w:t>
        </w:r>
        <w:r>
          <w:rPr>
            <w:noProof/>
            <w:webHidden/>
          </w:rPr>
          <w:tab/>
        </w:r>
        <w:r>
          <w:rPr>
            <w:noProof/>
            <w:webHidden/>
          </w:rPr>
          <w:fldChar w:fldCharType="begin"/>
        </w:r>
        <w:r>
          <w:rPr>
            <w:noProof/>
            <w:webHidden/>
          </w:rPr>
          <w:instrText xml:space="preserve"> PAGEREF _Toc231220057 \h </w:instrText>
        </w:r>
        <w:r>
          <w:rPr>
            <w:noProof/>
            <w:webHidden/>
          </w:rPr>
        </w:r>
        <w:r>
          <w:rPr>
            <w:noProof/>
            <w:webHidden/>
          </w:rPr>
          <w:fldChar w:fldCharType="separate"/>
        </w:r>
        <w:r>
          <w:rPr>
            <w:noProof/>
            <w:webHidden/>
          </w:rPr>
          <w:t>32</w:t>
        </w:r>
        <w:r>
          <w:rPr>
            <w:noProof/>
            <w:webHidden/>
          </w:rPr>
          <w:fldChar w:fldCharType="end"/>
        </w:r>
      </w:hyperlink>
    </w:p>
    <w:p w14:paraId="472F08FA" w14:textId="6DCFE39C"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58" w:history="1">
        <w:r w:rsidRPr="00D860A3">
          <w:rPr>
            <w:rStyle w:val="Hyperlink"/>
            <w:noProof/>
          </w:rPr>
          <w:t>5.</w:t>
        </w:r>
        <w:r>
          <w:rPr>
            <w:rFonts w:asciiTheme="minorHAnsi" w:eastAsiaTheme="minorEastAsia" w:hAnsiTheme="minorHAnsi" w:cstheme="minorBidi"/>
            <w:b w:val="0"/>
            <w:noProof/>
            <w:color w:val="auto"/>
            <w:kern w:val="2"/>
            <w:lang w:eastAsia="en-GB"/>
            <w14:ligatures w14:val="standardContextual"/>
          </w:rPr>
          <w:tab/>
        </w:r>
        <w:r w:rsidRPr="00D860A3">
          <w:rPr>
            <w:rStyle w:val="Hyperlink"/>
            <w:noProof/>
          </w:rPr>
          <w:t>Effectiveness findings by intervention themes</w:t>
        </w:r>
        <w:r>
          <w:rPr>
            <w:noProof/>
            <w:webHidden/>
          </w:rPr>
          <w:tab/>
        </w:r>
        <w:r>
          <w:rPr>
            <w:noProof/>
            <w:webHidden/>
          </w:rPr>
          <w:fldChar w:fldCharType="begin"/>
        </w:r>
        <w:r>
          <w:rPr>
            <w:noProof/>
            <w:webHidden/>
          </w:rPr>
          <w:instrText xml:space="preserve"> PAGEREF _Toc231220058 \h </w:instrText>
        </w:r>
        <w:r>
          <w:rPr>
            <w:noProof/>
            <w:webHidden/>
          </w:rPr>
        </w:r>
        <w:r>
          <w:rPr>
            <w:noProof/>
            <w:webHidden/>
          </w:rPr>
          <w:fldChar w:fldCharType="separate"/>
        </w:r>
        <w:r>
          <w:rPr>
            <w:noProof/>
            <w:webHidden/>
          </w:rPr>
          <w:t>33</w:t>
        </w:r>
        <w:r>
          <w:rPr>
            <w:noProof/>
            <w:webHidden/>
          </w:rPr>
          <w:fldChar w:fldCharType="end"/>
        </w:r>
      </w:hyperlink>
    </w:p>
    <w:p w14:paraId="72784A57" w14:textId="6BD1D100"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59" w:history="1">
        <w:r w:rsidRPr="00D860A3">
          <w:rPr>
            <w:rStyle w:val="Hyperlink"/>
            <w:noProof/>
          </w:rPr>
          <w:t>5.1. Evidence base overview</w:t>
        </w:r>
        <w:r>
          <w:rPr>
            <w:noProof/>
            <w:webHidden/>
          </w:rPr>
          <w:tab/>
        </w:r>
        <w:r>
          <w:rPr>
            <w:noProof/>
            <w:webHidden/>
          </w:rPr>
          <w:fldChar w:fldCharType="begin"/>
        </w:r>
        <w:r>
          <w:rPr>
            <w:noProof/>
            <w:webHidden/>
          </w:rPr>
          <w:instrText xml:space="preserve"> PAGEREF _Toc231220059 \h </w:instrText>
        </w:r>
        <w:r>
          <w:rPr>
            <w:noProof/>
            <w:webHidden/>
          </w:rPr>
        </w:r>
        <w:r>
          <w:rPr>
            <w:noProof/>
            <w:webHidden/>
          </w:rPr>
          <w:fldChar w:fldCharType="separate"/>
        </w:r>
        <w:r>
          <w:rPr>
            <w:noProof/>
            <w:webHidden/>
          </w:rPr>
          <w:t>33</w:t>
        </w:r>
        <w:r>
          <w:rPr>
            <w:noProof/>
            <w:webHidden/>
          </w:rPr>
          <w:fldChar w:fldCharType="end"/>
        </w:r>
      </w:hyperlink>
    </w:p>
    <w:p w14:paraId="0BC8DE8D" w14:textId="5A001F43"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60" w:history="1">
        <w:r w:rsidRPr="00D860A3">
          <w:rPr>
            <w:rStyle w:val="Hyperlink"/>
            <w:noProof/>
          </w:rPr>
          <w:t>5.2. Summary of effectiveness evidence</w:t>
        </w:r>
        <w:r>
          <w:rPr>
            <w:noProof/>
            <w:webHidden/>
          </w:rPr>
          <w:tab/>
        </w:r>
        <w:r>
          <w:rPr>
            <w:noProof/>
            <w:webHidden/>
          </w:rPr>
          <w:fldChar w:fldCharType="begin"/>
        </w:r>
        <w:r>
          <w:rPr>
            <w:noProof/>
            <w:webHidden/>
          </w:rPr>
          <w:instrText xml:space="preserve"> PAGEREF _Toc231220060 \h </w:instrText>
        </w:r>
        <w:r>
          <w:rPr>
            <w:noProof/>
            <w:webHidden/>
          </w:rPr>
        </w:r>
        <w:r>
          <w:rPr>
            <w:noProof/>
            <w:webHidden/>
          </w:rPr>
          <w:fldChar w:fldCharType="separate"/>
        </w:r>
        <w:r>
          <w:rPr>
            <w:noProof/>
            <w:webHidden/>
          </w:rPr>
          <w:t>34</w:t>
        </w:r>
        <w:r>
          <w:rPr>
            <w:noProof/>
            <w:webHidden/>
          </w:rPr>
          <w:fldChar w:fldCharType="end"/>
        </w:r>
      </w:hyperlink>
    </w:p>
    <w:p w14:paraId="340E6CC3" w14:textId="3A7CDE48"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61" w:history="1">
        <w:r w:rsidRPr="00D860A3">
          <w:rPr>
            <w:rStyle w:val="Hyperlink"/>
            <w:noProof/>
          </w:rPr>
          <w:t>5.3. Effectiveness by intervention theme</w:t>
        </w:r>
        <w:r>
          <w:rPr>
            <w:noProof/>
            <w:webHidden/>
          </w:rPr>
          <w:tab/>
        </w:r>
        <w:r>
          <w:rPr>
            <w:noProof/>
            <w:webHidden/>
          </w:rPr>
          <w:fldChar w:fldCharType="begin"/>
        </w:r>
        <w:r>
          <w:rPr>
            <w:noProof/>
            <w:webHidden/>
          </w:rPr>
          <w:instrText xml:space="preserve"> PAGEREF _Toc231220061 \h </w:instrText>
        </w:r>
        <w:r>
          <w:rPr>
            <w:noProof/>
            <w:webHidden/>
          </w:rPr>
        </w:r>
        <w:r>
          <w:rPr>
            <w:noProof/>
            <w:webHidden/>
          </w:rPr>
          <w:fldChar w:fldCharType="separate"/>
        </w:r>
        <w:r>
          <w:rPr>
            <w:noProof/>
            <w:webHidden/>
          </w:rPr>
          <w:t>35</w:t>
        </w:r>
        <w:r>
          <w:rPr>
            <w:noProof/>
            <w:webHidden/>
          </w:rPr>
          <w:fldChar w:fldCharType="end"/>
        </w:r>
      </w:hyperlink>
    </w:p>
    <w:p w14:paraId="286F4EC1" w14:textId="2F87745E"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62" w:history="1">
        <w:r w:rsidRPr="00D860A3">
          <w:rPr>
            <w:rStyle w:val="Hyperlink"/>
            <w:noProof/>
          </w:rPr>
          <w:t>5.3.1.</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Jobseeker-facing supports</w:t>
        </w:r>
        <w:r>
          <w:rPr>
            <w:noProof/>
            <w:webHidden/>
          </w:rPr>
          <w:tab/>
        </w:r>
        <w:r>
          <w:rPr>
            <w:noProof/>
            <w:webHidden/>
          </w:rPr>
          <w:fldChar w:fldCharType="begin"/>
        </w:r>
        <w:r>
          <w:rPr>
            <w:noProof/>
            <w:webHidden/>
          </w:rPr>
          <w:instrText xml:space="preserve"> PAGEREF _Toc231220062 \h </w:instrText>
        </w:r>
        <w:r>
          <w:rPr>
            <w:noProof/>
            <w:webHidden/>
          </w:rPr>
        </w:r>
        <w:r>
          <w:rPr>
            <w:noProof/>
            <w:webHidden/>
          </w:rPr>
          <w:fldChar w:fldCharType="separate"/>
        </w:r>
        <w:r>
          <w:rPr>
            <w:noProof/>
            <w:webHidden/>
          </w:rPr>
          <w:t>35</w:t>
        </w:r>
        <w:r>
          <w:rPr>
            <w:noProof/>
            <w:webHidden/>
          </w:rPr>
          <w:fldChar w:fldCharType="end"/>
        </w:r>
      </w:hyperlink>
    </w:p>
    <w:p w14:paraId="512D1AC1" w14:textId="4E2C4858"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63" w:history="1">
        <w:r w:rsidRPr="00D860A3">
          <w:rPr>
            <w:rStyle w:val="Hyperlink"/>
            <w:noProof/>
          </w:rPr>
          <w:t>5.3.2.</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Employer/workplace-facing supports</w:t>
        </w:r>
        <w:r>
          <w:rPr>
            <w:noProof/>
            <w:webHidden/>
          </w:rPr>
          <w:tab/>
        </w:r>
        <w:r>
          <w:rPr>
            <w:noProof/>
            <w:webHidden/>
          </w:rPr>
          <w:fldChar w:fldCharType="begin"/>
        </w:r>
        <w:r>
          <w:rPr>
            <w:noProof/>
            <w:webHidden/>
          </w:rPr>
          <w:instrText xml:space="preserve"> PAGEREF _Toc231220063 \h </w:instrText>
        </w:r>
        <w:r>
          <w:rPr>
            <w:noProof/>
            <w:webHidden/>
          </w:rPr>
        </w:r>
        <w:r>
          <w:rPr>
            <w:noProof/>
            <w:webHidden/>
          </w:rPr>
          <w:fldChar w:fldCharType="separate"/>
        </w:r>
        <w:r>
          <w:rPr>
            <w:noProof/>
            <w:webHidden/>
          </w:rPr>
          <w:t>36</w:t>
        </w:r>
        <w:r>
          <w:rPr>
            <w:noProof/>
            <w:webHidden/>
          </w:rPr>
          <w:fldChar w:fldCharType="end"/>
        </w:r>
      </w:hyperlink>
    </w:p>
    <w:p w14:paraId="4A683362" w14:textId="1CEECC56" w:rsidR="00807628" w:rsidRDefault="00807628">
      <w:pPr>
        <w:pStyle w:val="TOC3"/>
        <w:tabs>
          <w:tab w:val="left" w:pos="1134"/>
        </w:tabs>
        <w:rPr>
          <w:rFonts w:asciiTheme="minorHAnsi" w:eastAsiaTheme="minorEastAsia" w:hAnsiTheme="minorHAnsi" w:cstheme="minorBidi"/>
          <w:noProof/>
          <w:color w:val="auto"/>
          <w:kern w:val="2"/>
          <w:lang w:eastAsia="en-GB"/>
          <w14:ligatures w14:val="standardContextual"/>
        </w:rPr>
      </w:pPr>
      <w:hyperlink w:anchor="_Toc231220064" w:history="1">
        <w:r w:rsidRPr="00D860A3">
          <w:rPr>
            <w:rStyle w:val="Hyperlink"/>
            <w:noProof/>
          </w:rPr>
          <w:t>5.3.3.</w:t>
        </w:r>
        <w:r>
          <w:rPr>
            <w:rFonts w:asciiTheme="minorHAnsi" w:eastAsiaTheme="minorEastAsia" w:hAnsiTheme="minorHAnsi" w:cstheme="minorBidi"/>
            <w:noProof/>
            <w:color w:val="auto"/>
            <w:kern w:val="2"/>
            <w:lang w:eastAsia="en-GB"/>
            <w14:ligatures w14:val="standardContextual"/>
          </w:rPr>
          <w:tab/>
        </w:r>
        <w:r w:rsidRPr="00D860A3">
          <w:rPr>
            <w:rStyle w:val="Hyperlink"/>
            <w:noProof/>
          </w:rPr>
          <w:t>Bridging and continuity supports</w:t>
        </w:r>
        <w:r>
          <w:rPr>
            <w:noProof/>
            <w:webHidden/>
          </w:rPr>
          <w:tab/>
        </w:r>
        <w:r>
          <w:rPr>
            <w:noProof/>
            <w:webHidden/>
          </w:rPr>
          <w:fldChar w:fldCharType="begin"/>
        </w:r>
        <w:r>
          <w:rPr>
            <w:noProof/>
            <w:webHidden/>
          </w:rPr>
          <w:instrText xml:space="preserve"> PAGEREF _Toc231220064 \h </w:instrText>
        </w:r>
        <w:r>
          <w:rPr>
            <w:noProof/>
            <w:webHidden/>
          </w:rPr>
        </w:r>
        <w:r>
          <w:rPr>
            <w:noProof/>
            <w:webHidden/>
          </w:rPr>
          <w:fldChar w:fldCharType="separate"/>
        </w:r>
        <w:r>
          <w:rPr>
            <w:noProof/>
            <w:webHidden/>
          </w:rPr>
          <w:t>38</w:t>
        </w:r>
        <w:r>
          <w:rPr>
            <w:noProof/>
            <w:webHidden/>
          </w:rPr>
          <w:fldChar w:fldCharType="end"/>
        </w:r>
      </w:hyperlink>
    </w:p>
    <w:p w14:paraId="1A880534" w14:textId="7A55F18B"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65" w:history="1">
        <w:r w:rsidRPr="00D860A3">
          <w:rPr>
            <w:rStyle w:val="Hyperlink"/>
            <w:noProof/>
          </w:rPr>
          <w:t>5.4. MIP-CIE framework in practice: evidence-informed matrix</w:t>
        </w:r>
        <w:r>
          <w:rPr>
            <w:noProof/>
            <w:webHidden/>
          </w:rPr>
          <w:tab/>
        </w:r>
        <w:r>
          <w:rPr>
            <w:noProof/>
            <w:webHidden/>
          </w:rPr>
          <w:fldChar w:fldCharType="begin"/>
        </w:r>
        <w:r>
          <w:rPr>
            <w:noProof/>
            <w:webHidden/>
          </w:rPr>
          <w:instrText xml:space="preserve"> PAGEREF _Toc231220065 \h </w:instrText>
        </w:r>
        <w:r>
          <w:rPr>
            <w:noProof/>
            <w:webHidden/>
          </w:rPr>
        </w:r>
        <w:r>
          <w:rPr>
            <w:noProof/>
            <w:webHidden/>
          </w:rPr>
          <w:fldChar w:fldCharType="separate"/>
        </w:r>
        <w:r>
          <w:rPr>
            <w:noProof/>
            <w:webHidden/>
          </w:rPr>
          <w:t>39</w:t>
        </w:r>
        <w:r>
          <w:rPr>
            <w:noProof/>
            <w:webHidden/>
          </w:rPr>
          <w:fldChar w:fldCharType="end"/>
        </w:r>
      </w:hyperlink>
    </w:p>
    <w:p w14:paraId="6F3C641E" w14:textId="4AE3A6B0"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66" w:history="1">
        <w:r w:rsidRPr="00D860A3">
          <w:rPr>
            <w:rStyle w:val="Hyperlink"/>
            <w:noProof/>
          </w:rPr>
          <w:t>6.</w:t>
        </w:r>
        <w:r>
          <w:rPr>
            <w:rFonts w:asciiTheme="minorHAnsi" w:eastAsiaTheme="minorEastAsia" w:hAnsiTheme="minorHAnsi" w:cstheme="minorBidi"/>
            <w:b w:val="0"/>
            <w:noProof/>
            <w:color w:val="auto"/>
            <w:kern w:val="2"/>
            <w:lang w:eastAsia="en-GB"/>
            <w14:ligatures w14:val="standardContextual"/>
          </w:rPr>
          <w:tab/>
        </w:r>
        <w:r w:rsidRPr="00D860A3">
          <w:rPr>
            <w:rStyle w:val="Hyperlink"/>
            <w:noProof/>
          </w:rPr>
          <w:t>Implementation and service delivery: determinants of uptake and fidelity</w:t>
        </w:r>
        <w:r>
          <w:rPr>
            <w:noProof/>
            <w:webHidden/>
          </w:rPr>
          <w:tab/>
        </w:r>
        <w:r>
          <w:rPr>
            <w:noProof/>
            <w:webHidden/>
          </w:rPr>
          <w:fldChar w:fldCharType="begin"/>
        </w:r>
        <w:r>
          <w:rPr>
            <w:noProof/>
            <w:webHidden/>
          </w:rPr>
          <w:instrText xml:space="preserve"> PAGEREF _Toc231220066 \h </w:instrText>
        </w:r>
        <w:r>
          <w:rPr>
            <w:noProof/>
            <w:webHidden/>
          </w:rPr>
        </w:r>
        <w:r>
          <w:rPr>
            <w:noProof/>
            <w:webHidden/>
          </w:rPr>
          <w:fldChar w:fldCharType="separate"/>
        </w:r>
        <w:r>
          <w:rPr>
            <w:noProof/>
            <w:webHidden/>
          </w:rPr>
          <w:t>42</w:t>
        </w:r>
        <w:r>
          <w:rPr>
            <w:noProof/>
            <w:webHidden/>
          </w:rPr>
          <w:fldChar w:fldCharType="end"/>
        </w:r>
      </w:hyperlink>
    </w:p>
    <w:p w14:paraId="7AD9D6FE" w14:textId="049E7E49"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67" w:history="1">
        <w:r w:rsidRPr="00D860A3">
          <w:rPr>
            <w:rStyle w:val="Hyperlink"/>
            <w:noProof/>
          </w:rPr>
          <w:t>6.1. Key determinants of practice-implementation fit</w:t>
        </w:r>
        <w:r>
          <w:rPr>
            <w:noProof/>
            <w:webHidden/>
          </w:rPr>
          <w:tab/>
        </w:r>
        <w:r>
          <w:rPr>
            <w:noProof/>
            <w:webHidden/>
          </w:rPr>
          <w:fldChar w:fldCharType="begin"/>
        </w:r>
        <w:r>
          <w:rPr>
            <w:noProof/>
            <w:webHidden/>
          </w:rPr>
          <w:instrText xml:space="preserve"> PAGEREF _Toc231220067 \h </w:instrText>
        </w:r>
        <w:r>
          <w:rPr>
            <w:noProof/>
            <w:webHidden/>
          </w:rPr>
        </w:r>
        <w:r>
          <w:rPr>
            <w:noProof/>
            <w:webHidden/>
          </w:rPr>
          <w:fldChar w:fldCharType="separate"/>
        </w:r>
        <w:r>
          <w:rPr>
            <w:noProof/>
            <w:webHidden/>
          </w:rPr>
          <w:t>42</w:t>
        </w:r>
        <w:r>
          <w:rPr>
            <w:noProof/>
            <w:webHidden/>
          </w:rPr>
          <w:fldChar w:fldCharType="end"/>
        </w:r>
      </w:hyperlink>
    </w:p>
    <w:p w14:paraId="1219D778" w14:textId="1B32C4A5"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68" w:history="1">
        <w:r w:rsidRPr="00D860A3">
          <w:rPr>
            <w:rStyle w:val="Hyperlink"/>
            <w:noProof/>
          </w:rPr>
          <w:t>6.2. Implementation levers by delivery interface (Australia)</w:t>
        </w:r>
        <w:r>
          <w:rPr>
            <w:noProof/>
            <w:webHidden/>
          </w:rPr>
          <w:tab/>
        </w:r>
        <w:r>
          <w:rPr>
            <w:noProof/>
            <w:webHidden/>
          </w:rPr>
          <w:fldChar w:fldCharType="begin"/>
        </w:r>
        <w:r>
          <w:rPr>
            <w:noProof/>
            <w:webHidden/>
          </w:rPr>
          <w:instrText xml:space="preserve"> PAGEREF _Toc231220068 \h </w:instrText>
        </w:r>
        <w:r>
          <w:rPr>
            <w:noProof/>
            <w:webHidden/>
          </w:rPr>
        </w:r>
        <w:r>
          <w:rPr>
            <w:noProof/>
            <w:webHidden/>
          </w:rPr>
          <w:fldChar w:fldCharType="separate"/>
        </w:r>
        <w:r>
          <w:rPr>
            <w:noProof/>
            <w:webHidden/>
          </w:rPr>
          <w:t>42</w:t>
        </w:r>
        <w:r>
          <w:rPr>
            <w:noProof/>
            <w:webHidden/>
          </w:rPr>
          <w:fldChar w:fldCharType="end"/>
        </w:r>
      </w:hyperlink>
    </w:p>
    <w:p w14:paraId="046BE08D" w14:textId="1BFF832B"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69" w:history="1">
        <w:r w:rsidRPr="00D860A3">
          <w:rPr>
            <w:rStyle w:val="Hyperlink"/>
            <w:noProof/>
          </w:rPr>
          <w:t>6.3. Implications for training, supervision and quality Improvement</w:t>
        </w:r>
        <w:r>
          <w:rPr>
            <w:noProof/>
            <w:webHidden/>
          </w:rPr>
          <w:tab/>
        </w:r>
        <w:r>
          <w:rPr>
            <w:noProof/>
            <w:webHidden/>
          </w:rPr>
          <w:fldChar w:fldCharType="begin"/>
        </w:r>
        <w:r>
          <w:rPr>
            <w:noProof/>
            <w:webHidden/>
          </w:rPr>
          <w:instrText xml:space="preserve"> PAGEREF _Toc231220069 \h </w:instrText>
        </w:r>
        <w:r>
          <w:rPr>
            <w:noProof/>
            <w:webHidden/>
          </w:rPr>
        </w:r>
        <w:r>
          <w:rPr>
            <w:noProof/>
            <w:webHidden/>
          </w:rPr>
          <w:fldChar w:fldCharType="separate"/>
        </w:r>
        <w:r>
          <w:rPr>
            <w:noProof/>
            <w:webHidden/>
          </w:rPr>
          <w:t>44</w:t>
        </w:r>
        <w:r>
          <w:rPr>
            <w:noProof/>
            <w:webHidden/>
          </w:rPr>
          <w:fldChar w:fldCharType="end"/>
        </w:r>
      </w:hyperlink>
    </w:p>
    <w:p w14:paraId="39923F6A" w14:textId="279DDCD0"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70" w:history="1">
        <w:r w:rsidRPr="00D860A3">
          <w:rPr>
            <w:rStyle w:val="Hyperlink"/>
            <w:noProof/>
          </w:rPr>
          <w:t>7.</w:t>
        </w:r>
        <w:r>
          <w:rPr>
            <w:rFonts w:asciiTheme="minorHAnsi" w:eastAsiaTheme="minorEastAsia" w:hAnsiTheme="minorHAnsi" w:cstheme="minorBidi"/>
            <w:b w:val="0"/>
            <w:noProof/>
            <w:color w:val="auto"/>
            <w:kern w:val="2"/>
            <w:lang w:eastAsia="en-GB"/>
            <w14:ligatures w14:val="standardContextual"/>
          </w:rPr>
          <w:tab/>
        </w:r>
        <w:r w:rsidRPr="00D860A3">
          <w:rPr>
            <w:rStyle w:val="Hyperlink"/>
            <w:noProof/>
          </w:rPr>
          <w:t>Lived experience and stakeholder perspectives</w:t>
        </w:r>
        <w:r>
          <w:rPr>
            <w:noProof/>
            <w:webHidden/>
          </w:rPr>
          <w:tab/>
        </w:r>
        <w:r>
          <w:rPr>
            <w:noProof/>
            <w:webHidden/>
          </w:rPr>
          <w:fldChar w:fldCharType="begin"/>
        </w:r>
        <w:r>
          <w:rPr>
            <w:noProof/>
            <w:webHidden/>
          </w:rPr>
          <w:instrText xml:space="preserve"> PAGEREF _Toc231220070 \h </w:instrText>
        </w:r>
        <w:r>
          <w:rPr>
            <w:noProof/>
            <w:webHidden/>
          </w:rPr>
        </w:r>
        <w:r>
          <w:rPr>
            <w:noProof/>
            <w:webHidden/>
          </w:rPr>
          <w:fldChar w:fldCharType="separate"/>
        </w:r>
        <w:r>
          <w:rPr>
            <w:noProof/>
            <w:webHidden/>
          </w:rPr>
          <w:t>45</w:t>
        </w:r>
        <w:r>
          <w:rPr>
            <w:noProof/>
            <w:webHidden/>
          </w:rPr>
          <w:fldChar w:fldCharType="end"/>
        </w:r>
      </w:hyperlink>
    </w:p>
    <w:p w14:paraId="3A979635" w14:textId="4A13D22C"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71" w:history="1">
        <w:r w:rsidRPr="00D860A3">
          <w:rPr>
            <w:rStyle w:val="Hyperlink"/>
            <w:noProof/>
          </w:rPr>
          <w:t>7.1. Theme 1. Workplace inclusion is relational and enacted</w:t>
        </w:r>
        <w:r>
          <w:rPr>
            <w:noProof/>
            <w:webHidden/>
          </w:rPr>
          <w:tab/>
        </w:r>
        <w:r>
          <w:rPr>
            <w:noProof/>
            <w:webHidden/>
          </w:rPr>
          <w:fldChar w:fldCharType="begin"/>
        </w:r>
        <w:r>
          <w:rPr>
            <w:noProof/>
            <w:webHidden/>
          </w:rPr>
          <w:instrText xml:space="preserve"> PAGEREF _Toc231220071 \h </w:instrText>
        </w:r>
        <w:r>
          <w:rPr>
            <w:noProof/>
            <w:webHidden/>
          </w:rPr>
        </w:r>
        <w:r>
          <w:rPr>
            <w:noProof/>
            <w:webHidden/>
          </w:rPr>
          <w:fldChar w:fldCharType="separate"/>
        </w:r>
        <w:r>
          <w:rPr>
            <w:noProof/>
            <w:webHidden/>
          </w:rPr>
          <w:t>45</w:t>
        </w:r>
        <w:r>
          <w:rPr>
            <w:noProof/>
            <w:webHidden/>
          </w:rPr>
          <w:fldChar w:fldCharType="end"/>
        </w:r>
      </w:hyperlink>
    </w:p>
    <w:p w14:paraId="646A3AC8" w14:textId="4D62E1E9"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72" w:history="1">
        <w:r w:rsidRPr="00D860A3">
          <w:rPr>
            <w:rStyle w:val="Hyperlink"/>
            <w:noProof/>
          </w:rPr>
          <w:t>7.2. Theme 2. Natural supports and workplace capability shape durability and job quality</w:t>
        </w:r>
        <w:r>
          <w:rPr>
            <w:noProof/>
            <w:webHidden/>
          </w:rPr>
          <w:tab/>
        </w:r>
        <w:r>
          <w:rPr>
            <w:noProof/>
            <w:webHidden/>
          </w:rPr>
          <w:fldChar w:fldCharType="begin"/>
        </w:r>
        <w:r>
          <w:rPr>
            <w:noProof/>
            <w:webHidden/>
          </w:rPr>
          <w:instrText xml:space="preserve"> PAGEREF _Toc231220072 \h </w:instrText>
        </w:r>
        <w:r>
          <w:rPr>
            <w:noProof/>
            <w:webHidden/>
          </w:rPr>
        </w:r>
        <w:r>
          <w:rPr>
            <w:noProof/>
            <w:webHidden/>
          </w:rPr>
          <w:fldChar w:fldCharType="separate"/>
        </w:r>
        <w:r>
          <w:rPr>
            <w:noProof/>
            <w:webHidden/>
          </w:rPr>
          <w:t>46</w:t>
        </w:r>
        <w:r>
          <w:rPr>
            <w:noProof/>
            <w:webHidden/>
          </w:rPr>
          <w:fldChar w:fldCharType="end"/>
        </w:r>
      </w:hyperlink>
    </w:p>
    <w:p w14:paraId="5A5DE817" w14:textId="351A7AAB"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73" w:history="1">
        <w:r w:rsidRPr="00D860A3">
          <w:rPr>
            <w:rStyle w:val="Hyperlink"/>
            <w:noProof/>
          </w:rPr>
          <w:t>7.3. Theme 3. Disclosure, stigma and disability visibility influence opportunities and outcomes</w:t>
        </w:r>
        <w:r>
          <w:rPr>
            <w:noProof/>
            <w:webHidden/>
          </w:rPr>
          <w:tab/>
        </w:r>
        <w:r>
          <w:rPr>
            <w:noProof/>
            <w:webHidden/>
          </w:rPr>
          <w:fldChar w:fldCharType="begin"/>
        </w:r>
        <w:r>
          <w:rPr>
            <w:noProof/>
            <w:webHidden/>
          </w:rPr>
          <w:instrText xml:space="preserve"> PAGEREF _Toc231220073 \h </w:instrText>
        </w:r>
        <w:r>
          <w:rPr>
            <w:noProof/>
            <w:webHidden/>
          </w:rPr>
        </w:r>
        <w:r>
          <w:rPr>
            <w:noProof/>
            <w:webHidden/>
          </w:rPr>
          <w:fldChar w:fldCharType="separate"/>
        </w:r>
        <w:r>
          <w:rPr>
            <w:noProof/>
            <w:webHidden/>
          </w:rPr>
          <w:t>46</w:t>
        </w:r>
        <w:r>
          <w:rPr>
            <w:noProof/>
            <w:webHidden/>
          </w:rPr>
          <w:fldChar w:fldCharType="end"/>
        </w:r>
      </w:hyperlink>
    </w:p>
    <w:p w14:paraId="5F9DA799" w14:textId="6EEF9137"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74" w:history="1">
        <w:r w:rsidRPr="00D860A3">
          <w:rPr>
            <w:rStyle w:val="Hyperlink"/>
            <w:noProof/>
          </w:rPr>
          <w:t>7.4. Theme 4. Transition pathways require continuity across systems</w:t>
        </w:r>
        <w:r>
          <w:rPr>
            <w:noProof/>
            <w:webHidden/>
          </w:rPr>
          <w:tab/>
        </w:r>
        <w:r>
          <w:rPr>
            <w:noProof/>
            <w:webHidden/>
          </w:rPr>
          <w:fldChar w:fldCharType="begin"/>
        </w:r>
        <w:r>
          <w:rPr>
            <w:noProof/>
            <w:webHidden/>
          </w:rPr>
          <w:instrText xml:space="preserve"> PAGEREF _Toc231220074 \h </w:instrText>
        </w:r>
        <w:r>
          <w:rPr>
            <w:noProof/>
            <w:webHidden/>
          </w:rPr>
        </w:r>
        <w:r>
          <w:rPr>
            <w:noProof/>
            <w:webHidden/>
          </w:rPr>
          <w:fldChar w:fldCharType="separate"/>
        </w:r>
        <w:r>
          <w:rPr>
            <w:noProof/>
            <w:webHidden/>
          </w:rPr>
          <w:t>46</w:t>
        </w:r>
        <w:r>
          <w:rPr>
            <w:noProof/>
            <w:webHidden/>
          </w:rPr>
          <w:fldChar w:fldCharType="end"/>
        </w:r>
      </w:hyperlink>
    </w:p>
    <w:p w14:paraId="3E339257" w14:textId="3B963054"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75" w:history="1">
        <w:r w:rsidRPr="00D860A3">
          <w:rPr>
            <w:rStyle w:val="Hyperlink"/>
            <w:noProof/>
          </w:rPr>
          <w:t>7.5. Theme 5. Job design, adjustments and support ‘dose’ distinguish placement from sustained participation</w:t>
        </w:r>
        <w:r>
          <w:rPr>
            <w:noProof/>
            <w:webHidden/>
          </w:rPr>
          <w:tab/>
        </w:r>
        <w:r>
          <w:rPr>
            <w:noProof/>
            <w:webHidden/>
          </w:rPr>
          <w:fldChar w:fldCharType="begin"/>
        </w:r>
        <w:r>
          <w:rPr>
            <w:noProof/>
            <w:webHidden/>
          </w:rPr>
          <w:instrText xml:space="preserve"> PAGEREF _Toc231220075 \h </w:instrText>
        </w:r>
        <w:r>
          <w:rPr>
            <w:noProof/>
            <w:webHidden/>
          </w:rPr>
        </w:r>
        <w:r>
          <w:rPr>
            <w:noProof/>
            <w:webHidden/>
          </w:rPr>
          <w:fldChar w:fldCharType="separate"/>
        </w:r>
        <w:r>
          <w:rPr>
            <w:noProof/>
            <w:webHidden/>
          </w:rPr>
          <w:t>47</w:t>
        </w:r>
        <w:r>
          <w:rPr>
            <w:noProof/>
            <w:webHidden/>
          </w:rPr>
          <w:fldChar w:fldCharType="end"/>
        </w:r>
      </w:hyperlink>
    </w:p>
    <w:p w14:paraId="5B81F3D0" w14:textId="3317A2F5"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76" w:history="1">
        <w:r w:rsidRPr="00D860A3">
          <w:rPr>
            <w:rStyle w:val="Hyperlink"/>
            <w:noProof/>
          </w:rPr>
          <w:t>7.6. Theme 6. Families’ priorities and risk assessments shape employment choices</w:t>
        </w:r>
        <w:r>
          <w:rPr>
            <w:noProof/>
            <w:webHidden/>
          </w:rPr>
          <w:tab/>
        </w:r>
        <w:r>
          <w:rPr>
            <w:noProof/>
            <w:webHidden/>
          </w:rPr>
          <w:fldChar w:fldCharType="begin"/>
        </w:r>
        <w:r>
          <w:rPr>
            <w:noProof/>
            <w:webHidden/>
          </w:rPr>
          <w:instrText xml:space="preserve"> PAGEREF _Toc231220076 \h </w:instrText>
        </w:r>
        <w:r>
          <w:rPr>
            <w:noProof/>
            <w:webHidden/>
          </w:rPr>
        </w:r>
        <w:r>
          <w:rPr>
            <w:noProof/>
            <w:webHidden/>
          </w:rPr>
          <w:fldChar w:fldCharType="separate"/>
        </w:r>
        <w:r>
          <w:rPr>
            <w:noProof/>
            <w:webHidden/>
          </w:rPr>
          <w:t>47</w:t>
        </w:r>
        <w:r>
          <w:rPr>
            <w:noProof/>
            <w:webHidden/>
          </w:rPr>
          <w:fldChar w:fldCharType="end"/>
        </w:r>
      </w:hyperlink>
    </w:p>
    <w:p w14:paraId="23735518" w14:textId="44973F13"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77" w:history="1">
        <w:r w:rsidRPr="00D860A3">
          <w:rPr>
            <w:rStyle w:val="Hyperlink"/>
            <w:noProof/>
          </w:rPr>
          <w:t>8.</w:t>
        </w:r>
        <w:r>
          <w:rPr>
            <w:rFonts w:asciiTheme="minorHAnsi" w:eastAsiaTheme="minorEastAsia" w:hAnsiTheme="minorHAnsi" w:cstheme="minorBidi"/>
            <w:b w:val="0"/>
            <w:noProof/>
            <w:color w:val="auto"/>
            <w:kern w:val="2"/>
            <w:lang w:eastAsia="en-GB"/>
            <w14:ligatures w14:val="standardContextual"/>
          </w:rPr>
          <w:tab/>
        </w:r>
        <w:r w:rsidRPr="00D860A3">
          <w:rPr>
            <w:rStyle w:val="Hyperlink"/>
            <w:noProof/>
          </w:rPr>
          <w:t>Transferability to the Australian context</w:t>
        </w:r>
        <w:r>
          <w:rPr>
            <w:noProof/>
            <w:webHidden/>
          </w:rPr>
          <w:tab/>
        </w:r>
        <w:r>
          <w:rPr>
            <w:noProof/>
            <w:webHidden/>
          </w:rPr>
          <w:fldChar w:fldCharType="begin"/>
        </w:r>
        <w:r>
          <w:rPr>
            <w:noProof/>
            <w:webHidden/>
          </w:rPr>
          <w:instrText xml:space="preserve"> PAGEREF _Toc231220077 \h </w:instrText>
        </w:r>
        <w:r>
          <w:rPr>
            <w:noProof/>
            <w:webHidden/>
          </w:rPr>
        </w:r>
        <w:r>
          <w:rPr>
            <w:noProof/>
            <w:webHidden/>
          </w:rPr>
          <w:fldChar w:fldCharType="separate"/>
        </w:r>
        <w:r>
          <w:rPr>
            <w:noProof/>
            <w:webHidden/>
          </w:rPr>
          <w:t>49</w:t>
        </w:r>
        <w:r>
          <w:rPr>
            <w:noProof/>
            <w:webHidden/>
          </w:rPr>
          <w:fldChar w:fldCharType="end"/>
        </w:r>
      </w:hyperlink>
    </w:p>
    <w:p w14:paraId="1A944E17" w14:textId="47FFBD8B"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78" w:history="1">
        <w:r w:rsidRPr="00D860A3">
          <w:rPr>
            <w:rStyle w:val="Hyperlink"/>
            <w:noProof/>
          </w:rPr>
          <w:t>8.1. Inclusion criteria for transferable evidence</w:t>
        </w:r>
        <w:r>
          <w:rPr>
            <w:noProof/>
            <w:webHidden/>
          </w:rPr>
          <w:tab/>
        </w:r>
        <w:r>
          <w:rPr>
            <w:noProof/>
            <w:webHidden/>
          </w:rPr>
          <w:fldChar w:fldCharType="begin"/>
        </w:r>
        <w:r>
          <w:rPr>
            <w:noProof/>
            <w:webHidden/>
          </w:rPr>
          <w:instrText xml:space="preserve"> PAGEREF _Toc231220078 \h </w:instrText>
        </w:r>
        <w:r>
          <w:rPr>
            <w:noProof/>
            <w:webHidden/>
          </w:rPr>
        </w:r>
        <w:r>
          <w:rPr>
            <w:noProof/>
            <w:webHidden/>
          </w:rPr>
          <w:fldChar w:fldCharType="separate"/>
        </w:r>
        <w:r>
          <w:rPr>
            <w:noProof/>
            <w:webHidden/>
          </w:rPr>
          <w:t>49</w:t>
        </w:r>
        <w:r>
          <w:rPr>
            <w:noProof/>
            <w:webHidden/>
          </w:rPr>
          <w:fldChar w:fldCharType="end"/>
        </w:r>
      </w:hyperlink>
    </w:p>
    <w:p w14:paraId="46849010" w14:textId="4E6A5C54"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79" w:history="1">
        <w:r w:rsidRPr="00D860A3">
          <w:rPr>
            <w:rStyle w:val="Hyperlink"/>
            <w:noProof/>
          </w:rPr>
          <w:t>8.2. Australian contextual factors influencing applicability</w:t>
        </w:r>
        <w:r>
          <w:rPr>
            <w:noProof/>
            <w:webHidden/>
          </w:rPr>
          <w:tab/>
        </w:r>
        <w:r>
          <w:rPr>
            <w:noProof/>
            <w:webHidden/>
          </w:rPr>
          <w:fldChar w:fldCharType="begin"/>
        </w:r>
        <w:r>
          <w:rPr>
            <w:noProof/>
            <w:webHidden/>
          </w:rPr>
          <w:instrText xml:space="preserve"> PAGEREF _Toc231220079 \h </w:instrText>
        </w:r>
        <w:r>
          <w:rPr>
            <w:noProof/>
            <w:webHidden/>
          </w:rPr>
        </w:r>
        <w:r>
          <w:rPr>
            <w:noProof/>
            <w:webHidden/>
          </w:rPr>
          <w:fldChar w:fldCharType="separate"/>
        </w:r>
        <w:r>
          <w:rPr>
            <w:noProof/>
            <w:webHidden/>
          </w:rPr>
          <w:t>49</w:t>
        </w:r>
        <w:r>
          <w:rPr>
            <w:noProof/>
            <w:webHidden/>
          </w:rPr>
          <w:fldChar w:fldCharType="end"/>
        </w:r>
      </w:hyperlink>
    </w:p>
    <w:p w14:paraId="66978921" w14:textId="77210CD0"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80" w:history="1">
        <w:r w:rsidRPr="00D860A3">
          <w:rPr>
            <w:rStyle w:val="Hyperlink"/>
            <w:noProof/>
          </w:rPr>
          <w:t>9.</w:t>
        </w:r>
        <w:r>
          <w:rPr>
            <w:rFonts w:asciiTheme="minorHAnsi" w:eastAsiaTheme="minorEastAsia" w:hAnsiTheme="minorHAnsi" w:cstheme="minorBidi"/>
            <w:b w:val="0"/>
            <w:noProof/>
            <w:color w:val="auto"/>
            <w:kern w:val="2"/>
            <w:lang w:eastAsia="en-GB"/>
            <w14:ligatures w14:val="standardContextual"/>
          </w:rPr>
          <w:tab/>
        </w:r>
        <w:r w:rsidRPr="00D860A3">
          <w:rPr>
            <w:rStyle w:val="Hyperlink"/>
            <w:noProof/>
          </w:rPr>
          <w:t>Limitations</w:t>
        </w:r>
        <w:r>
          <w:rPr>
            <w:noProof/>
            <w:webHidden/>
          </w:rPr>
          <w:tab/>
        </w:r>
        <w:r>
          <w:rPr>
            <w:noProof/>
            <w:webHidden/>
          </w:rPr>
          <w:fldChar w:fldCharType="begin"/>
        </w:r>
        <w:r>
          <w:rPr>
            <w:noProof/>
            <w:webHidden/>
          </w:rPr>
          <w:instrText xml:space="preserve"> PAGEREF _Toc231220080 \h </w:instrText>
        </w:r>
        <w:r>
          <w:rPr>
            <w:noProof/>
            <w:webHidden/>
          </w:rPr>
        </w:r>
        <w:r>
          <w:rPr>
            <w:noProof/>
            <w:webHidden/>
          </w:rPr>
          <w:fldChar w:fldCharType="separate"/>
        </w:r>
        <w:r>
          <w:rPr>
            <w:noProof/>
            <w:webHidden/>
          </w:rPr>
          <w:t>52</w:t>
        </w:r>
        <w:r>
          <w:rPr>
            <w:noProof/>
            <w:webHidden/>
          </w:rPr>
          <w:fldChar w:fldCharType="end"/>
        </w:r>
      </w:hyperlink>
    </w:p>
    <w:p w14:paraId="5E74B697" w14:textId="6835E0AD"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81" w:history="1">
        <w:r w:rsidRPr="00D860A3">
          <w:rPr>
            <w:rStyle w:val="Hyperlink"/>
            <w:noProof/>
          </w:rPr>
          <w:t>10.</w:t>
        </w:r>
        <w:r>
          <w:rPr>
            <w:rFonts w:asciiTheme="minorHAnsi" w:eastAsiaTheme="minorEastAsia" w:hAnsiTheme="minorHAnsi" w:cstheme="minorBidi"/>
            <w:b w:val="0"/>
            <w:noProof/>
            <w:color w:val="auto"/>
            <w:kern w:val="2"/>
            <w:lang w:eastAsia="en-GB"/>
            <w14:ligatures w14:val="standardContextual"/>
          </w:rPr>
          <w:tab/>
        </w:r>
        <w:r w:rsidRPr="00D860A3">
          <w:rPr>
            <w:rStyle w:val="Hyperlink"/>
            <w:noProof/>
          </w:rPr>
          <w:t>Implications and recommendations</w:t>
        </w:r>
        <w:r>
          <w:rPr>
            <w:noProof/>
            <w:webHidden/>
          </w:rPr>
          <w:tab/>
        </w:r>
        <w:r>
          <w:rPr>
            <w:noProof/>
            <w:webHidden/>
          </w:rPr>
          <w:fldChar w:fldCharType="begin"/>
        </w:r>
        <w:r>
          <w:rPr>
            <w:noProof/>
            <w:webHidden/>
          </w:rPr>
          <w:instrText xml:space="preserve"> PAGEREF _Toc231220081 \h </w:instrText>
        </w:r>
        <w:r>
          <w:rPr>
            <w:noProof/>
            <w:webHidden/>
          </w:rPr>
        </w:r>
        <w:r>
          <w:rPr>
            <w:noProof/>
            <w:webHidden/>
          </w:rPr>
          <w:fldChar w:fldCharType="separate"/>
        </w:r>
        <w:r>
          <w:rPr>
            <w:noProof/>
            <w:webHidden/>
          </w:rPr>
          <w:t>52</w:t>
        </w:r>
        <w:r>
          <w:rPr>
            <w:noProof/>
            <w:webHidden/>
          </w:rPr>
          <w:fldChar w:fldCharType="end"/>
        </w:r>
      </w:hyperlink>
    </w:p>
    <w:p w14:paraId="3E8DA582" w14:textId="763372BB"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82" w:history="1">
        <w:r w:rsidRPr="00D860A3">
          <w:rPr>
            <w:rStyle w:val="Hyperlink"/>
            <w:noProof/>
          </w:rPr>
          <w:t>10.1. Inclusive Employment Australia pathway: strengthen the ‘Place-Train-Maintain’ functions</w:t>
        </w:r>
        <w:r>
          <w:rPr>
            <w:noProof/>
            <w:webHidden/>
          </w:rPr>
          <w:tab/>
        </w:r>
        <w:r>
          <w:rPr>
            <w:noProof/>
            <w:webHidden/>
          </w:rPr>
          <w:fldChar w:fldCharType="begin"/>
        </w:r>
        <w:r>
          <w:rPr>
            <w:noProof/>
            <w:webHidden/>
          </w:rPr>
          <w:instrText xml:space="preserve"> PAGEREF _Toc231220082 \h </w:instrText>
        </w:r>
        <w:r>
          <w:rPr>
            <w:noProof/>
            <w:webHidden/>
          </w:rPr>
        </w:r>
        <w:r>
          <w:rPr>
            <w:noProof/>
            <w:webHidden/>
          </w:rPr>
          <w:fldChar w:fldCharType="separate"/>
        </w:r>
        <w:r>
          <w:rPr>
            <w:noProof/>
            <w:webHidden/>
          </w:rPr>
          <w:t>53</w:t>
        </w:r>
        <w:r>
          <w:rPr>
            <w:noProof/>
            <w:webHidden/>
          </w:rPr>
          <w:fldChar w:fldCharType="end"/>
        </w:r>
      </w:hyperlink>
    </w:p>
    <w:p w14:paraId="5B134038" w14:textId="65C81357"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83" w:history="1">
        <w:r w:rsidRPr="00D860A3">
          <w:rPr>
            <w:rStyle w:val="Hyperlink"/>
            <w:noProof/>
          </w:rPr>
          <w:t>10.2. NDIS/employment readiness programmes pathway: resource intensity, continuity and enabling supports</w:t>
        </w:r>
        <w:r>
          <w:rPr>
            <w:noProof/>
            <w:webHidden/>
          </w:rPr>
          <w:tab/>
        </w:r>
        <w:r>
          <w:rPr>
            <w:noProof/>
            <w:webHidden/>
          </w:rPr>
          <w:fldChar w:fldCharType="begin"/>
        </w:r>
        <w:r>
          <w:rPr>
            <w:noProof/>
            <w:webHidden/>
          </w:rPr>
          <w:instrText xml:space="preserve"> PAGEREF _Toc231220083 \h </w:instrText>
        </w:r>
        <w:r>
          <w:rPr>
            <w:noProof/>
            <w:webHidden/>
          </w:rPr>
        </w:r>
        <w:r>
          <w:rPr>
            <w:noProof/>
            <w:webHidden/>
          </w:rPr>
          <w:fldChar w:fldCharType="separate"/>
        </w:r>
        <w:r>
          <w:rPr>
            <w:noProof/>
            <w:webHidden/>
          </w:rPr>
          <w:t>54</w:t>
        </w:r>
        <w:r>
          <w:rPr>
            <w:noProof/>
            <w:webHidden/>
          </w:rPr>
          <w:fldChar w:fldCharType="end"/>
        </w:r>
      </w:hyperlink>
    </w:p>
    <w:p w14:paraId="0C9395F0" w14:textId="1D3D7093"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84" w:history="1">
        <w:r w:rsidRPr="00D860A3">
          <w:rPr>
            <w:rStyle w:val="Hyperlink"/>
            <w:noProof/>
          </w:rPr>
          <w:t>10.3. Transition ecosystem pathway: build local networks that generate opportunities</w:t>
        </w:r>
        <w:r>
          <w:rPr>
            <w:noProof/>
            <w:webHidden/>
          </w:rPr>
          <w:tab/>
        </w:r>
        <w:r>
          <w:rPr>
            <w:noProof/>
            <w:webHidden/>
          </w:rPr>
          <w:fldChar w:fldCharType="begin"/>
        </w:r>
        <w:r>
          <w:rPr>
            <w:noProof/>
            <w:webHidden/>
          </w:rPr>
          <w:instrText xml:space="preserve"> PAGEREF _Toc231220084 \h </w:instrText>
        </w:r>
        <w:r>
          <w:rPr>
            <w:noProof/>
            <w:webHidden/>
          </w:rPr>
        </w:r>
        <w:r>
          <w:rPr>
            <w:noProof/>
            <w:webHidden/>
          </w:rPr>
          <w:fldChar w:fldCharType="separate"/>
        </w:r>
        <w:r>
          <w:rPr>
            <w:noProof/>
            <w:webHidden/>
          </w:rPr>
          <w:t>55</w:t>
        </w:r>
        <w:r>
          <w:rPr>
            <w:noProof/>
            <w:webHidden/>
          </w:rPr>
          <w:fldChar w:fldCharType="end"/>
        </w:r>
      </w:hyperlink>
    </w:p>
    <w:p w14:paraId="14EBD9C1" w14:textId="7F97286F"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85" w:history="1">
        <w:r w:rsidRPr="00D860A3">
          <w:rPr>
            <w:rStyle w:val="Hyperlink"/>
            <w:noProof/>
          </w:rPr>
          <w:t>10.4. Employer-job design pathway: reduce mismatch &amp; expand job quality</w:t>
        </w:r>
        <w:r>
          <w:rPr>
            <w:noProof/>
            <w:webHidden/>
          </w:rPr>
          <w:tab/>
        </w:r>
        <w:r>
          <w:rPr>
            <w:noProof/>
            <w:webHidden/>
          </w:rPr>
          <w:fldChar w:fldCharType="begin"/>
        </w:r>
        <w:r>
          <w:rPr>
            <w:noProof/>
            <w:webHidden/>
          </w:rPr>
          <w:instrText xml:space="preserve"> PAGEREF _Toc231220085 \h </w:instrText>
        </w:r>
        <w:r>
          <w:rPr>
            <w:noProof/>
            <w:webHidden/>
          </w:rPr>
        </w:r>
        <w:r>
          <w:rPr>
            <w:noProof/>
            <w:webHidden/>
          </w:rPr>
          <w:fldChar w:fldCharType="separate"/>
        </w:r>
        <w:r>
          <w:rPr>
            <w:noProof/>
            <w:webHidden/>
          </w:rPr>
          <w:t>55</w:t>
        </w:r>
        <w:r>
          <w:rPr>
            <w:noProof/>
            <w:webHidden/>
          </w:rPr>
          <w:fldChar w:fldCharType="end"/>
        </w:r>
      </w:hyperlink>
    </w:p>
    <w:p w14:paraId="370D721E" w14:textId="76614EA8"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86" w:history="1">
        <w:r w:rsidRPr="00D860A3">
          <w:rPr>
            <w:rStyle w:val="Hyperlink"/>
            <w:noProof/>
          </w:rPr>
          <w:t>10.5. Retention and advancement pathway: follow-along, re-intensification and career progression</w:t>
        </w:r>
        <w:r>
          <w:rPr>
            <w:noProof/>
            <w:webHidden/>
          </w:rPr>
          <w:tab/>
        </w:r>
        <w:r>
          <w:rPr>
            <w:noProof/>
            <w:webHidden/>
          </w:rPr>
          <w:fldChar w:fldCharType="begin"/>
        </w:r>
        <w:r>
          <w:rPr>
            <w:noProof/>
            <w:webHidden/>
          </w:rPr>
          <w:instrText xml:space="preserve"> PAGEREF _Toc231220086 \h </w:instrText>
        </w:r>
        <w:r>
          <w:rPr>
            <w:noProof/>
            <w:webHidden/>
          </w:rPr>
        </w:r>
        <w:r>
          <w:rPr>
            <w:noProof/>
            <w:webHidden/>
          </w:rPr>
          <w:fldChar w:fldCharType="separate"/>
        </w:r>
        <w:r>
          <w:rPr>
            <w:noProof/>
            <w:webHidden/>
          </w:rPr>
          <w:t>56</w:t>
        </w:r>
        <w:r>
          <w:rPr>
            <w:noProof/>
            <w:webHidden/>
          </w:rPr>
          <w:fldChar w:fldCharType="end"/>
        </w:r>
      </w:hyperlink>
    </w:p>
    <w:p w14:paraId="19DFBACC" w14:textId="1ADE2628"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87" w:history="1">
        <w:r w:rsidRPr="00D860A3">
          <w:rPr>
            <w:rStyle w:val="Hyperlink"/>
            <w:noProof/>
          </w:rPr>
          <w:t>10.6. Research propositions for future evaluation</w:t>
        </w:r>
        <w:r>
          <w:rPr>
            <w:noProof/>
            <w:webHidden/>
          </w:rPr>
          <w:tab/>
        </w:r>
        <w:r>
          <w:rPr>
            <w:noProof/>
            <w:webHidden/>
          </w:rPr>
          <w:fldChar w:fldCharType="begin"/>
        </w:r>
        <w:r>
          <w:rPr>
            <w:noProof/>
            <w:webHidden/>
          </w:rPr>
          <w:instrText xml:space="preserve"> PAGEREF _Toc231220087 \h </w:instrText>
        </w:r>
        <w:r>
          <w:rPr>
            <w:noProof/>
            <w:webHidden/>
          </w:rPr>
        </w:r>
        <w:r>
          <w:rPr>
            <w:noProof/>
            <w:webHidden/>
          </w:rPr>
          <w:fldChar w:fldCharType="separate"/>
        </w:r>
        <w:r>
          <w:rPr>
            <w:noProof/>
            <w:webHidden/>
          </w:rPr>
          <w:t>56</w:t>
        </w:r>
        <w:r>
          <w:rPr>
            <w:noProof/>
            <w:webHidden/>
          </w:rPr>
          <w:fldChar w:fldCharType="end"/>
        </w:r>
      </w:hyperlink>
    </w:p>
    <w:p w14:paraId="370DEC0B" w14:textId="2D80EA18"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88" w:history="1">
        <w:r w:rsidRPr="00D860A3">
          <w:rPr>
            <w:rStyle w:val="Hyperlink"/>
            <w:noProof/>
          </w:rPr>
          <w:t>Acknowledgement</w:t>
        </w:r>
        <w:r>
          <w:rPr>
            <w:noProof/>
            <w:webHidden/>
          </w:rPr>
          <w:tab/>
        </w:r>
        <w:r>
          <w:rPr>
            <w:noProof/>
            <w:webHidden/>
          </w:rPr>
          <w:fldChar w:fldCharType="begin"/>
        </w:r>
        <w:r>
          <w:rPr>
            <w:noProof/>
            <w:webHidden/>
          </w:rPr>
          <w:instrText xml:space="preserve"> PAGEREF _Toc231220088 \h </w:instrText>
        </w:r>
        <w:r>
          <w:rPr>
            <w:noProof/>
            <w:webHidden/>
          </w:rPr>
        </w:r>
        <w:r>
          <w:rPr>
            <w:noProof/>
            <w:webHidden/>
          </w:rPr>
          <w:fldChar w:fldCharType="separate"/>
        </w:r>
        <w:r>
          <w:rPr>
            <w:noProof/>
            <w:webHidden/>
          </w:rPr>
          <w:t>58</w:t>
        </w:r>
        <w:r>
          <w:rPr>
            <w:noProof/>
            <w:webHidden/>
          </w:rPr>
          <w:fldChar w:fldCharType="end"/>
        </w:r>
      </w:hyperlink>
    </w:p>
    <w:p w14:paraId="2C2523DC" w14:textId="5EB67B79"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089" w:history="1">
        <w:r w:rsidRPr="00D860A3">
          <w:rPr>
            <w:rStyle w:val="Hyperlink"/>
            <w:noProof/>
          </w:rPr>
          <w:t>Appendices</w:t>
        </w:r>
        <w:r>
          <w:rPr>
            <w:noProof/>
            <w:webHidden/>
          </w:rPr>
          <w:tab/>
        </w:r>
        <w:r>
          <w:rPr>
            <w:noProof/>
            <w:webHidden/>
          </w:rPr>
          <w:fldChar w:fldCharType="begin"/>
        </w:r>
        <w:r>
          <w:rPr>
            <w:noProof/>
            <w:webHidden/>
          </w:rPr>
          <w:instrText xml:space="preserve"> PAGEREF _Toc231220089 \h </w:instrText>
        </w:r>
        <w:r>
          <w:rPr>
            <w:noProof/>
            <w:webHidden/>
          </w:rPr>
        </w:r>
        <w:r>
          <w:rPr>
            <w:noProof/>
            <w:webHidden/>
          </w:rPr>
          <w:fldChar w:fldCharType="separate"/>
        </w:r>
        <w:r>
          <w:rPr>
            <w:noProof/>
            <w:webHidden/>
          </w:rPr>
          <w:t>58</w:t>
        </w:r>
        <w:r>
          <w:rPr>
            <w:noProof/>
            <w:webHidden/>
          </w:rPr>
          <w:fldChar w:fldCharType="end"/>
        </w:r>
      </w:hyperlink>
    </w:p>
    <w:p w14:paraId="27DD7BCD" w14:textId="6B08F72A"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90" w:history="1">
        <w:r w:rsidRPr="00D860A3">
          <w:rPr>
            <w:rStyle w:val="Hyperlink"/>
            <w:noProof/>
          </w:rPr>
          <w:t>Appendix A.</w:t>
        </w:r>
        <w:r>
          <w:rPr>
            <w:noProof/>
            <w:webHidden/>
          </w:rPr>
          <w:tab/>
        </w:r>
        <w:r>
          <w:rPr>
            <w:noProof/>
            <w:webHidden/>
          </w:rPr>
          <w:fldChar w:fldCharType="begin"/>
        </w:r>
        <w:r>
          <w:rPr>
            <w:noProof/>
            <w:webHidden/>
          </w:rPr>
          <w:instrText xml:space="preserve"> PAGEREF _Toc231220090 \h </w:instrText>
        </w:r>
        <w:r>
          <w:rPr>
            <w:noProof/>
            <w:webHidden/>
          </w:rPr>
        </w:r>
        <w:r>
          <w:rPr>
            <w:noProof/>
            <w:webHidden/>
          </w:rPr>
          <w:fldChar w:fldCharType="separate"/>
        </w:r>
        <w:r>
          <w:rPr>
            <w:noProof/>
            <w:webHidden/>
          </w:rPr>
          <w:t>59</w:t>
        </w:r>
        <w:r>
          <w:rPr>
            <w:noProof/>
            <w:webHidden/>
          </w:rPr>
          <w:fldChar w:fldCharType="end"/>
        </w:r>
      </w:hyperlink>
    </w:p>
    <w:p w14:paraId="76E328E2" w14:textId="3ECA587F"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91" w:history="1">
        <w:r w:rsidRPr="00D860A3">
          <w:rPr>
            <w:rStyle w:val="Hyperlink"/>
            <w:noProof/>
          </w:rPr>
          <w:t>Appendix B. Initial search strategy and database results (August-October 2025)</w:t>
        </w:r>
        <w:r>
          <w:rPr>
            <w:noProof/>
            <w:webHidden/>
          </w:rPr>
          <w:tab/>
        </w:r>
        <w:r>
          <w:rPr>
            <w:noProof/>
            <w:webHidden/>
          </w:rPr>
          <w:fldChar w:fldCharType="begin"/>
        </w:r>
        <w:r>
          <w:rPr>
            <w:noProof/>
            <w:webHidden/>
          </w:rPr>
          <w:instrText xml:space="preserve"> PAGEREF _Toc231220091 \h </w:instrText>
        </w:r>
        <w:r>
          <w:rPr>
            <w:noProof/>
            <w:webHidden/>
          </w:rPr>
        </w:r>
        <w:r>
          <w:rPr>
            <w:noProof/>
            <w:webHidden/>
          </w:rPr>
          <w:fldChar w:fldCharType="separate"/>
        </w:r>
        <w:r>
          <w:rPr>
            <w:noProof/>
            <w:webHidden/>
          </w:rPr>
          <w:t>60</w:t>
        </w:r>
        <w:r>
          <w:rPr>
            <w:noProof/>
            <w:webHidden/>
          </w:rPr>
          <w:fldChar w:fldCharType="end"/>
        </w:r>
      </w:hyperlink>
    </w:p>
    <w:p w14:paraId="03A455E6" w14:textId="0A826C4C"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92" w:history="1">
        <w:r w:rsidRPr="00D860A3">
          <w:rPr>
            <w:rStyle w:val="Hyperlink"/>
            <w:noProof/>
          </w:rPr>
          <w:t>Appendix C. Supplementary search strategy and vocational training focus (October 2025)</w:t>
        </w:r>
        <w:r>
          <w:rPr>
            <w:noProof/>
            <w:webHidden/>
          </w:rPr>
          <w:tab/>
        </w:r>
        <w:r>
          <w:rPr>
            <w:noProof/>
            <w:webHidden/>
          </w:rPr>
          <w:fldChar w:fldCharType="begin"/>
        </w:r>
        <w:r>
          <w:rPr>
            <w:noProof/>
            <w:webHidden/>
          </w:rPr>
          <w:instrText xml:space="preserve"> PAGEREF _Toc231220092 \h </w:instrText>
        </w:r>
        <w:r>
          <w:rPr>
            <w:noProof/>
            <w:webHidden/>
          </w:rPr>
        </w:r>
        <w:r>
          <w:rPr>
            <w:noProof/>
            <w:webHidden/>
          </w:rPr>
          <w:fldChar w:fldCharType="separate"/>
        </w:r>
        <w:r>
          <w:rPr>
            <w:noProof/>
            <w:webHidden/>
          </w:rPr>
          <w:t>66</w:t>
        </w:r>
        <w:r>
          <w:rPr>
            <w:noProof/>
            <w:webHidden/>
          </w:rPr>
          <w:fldChar w:fldCharType="end"/>
        </w:r>
      </w:hyperlink>
    </w:p>
    <w:p w14:paraId="52800C54" w14:textId="22A85853"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93" w:history="1">
        <w:r w:rsidRPr="00D860A3">
          <w:rPr>
            <w:rStyle w:val="Hyperlink"/>
            <w:noProof/>
          </w:rPr>
          <w:t>Appendix D. PRISMA 2020 flow diagram</w:t>
        </w:r>
        <w:r>
          <w:rPr>
            <w:noProof/>
            <w:webHidden/>
          </w:rPr>
          <w:tab/>
        </w:r>
        <w:r>
          <w:rPr>
            <w:noProof/>
            <w:webHidden/>
          </w:rPr>
          <w:fldChar w:fldCharType="begin"/>
        </w:r>
        <w:r>
          <w:rPr>
            <w:noProof/>
            <w:webHidden/>
          </w:rPr>
          <w:instrText xml:space="preserve"> PAGEREF _Toc231220093 \h </w:instrText>
        </w:r>
        <w:r>
          <w:rPr>
            <w:noProof/>
            <w:webHidden/>
          </w:rPr>
        </w:r>
        <w:r>
          <w:rPr>
            <w:noProof/>
            <w:webHidden/>
          </w:rPr>
          <w:fldChar w:fldCharType="separate"/>
        </w:r>
        <w:r>
          <w:rPr>
            <w:noProof/>
            <w:webHidden/>
          </w:rPr>
          <w:t>73</w:t>
        </w:r>
        <w:r>
          <w:rPr>
            <w:noProof/>
            <w:webHidden/>
          </w:rPr>
          <w:fldChar w:fldCharType="end"/>
        </w:r>
      </w:hyperlink>
    </w:p>
    <w:p w14:paraId="1565E010" w14:textId="576F6C35"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94" w:history="1">
        <w:r w:rsidRPr="00D860A3">
          <w:rPr>
            <w:rStyle w:val="Hyperlink"/>
            <w:noProof/>
          </w:rPr>
          <w:t>Appendix E. Extraction domains and template fields</w:t>
        </w:r>
        <w:r>
          <w:rPr>
            <w:noProof/>
            <w:webHidden/>
          </w:rPr>
          <w:tab/>
        </w:r>
        <w:r>
          <w:rPr>
            <w:noProof/>
            <w:webHidden/>
          </w:rPr>
          <w:fldChar w:fldCharType="begin"/>
        </w:r>
        <w:r>
          <w:rPr>
            <w:noProof/>
            <w:webHidden/>
          </w:rPr>
          <w:instrText xml:space="preserve"> PAGEREF _Toc231220094 \h </w:instrText>
        </w:r>
        <w:r>
          <w:rPr>
            <w:noProof/>
            <w:webHidden/>
          </w:rPr>
        </w:r>
        <w:r>
          <w:rPr>
            <w:noProof/>
            <w:webHidden/>
          </w:rPr>
          <w:fldChar w:fldCharType="separate"/>
        </w:r>
        <w:r>
          <w:rPr>
            <w:noProof/>
            <w:webHidden/>
          </w:rPr>
          <w:t>74</w:t>
        </w:r>
        <w:r>
          <w:rPr>
            <w:noProof/>
            <w:webHidden/>
          </w:rPr>
          <w:fldChar w:fldCharType="end"/>
        </w:r>
      </w:hyperlink>
    </w:p>
    <w:p w14:paraId="00518EB9" w14:textId="08564E99"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95" w:history="1">
        <w:r w:rsidRPr="00D860A3">
          <w:rPr>
            <w:rStyle w:val="Hyperlink"/>
            <w:noProof/>
          </w:rPr>
          <w:t>Appendix F. Included systematic reviews and primary studies</w:t>
        </w:r>
        <w:r>
          <w:rPr>
            <w:noProof/>
            <w:webHidden/>
          </w:rPr>
          <w:tab/>
        </w:r>
        <w:r>
          <w:rPr>
            <w:noProof/>
            <w:webHidden/>
          </w:rPr>
          <w:fldChar w:fldCharType="begin"/>
        </w:r>
        <w:r>
          <w:rPr>
            <w:noProof/>
            <w:webHidden/>
          </w:rPr>
          <w:instrText xml:space="preserve"> PAGEREF _Toc231220095 \h </w:instrText>
        </w:r>
        <w:r>
          <w:rPr>
            <w:noProof/>
            <w:webHidden/>
          </w:rPr>
        </w:r>
        <w:r>
          <w:rPr>
            <w:noProof/>
            <w:webHidden/>
          </w:rPr>
          <w:fldChar w:fldCharType="separate"/>
        </w:r>
        <w:r>
          <w:rPr>
            <w:noProof/>
            <w:webHidden/>
          </w:rPr>
          <w:t>76</w:t>
        </w:r>
        <w:r>
          <w:rPr>
            <w:noProof/>
            <w:webHidden/>
          </w:rPr>
          <w:fldChar w:fldCharType="end"/>
        </w:r>
      </w:hyperlink>
    </w:p>
    <w:p w14:paraId="53DCF891" w14:textId="34E11BE6"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96" w:history="1">
        <w:r w:rsidRPr="00D860A3">
          <w:rPr>
            <w:rStyle w:val="Hyperlink"/>
            <w:noProof/>
          </w:rPr>
          <w:t>Appendix G. Appraisal tools and certainty assessment frameworks</w:t>
        </w:r>
        <w:r>
          <w:rPr>
            <w:noProof/>
            <w:webHidden/>
          </w:rPr>
          <w:tab/>
        </w:r>
        <w:r>
          <w:rPr>
            <w:noProof/>
            <w:webHidden/>
          </w:rPr>
          <w:fldChar w:fldCharType="begin"/>
        </w:r>
        <w:r>
          <w:rPr>
            <w:noProof/>
            <w:webHidden/>
          </w:rPr>
          <w:instrText xml:space="preserve"> PAGEREF _Toc231220096 \h </w:instrText>
        </w:r>
        <w:r>
          <w:rPr>
            <w:noProof/>
            <w:webHidden/>
          </w:rPr>
        </w:r>
        <w:r>
          <w:rPr>
            <w:noProof/>
            <w:webHidden/>
          </w:rPr>
          <w:fldChar w:fldCharType="separate"/>
        </w:r>
        <w:r>
          <w:rPr>
            <w:noProof/>
            <w:webHidden/>
          </w:rPr>
          <w:t>81</w:t>
        </w:r>
        <w:r>
          <w:rPr>
            <w:noProof/>
            <w:webHidden/>
          </w:rPr>
          <w:fldChar w:fldCharType="end"/>
        </w:r>
      </w:hyperlink>
    </w:p>
    <w:p w14:paraId="5F38B6B4" w14:textId="5C898E27"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97" w:history="1">
        <w:r w:rsidRPr="00D860A3">
          <w:rPr>
            <w:rStyle w:val="Hyperlink"/>
            <w:noProof/>
          </w:rPr>
          <w:t>Appendix H. Transferability to the Australian context: assessment rubric</w:t>
        </w:r>
        <w:r>
          <w:rPr>
            <w:noProof/>
            <w:webHidden/>
          </w:rPr>
          <w:tab/>
        </w:r>
        <w:r>
          <w:rPr>
            <w:noProof/>
            <w:webHidden/>
          </w:rPr>
          <w:fldChar w:fldCharType="begin"/>
        </w:r>
        <w:r>
          <w:rPr>
            <w:noProof/>
            <w:webHidden/>
          </w:rPr>
          <w:instrText xml:space="preserve"> PAGEREF _Toc231220097 \h </w:instrText>
        </w:r>
        <w:r>
          <w:rPr>
            <w:noProof/>
            <w:webHidden/>
          </w:rPr>
        </w:r>
        <w:r>
          <w:rPr>
            <w:noProof/>
            <w:webHidden/>
          </w:rPr>
          <w:fldChar w:fldCharType="separate"/>
        </w:r>
        <w:r>
          <w:rPr>
            <w:noProof/>
            <w:webHidden/>
          </w:rPr>
          <w:t>83</w:t>
        </w:r>
        <w:r>
          <w:rPr>
            <w:noProof/>
            <w:webHidden/>
          </w:rPr>
          <w:fldChar w:fldCharType="end"/>
        </w:r>
      </w:hyperlink>
    </w:p>
    <w:p w14:paraId="1DC6126D" w14:textId="63E2CF4E"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98" w:history="1">
        <w:r w:rsidRPr="00D860A3">
          <w:rPr>
            <w:rStyle w:val="Hyperlink"/>
            <w:noProof/>
          </w:rPr>
          <w:t>Appendix I. Coding rules for transition-to-work studies</w:t>
        </w:r>
        <w:r>
          <w:rPr>
            <w:noProof/>
            <w:webHidden/>
          </w:rPr>
          <w:tab/>
        </w:r>
        <w:r>
          <w:rPr>
            <w:noProof/>
            <w:webHidden/>
          </w:rPr>
          <w:fldChar w:fldCharType="begin"/>
        </w:r>
        <w:r>
          <w:rPr>
            <w:noProof/>
            <w:webHidden/>
          </w:rPr>
          <w:instrText xml:space="preserve"> PAGEREF _Toc231220098 \h </w:instrText>
        </w:r>
        <w:r>
          <w:rPr>
            <w:noProof/>
            <w:webHidden/>
          </w:rPr>
        </w:r>
        <w:r>
          <w:rPr>
            <w:noProof/>
            <w:webHidden/>
          </w:rPr>
          <w:fldChar w:fldCharType="separate"/>
        </w:r>
        <w:r>
          <w:rPr>
            <w:noProof/>
            <w:webHidden/>
          </w:rPr>
          <w:t>85</w:t>
        </w:r>
        <w:r>
          <w:rPr>
            <w:noProof/>
            <w:webHidden/>
          </w:rPr>
          <w:fldChar w:fldCharType="end"/>
        </w:r>
      </w:hyperlink>
    </w:p>
    <w:p w14:paraId="52BD9CD0" w14:textId="69AEAA04" w:rsidR="00807628" w:rsidRDefault="00807628">
      <w:pPr>
        <w:pStyle w:val="TOC2"/>
        <w:rPr>
          <w:rFonts w:asciiTheme="minorHAnsi" w:eastAsiaTheme="minorEastAsia" w:hAnsiTheme="minorHAnsi" w:cstheme="minorBidi"/>
          <w:noProof/>
          <w:color w:val="auto"/>
          <w:kern w:val="2"/>
          <w:lang w:eastAsia="en-GB"/>
          <w14:ligatures w14:val="standardContextual"/>
        </w:rPr>
      </w:pPr>
      <w:hyperlink w:anchor="_Toc231220099" w:history="1">
        <w:r w:rsidRPr="00D860A3">
          <w:rPr>
            <w:rStyle w:val="Hyperlink"/>
            <w:noProof/>
          </w:rPr>
          <w:t>Appendix J. Historical and policy milestones relevant to open employment/CIE in Australia</w:t>
        </w:r>
        <w:r>
          <w:rPr>
            <w:noProof/>
            <w:webHidden/>
          </w:rPr>
          <w:tab/>
        </w:r>
        <w:r>
          <w:rPr>
            <w:noProof/>
            <w:webHidden/>
          </w:rPr>
          <w:fldChar w:fldCharType="begin"/>
        </w:r>
        <w:r>
          <w:rPr>
            <w:noProof/>
            <w:webHidden/>
          </w:rPr>
          <w:instrText xml:space="preserve"> PAGEREF _Toc231220099 \h </w:instrText>
        </w:r>
        <w:r>
          <w:rPr>
            <w:noProof/>
            <w:webHidden/>
          </w:rPr>
        </w:r>
        <w:r>
          <w:rPr>
            <w:noProof/>
            <w:webHidden/>
          </w:rPr>
          <w:fldChar w:fldCharType="separate"/>
        </w:r>
        <w:r>
          <w:rPr>
            <w:noProof/>
            <w:webHidden/>
          </w:rPr>
          <w:t>86</w:t>
        </w:r>
        <w:r>
          <w:rPr>
            <w:noProof/>
            <w:webHidden/>
          </w:rPr>
          <w:fldChar w:fldCharType="end"/>
        </w:r>
      </w:hyperlink>
    </w:p>
    <w:p w14:paraId="4F35C0C3" w14:textId="34BA6D00" w:rsidR="00807628" w:rsidRDefault="00807628">
      <w:pPr>
        <w:pStyle w:val="TOC1"/>
        <w:rPr>
          <w:rFonts w:asciiTheme="minorHAnsi" w:eastAsiaTheme="minorEastAsia" w:hAnsiTheme="minorHAnsi" w:cstheme="minorBidi"/>
          <w:b w:val="0"/>
          <w:noProof/>
          <w:color w:val="auto"/>
          <w:kern w:val="2"/>
          <w:lang w:eastAsia="en-GB"/>
          <w14:ligatures w14:val="standardContextual"/>
        </w:rPr>
      </w:pPr>
      <w:hyperlink w:anchor="_Toc231220100" w:history="1">
        <w:r w:rsidRPr="00D860A3">
          <w:rPr>
            <w:rStyle w:val="Hyperlink"/>
            <w:noProof/>
          </w:rPr>
          <w:t>References</w:t>
        </w:r>
        <w:r>
          <w:rPr>
            <w:noProof/>
            <w:webHidden/>
          </w:rPr>
          <w:tab/>
        </w:r>
        <w:r>
          <w:rPr>
            <w:noProof/>
            <w:webHidden/>
          </w:rPr>
          <w:fldChar w:fldCharType="begin"/>
        </w:r>
        <w:r>
          <w:rPr>
            <w:noProof/>
            <w:webHidden/>
          </w:rPr>
          <w:instrText xml:space="preserve"> PAGEREF _Toc231220100 \h </w:instrText>
        </w:r>
        <w:r>
          <w:rPr>
            <w:noProof/>
            <w:webHidden/>
          </w:rPr>
        </w:r>
        <w:r>
          <w:rPr>
            <w:noProof/>
            <w:webHidden/>
          </w:rPr>
          <w:fldChar w:fldCharType="separate"/>
        </w:r>
        <w:r>
          <w:rPr>
            <w:noProof/>
            <w:webHidden/>
          </w:rPr>
          <w:t>88</w:t>
        </w:r>
        <w:r>
          <w:rPr>
            <w:noProof/>
            <w:webHidden/>
          </w:rPr>
          <w:fldChar w:fldCharType="end"/>
        </w:r>
      </w:hyperlink>
    </w:p>
    <w:p w14:paraId="27DCAAD5" w14:textId="5C30D394" w:rsidR="00D0002F" w:rsidRPr="00ED411B" w:rsidRDefault="002C79AC" w:rsidP="00D0002F">
      <w:r>
        <w:rPr>
          <w:b/>
        </w:rPr>
        <w:fldChar w:fldCharType="end"/>
      </w:r>
      <w:r w:rsidR="00D0002F" w:rsidRPr="00ED411B">
        <w:br w:type="page"/>
      </w:r>
    </w:p>
    <w:p w14:paraId="2AB66864" w14:textId="77777777" w:rsidR="00D0002F" w:rsidRPr="00ED411B" w:rsidRDefault="00D0002F" w:rsidP="00D0002F">
      <w:pPr>
        <w:pStyle w:val="Heading1"/>
      </w:pPr>
      <w:bookmarkStart w:id="3" w:name="_Toc231220019"/>
      <w:r w:rsidRPr="00ED411B">
        <w:lastRenderedPageBreak/>
        <w:t>Glossary</w:t>
      </w:r>
      <w:bookmarkEnd w:id="3"/>
    </w:p>
    <w:p w14:paraId="32CF7C13" w14:textId="77777777" w:rsidR="00D0002F" w:rsidRPr="00641D49" w:rsidRDefault="00D0002F" w:rsidP="00D0002F">
      <w:r w:rsidRPr="00641D49">
        <w:t>This glossary defines key terms and abbreviations used in this evidence synthesis. Terms are used as working definitions for synthesis and reporting.</w:t>
      </w:r>
    </w:p>
    <w:tbl>
      <w:tblPr>
        <w:tblStyle w:val="CIETable"/>
        <w:tblW w:w="0" w:type="auto"/>
        <w:tblLook w:val="04A0" w:firstRow="1" w:lastRow="0" w:firstColumn="1" w:lastColumn="0" w:noHBand="0" w:noVBand="1"/>
      </w:tblPr>
      <w:tblGrid>
        <w:gridCol w:w="2881"/>
        <w:gridCol w:w="6747"/>
      </w:tblGrid>
      <w:tr w:rsidR="00D0002F" w:rsidRPr="00BC72F7" w14:paraId="0C9B5E2F" w14:textId="77777777" w:rsidTr="00481A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CD7C423" w14:textId="77777777" w:rsidR="00D0002F" w:rsidRPr="00BC72F7" w:rsidRDefault="00D0002F" w:rsidP="00D0002F">
            <w:pPr>
              <w:pStyle w:val="TableHeading"/>
            </w:pPr>
            <w:r w:rsidRPr="00BC72F7">
              <w:t>Term</w:t>
            </w:r>
          </w:p>
        </w:tc>
        <w:tc>
          <w:tcPr>
            <w:tcW w:w="0" w:type="auto"/>
            <w:hideMark/>
          </w:tcPr>
          <w:p w14:paraId="5C8C4762" w14:textId="77777777" w:rsidR="00D0002F" w:rsidRPr="00BC72F7" w:rsidRDefault="00D0002F" w:rsidP="00D0002F">
            <w:pPr>
              <w:pStyle w:val="TableHeading"/>
              <w:cnfStyle w:val="100000000000" w:firstRow="1" w:lastRow="0" w:firstColumn="0" w:lastColumn="0" w:oddVBand="0" w:evenVBand="0" w:oddHBand="0" w:evenHBand="0" w:firstRowFirstColumn="0" w:firstRowLastColumn="0" w:lastRowFirstColumn="0" w:lastRowLastColumn="0"/>
            </w:pPr>
            <w:r w:rsidRPr="00BC72F7">
              <w:t>Working Definition</w:t>
            </w:r>
          </w:p>
        </w:tc>
      </w:tr>
      <w:tr w:rsidR="00D0002F" w:rsidRPr="00641D49" w14:paraId="0111E42C"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78F3E9" w14:textId="77777777" w:rsidR="00D0002F" w:rsidRPr="00BC72F7" w:rsidRDefault="00D0002F" w:rsidP="00D0002F">
            <w:pPr>
              <w:pStyle w:val="TableText"/>
            </w:pPr>
            <w:r w:rsidRPr="00BC72F7">
              <w:t>ADE (Australian Disability Enterprise)</w:t>
            </w:r>
          </w:p>
        </w:tc>
        <w:tc>
          <w:tcPr>
            <w:tcW w:w="0" w:type="auto"/>
            <w:hideMark/>
          </w:tcPr>
          <w:p w14:paraId="1E320C63"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A segregated employment setting (often workshop-based) where many workers are people with disability; historically a dominant pathway for people with intellectual disability in Australia.</w:t>
            </w:r>
          </w:p>
        </w:tc>
      </w:tr>
      <w:tr w:rsidR="00D0002F" w:rsidRPr="00641D49" w14:paraId="06D8B6DE"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6B13EC" w14:textId="77777777" w:rsidR="00D0002F" w:rsidRPr="00BC72F7" w:rsidRDefault="00D0002F" w:rsidP="00D0002F">
            <w:pPr>
              <w:pStyle w:val="TableText"/>
            </w:pPr>
            <w:r w:rsidRPr="00BC72F7">
              <w:t>AERO (Australian Evidence Rating/Confidence)</w:t>
            </w:r>
          </w:p>
        </w:tc>
        <w:tc>
          <w:tcPr>
            <w:tcW w:w="0" w:type="auto"/>
            <w:hideMark/>
          </w:tcPr>
          <w:p w14:paraId="74E81774"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The evidence rating approach used in this review as a pragmatic confidence signal for selecting and prioritising evidence streams (e.g. higher AERO levels indicate stronger evidence for effectiveness synthesis).</w:t>
            </w:r>
          </w:p>
        </w:tc>
      </w:tr>
      <w:tr w:rsidR="00D0002F" w:rsidRPr="00641D49" w14:paraId="67715FD5"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EC05CA" w14:textId="77777777" w:rsidR="00D0002F" w:rsidRPr="00BC72F7" w:rsidRDefault="00D0002F" w:rsidP="00D0002F">
            <w:pPr>
              <w:pStyle w:val="TableText"/>
            </w:pPr>
            <w:r w:rsidRPr="00BC72F7">
              <w:t>AMSTAR-2</w:t>
            </w:r>
          </w:p>
        </w:tc>
        <w:tc>
          <w:tcPr>
            <w:tcW w:w="0" w:type="auto"/>
            <w:hideMark/>
          </w:tcPr>
          <w:p w14:paraId="73A6F77D"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A critical appraisal tool for systematic reviews of healthcare and social interventions; used in this review to provide a structured quality signal for included reviews.</w:t>
            </w:r>
          </w:p>
        </w:tc>
      </w:tr>
      <w:tr w:rsidR="00D0002F" w:rsidRPr="00641D49" w14:paraId="231D60EB"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765E1A" w14:textId="77777777" w:rsidR="00D0002F" w:rsidRPr="00BC72F7" w:rsidRDefault="00D0002F" w:rsidP="00D0002F">
            <w:pPr>
              <w:pStyle w:val="TableText"/>
            </w:pPr>
            <w:r w:rsidRPr="00BC72F7">
              <w:t>Assistive technology (AT)</w:t>
            </w:r>
          </w:p>
        </w:tc>
        <w:tc>
          <w:tcPr>
            <w:tcW w:w="0" w:type="auto"/>
            <w:hideMark/>
          </w:tcPr>
          <w:p w14:paraId="6F04B840"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Devices, software, or environmental modifications that support functioning and performance at work (e.g. task prompts, scheduling tools, communication aids).</w:t>
            </w:r>
          </w:p>
        </w:tc>
      </w:tr>
      <w:tr w:rsidR="00D0002F" w:rsidRPr="00641D49" w14:paraId="3FE0AB6C"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1BDFFA" w14:textId="77777777" w:rsidR="00D0002F" w:rsidRPr="00BC72F7" w:rsidRDefault="00D0002F" w:rsidP="00D0002F">
            <w:pPr>
              <w:pStyle w:val="TableText"/>
            </w:pPr>
            <w:r w:rsidRPr="00BC72F7">
              <w:t>CFIR (Consolidated Framework</w:t>
            </w:r>
          </w:p>
        </w:tc>
        <w:tc>
          <w:tcPr>
            <w:tcW w:w="0" w:type="auto"/>
            <w:hideMark/>
          </w:tcPr>
          <w:p w14:paraId="7D6C5408"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An implementation research framework used to organise implementation determinants (barriers and enablers) relevant to uptake and fidelity of interventions.</w:t>
            </w:r>
          </w:p>
        </w:tc>
      </w:tr>
      <w:tr w:rsidR="00D0002F" w:rsidRPr="00641D49" w14:paraId="4C783968"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1D1318" w14:textId="77777777" w:rsidR="00D0002F" w:rsidRPr="00BC72F7" w:rsidRDefault="00D0002F" w:rsidP="00D0002F">
            <w:pPr>
              <w:pStyle w:val="TableText"/>
            </w:pPr>
            <w:r w:rsidRPr="00BC72F7">
              <w:t>CIE (Competitive Integrated Employment)</w:t>
            </w:r>
          </w:p>
        </w:tc>
        <w:tc>
          <w:tcPr>
            <w:tcW w:w="0" w:type="auto"/>
            <w:hideMark/>
          </w:tcPr>
          <w:p w14:paraId="5B7256C9"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In this report, an employment outcome meeting three criteria: paid work at or above minimum/award wage with standard conditions; in an integrated setting (working alongside colleagues without disability); and with opportunities for advancement (skill-building, increased responsibility, or pay progression).</w:t>
            </w:r>
          </w:p>
        </w:tc>
      </w:tr>
      <w:tr w:rsidR="00D0002F" w:rsidRPr="00641D49" w14:paraId="36D8D4CB"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3F2332" w14:textId="77777777" w:rsidR="00D0002F" w:rsidRPr="00BC72F7" w:rsidRDefault="00D0002F" w:rsidP="00D0002F">
            <w:pPr>
              <w:pStyle w:val="TableText"/>
            </w:pPr>
            <w:r w:rsidRPr="00BC72F7">
              <w:t>DES (Disability Employment Services)</w:t>
            </w:r>
          </w:p>
        </w:tc>
        <w:tc>
          <w:tcPr>
            <w:tcW w:w="0" w:type="auto"/>
            <w:hideMark/>
          </w:tcPr>
          <w:p w14:paraId="00361BE5"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Australia’s former nationwide disability employment programme (2010-2025) providing specialist support to help people with disability find and keep jobs in the open labour market (replaced by Inclusive Employment Australia in Nov 2025).</w:t>
            </w:r>
          </w:p>
        </w:tc>
      </w:tr>
      <w:tr w:rsidR="00D0002F" w:rsidRPr="00641D49" w14:paraId="7B589026"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6836DB" w14:textId="77777777" w:rsidR="00D0002F" w:rsidRPr="00BC72F7" w:rsidRDefault="00D0002F" w:rsidP="00D0002F">
            <w:pPr>
              <w:pStyle w:val="TableText"/>
            </w:pPr>
            <w:r w:rsidRPr="00BC72F7">
              <w:t>Discovery</w:t>
            </w:r>
          </w:p>
        </w:tc>
        <w:tc>
          <w:tcPr>
            <w:tcW w:w="0" w:type="auto"/>
            <w:hideMark/>
          </w:tcPr>
          <w:p w14:paraId="340D3FE2"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A person-centred exploratory process used to identify an individual’s strengths, interests, support needs, and ideal working conditions, typically to inform job matching and customisation in a personalised employment approach.</w:t>
            </w:r>
          </w:p>
        </w:tc>
      </w:tr>
      <w:tr w:rsidR="00D0002F" w:rsidRPr="00641D49" w14:paraId="1DAA6D1C" w14:textId="77777777" w:rsidTr="005A7A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0F9EF3D9" w14:textId="77777777" w:rsidR="00D0002F" w:rsidRPr="00BC72F7" w:rsidRDefault="00D0002F" w:rsidP="00D0002F">
            <w:pPr>
              <w:pStyle w:val="TableText"/>
            </w:pPr>
            <w:r w:rsidRPr="00BC72F7">
              <w:t>Dose / intensity</w:t>
            </w:r>
          </w:p>
        </w:tc>
        <w:tc>
          <w:tcPr>
            <w:tcW w:w="0" w:type="auto"/>
            <w:tcBorders>
              <w:bottom w:val="single" w:sz="4" w:space="0" w:color="C0C0C0" w:themeColor="accent5"/>
            </w:tcBorders>
            <w:hideMark/>
          </w:tcPr>
          <w:p w14:paraId="5FFD90D7"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The quantity and pattern of support delivered (e.g. frequency of coaching contacts, duration of support, timing of intervention stages, tapering of support), treated in this synthesis as a key variable influencing outcomes.</w:t>
            </w:r>
          </w:p>
        </w:tc>
      </w:tr>
      <w:tr w:rsidR="00D0002F" w:rsidRPr="00641D49" w14:paraId="04E6E38B" w14:textId="77777777" w:rsidTr="005A7A0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2E289F51" w14:textId="77777777" w:rsidR="00D0002F" w:rsidRPr="00BC72F7" w:rsidRDefault="00D0002F" w:rsidP="00D0002F">
            <w:pPr>
              <w:pStyle w:val="TableText"/>
            </w:pPr>
            <w:r w:rsidRPr="00BC72F7">
              <w:t>EPIS (Exploration-Preparation-</w:t>
            </w:r>
            <w:r w:rsidRPr="00BC72F7">
              <w:lastRenderedPageBreak/>
              <w:t>Implementation-Sustainment)</w:t>
            </w:r>
          </w:p>
        </w:tc>
        <w:tc>
          <w:tcPr>
            <w:tcW w:w="0" w:type="auto"/>
            <w:tcBorders>
              <w:bottom w:val="single" w:sz="4" w:space="0" w:color="C0C0C0" w:themeColor="accent5"/>
            </w:tcBorders>
            <w:hideMark/>
          </w:tcPr>
          <w:p w14:paraId="6774BF97"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lastRenderedPageBreak/>
              <w:t xml:space="preserve">An implementation-phase framework used to structure understanding of how interventions are introduced and </w:t>
            </w:r>
            <w:r w:rsidRPr="00BC72F7">
              <w:lastRenderedPageBreak/>
              <w:t>sustained over time; helps organise determinants and strategies at different stages of implementation.</w:t>
            </w:r>
          </w:p>
        </w:tc>
      </w:tr>
      <w:tr w:rsidR="00D0002F" w:rsidRPr="00641D49" w14:paraId="5ED90FE4" w14:textId="77777777" w:rsidTr="005A7A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0C0C0" w:themeColor="accent5"/>
            </w:tcBorders>
            <w:hideMark/>
          </w:tcPr>
          <w:p w14:paraId="28B3FD40" w14:textId="77777777" w:rsidR="00D0002F" w:rsidRPr="00BC72F7" w:rsidRDefault="00D0002F" w:rsidP="00D0002F">
            <w:pPr>
              <w:pStyle w:val="TableText"/>
            </w:pPr>
            <w:r w:rsidRPr="00BC72F7">
              <w:lastRenderedPageBreak/>
              <w:t>Follow-along support</w:t>
            </w:r>
          </w:p>
        </w:tc>
        <w:tc>
          <w:tcPr>
            <w:tcW w:w="0" w:type="auto"/>
            <w:tcBorders>
              <w:top w:val="single" w:sz="4" w:space="0" w:color="C0C0C0" w:themeColor="accent5"/>
            </w:tcBorders>
            <w:hideMark/>
          </w:tcPr>
          <w:p w14:paraId="1C074B1B"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Ongoing, flexible in-work support provided after job placement (e.g. periodic check-ins, on-site problem solving, or re-intensification of coaching when work conditions change) to help the employee maintain and succeed in the job.</w:t>
            </w:r>
          </w:p>
        </w:tc>
      </w:tr>
      <w:tr w:rsidR="00D0002F" w:rsidRPr="00641D49" w14:paraId="404BDAAD"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4389CD" w14:textId="77777777" w:rsidR="00D0002F" w:rsidRPr="00BC72F7" w:rsidRDefault="00D0002F" w:rsidP="00D0002F">
            <w:pPr>
              <w:pStyle w:val="TableText"/>
            </w:pPr>
            <w:r w:rsidRPr="00BC72F7">
              <w:t>ID (Intellectual disability)</w:t>
            </w:r>
          </w:p>
        </w:tc>
        <w:tc>
          <w:tcPr>
            <w:tcW w:w="0" w:type="auto"/>
            <w:hideMark/>
          </w:tcPr>
          <w:p w14:paraId="620A4D7F"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A developmental disability characterised by limitations in intellectual functioning and adaptive behaviour, with onset before adulthood. Review inclusion: studies were included if participants were described by the authors as having intellectual disability (or an equivalent term). We assumed standard diagnostic criteria unless stated otherwise, acknowledging that some studies did not detail how ID was determined.</w:t>
            </w:r>
          </w:p>
        </w:tc>
      </w:tr>
      <w:tr w:rsidR="00D0002F" w:rsidRPr="00641D49" w14:paraId="019891AD"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10FB03" w14:textId="77777777" w:rsidR="00D0002F" w:rsidRPr="00BC72F7" w:rsidRDefault="00D0002F" w:rsidP="00D0002F">
            <w:pPr>
              <w:pStyle w:val="TableText"/>
            </w:pPr>
            <w:r w:rsidRPr="00BC72F7">
              <w:t>IDD (Intellectual and developmental disability/disorder)</w:t>
            </w:r>
          </w:p>
        </w:tc>
        <w:tc>
          <w:tcPr>
            <w:tcW w:w="0" w:type="auto"/>
            <w:hideMark/>
          </w:tcPr>
          <w:p w14:paraId="5B7A6599"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A broader range of lifelong conditions that affect physical development, learning, language and behaviour. Review inclusion: studies using broader labels (e.g. developmental disability) were included only if intellectual disability was specifically identified or results for participants with ID could be separated.</w:t>
            </w:r>
          </w:p>
        </w:tc>
      </w:tr>
      <w:tr w:rsidR="00D0002F" w:rsidRPr="00641D49" w14:paraId="24B59582"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194D53" w14:textId="5B0F2E84" w:rsidR="00D0002F" w:rsidRPr="00BC72F7" w:rsidRDefault="00D0002F" w:rsidP="00D0002F">
            <w:pPr>
              <w:pStyle w:val="TableText"/>
            </w:pPr>
            <w:commentRangeStart w:id="4"/>
            <w:r w:rsidRPr="00BC72F7">
              <w:t>Inclusive Employment Australia</w:t>
            </w:r>
            <w:commentRangeEnd w:id="4"/>
            <w:r w:rsidR="006633BB" w:rsidRPr="00BC72F7">
              <w:rPr>
                <w:rStyle w:val="CommentReference"/>
                <w:sz w:val="20"/>
                <w:szCs w:val="24"/>
              </w:rPr>
              <w:commentReference w:id="4"/>
            </w:r>
          </w:p>
        </w:tc>
        <w:tc>
          <w:tcPr>
            <w:tcW w:w="0" w:type="auto"/>
            <w:hideMark/>
          </w:tcPr>
          <w:p w14:paraId="46B83AD3"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The Commonwealth’s specialist disability employment programme replacing DES from 1 Nov 2025. Emphasises participant choice, no time limits on support, and broader eligibility to improve open mainstream employment outcomes for people with disability.</w:t>
            </w:r>
          </w:p>
        </w:tc>
      </w:tr>
      <w:tr w:rsidR="00D0002F" w:rsidRPr="00641D49" w14:paraId="54976DDE"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35626F" w14:textId="77777777" w:rsidR="00D0002F" w:rsidRPr="00BC72F7" w:rsidRDefault="00D0002F" w:rsidP="00D0002F">
            <w:pPr>
              <w:pStyle w:val="TableText"/>
            </w:pPr>
            <w:r w:rsidRPr="00BC72F7">
              <w:t>Inclusive Enterprises (Social Firms)</w:t>
            </w:r>
          </w:p>
        </w:tc>
        <w:tc>
          <w:tcPr>
            <w:tcW w:w="0" w:type="auto"/>
          </w:tcPr>
          <w:p w14:paraId="4C0E1DBB"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 xml:space="preserve">Integrated businesses that intentionally employ people with disability in regular wage jobs, combining a social mission with commercial operations. These firms provide supportive work environments and are considered pathways to open employment. </w:t>
            </w:r>
          </w:p>
        </w:tc>
      </w:tr>
      <w:tr w:rsidR="00D0002F" w:rsidRPr="00641D49" w14:paraId="4A744541"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5EBCCF" w14:textId="77777777" w:rsidR="00D0002F" w:rsidRPr="00BC72F7" w:rsidRDefault="00D0002F" w:rsidP="00D0002F">
            <w:pPr>
              <w:pStyle w:val="TableText"/>
            </w:pPr>
            <w:r w:rsidRPr="00BC72F7">
              <w:t>Job carving / customisation</w:t>
            </w:r>
          </w:p>
        </w:tc>
        <w:tc>
          <w:tcPr>
            <w:tcW w:w="0" w:type="auto"/>
            <w:hideMark/>
          </w:tcPr>
          <w:p w14:paraId="5D7E1EE6"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Modifying or negotiating the tasks or design of a job to better suit a particular person’s strengths, needs, and interests, while meeting real employer business needs (e.g. combining or redistributing duties to create a customised role).</w:t>
            </w:r>
          </w:p>
        </w:tc>
      </w:tr>
      <w:tr w:rsidR="00D0002F" w:rsidRPr="00641D49" w14:paraId="5C1E2E15"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91B770" w14:textId="77777777" w:rsidR="00D0002F" w:rsidRPr="00BC72F7" w:rsidRDefault="00D0002F" w:rsidP="00D0002F">
            <w:pPr>
              <w:pStyle w:val="TableText"/>
            </w:pPr>
            <w:r w:rsidRPr="00BC72F7">
              <w:t>Mismatch ontology</w:t>
            </w:r>
          </w:p>
        </w:tc>
        <w:tc>
          <w:tcPr>
            <w:tcW w:w="0" w:type="auto"/>
            <w:hideMark/>
          </w:tcPr>
          <w:p w14:paraId="163721F3"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In this report, ‘mismatch’ refers to the gap between job demands and individual capabilities/supports (a person-environment fit issue), rather than the person’s interests versus their current job.  An interpretive lens framing ‘support needs’ as arising from person-environment interaction. A mismatch occurs when workplace cognitive, social, or physical demands exceed an individual’s capacities or available supports. Improving employment outcomes thus involves reducing task/environment load or increasing individual capability to achieve a better fit.</w:t>
            </w:r>
          </w:p>
        </w:tc>
      </w:tr>
      <w:tr w:rsidR="00D0002F" w:rsidRPr="00641D49" w14:paraId="13A65DB0"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DACE6C" w14:textId="77777777" w:rsidR="00D0002F" w:rsidRPr="00BC72F7" w:rsidRDefault="00D0002F" w:rsidP="00D0002F">
            <w:pPr>
              <w:pStyle w:val="TableText"/>
            </w:pPr>
            <w:r w:rsidRPr="00BC72F7">
              <w:t>Natural supports</w:t>
            </w:r>
          </w:p>
        </w:tc>
        <w:tc>
          <w:tcPr>
            <w:tcW w:w="0" w:type="auto"/>
            <w:hideMark/>
          </w:tcPr>
          <w:p w14:paraId="412DC333"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 xml:space="preserve">Supports that are embedded in the ordinary workplace environment rather than provided externally, for example, help </w:t>
            </w:r>
            <w:r w:rsidRPr="00BC72F7">
              <w:lastRenderedPageBreak/>
              <w:t>and mentoring from coworkers, supervisors ensuring clarity and routine, or adaptations in usual work processes that assist the employee.</w:t>
            </w:r>
          </w:p>
        </w:tc>
      </w:tr>
      <w:tr w:rsidR="00D0002F" w:rsidRPr="00641D49" w14:paraId="5DAF1CF1"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64DA76" w14:textId="77777777" w:rsidR="00D0002F" w:rsidRPr="00BC72F7" w:rsidRDefault="00D0002F" w:rsidP="00D0002F">
            <w:pPr>
              <w:pStyle w:val="TableText"/>
            </w:pPr>
            <w:r w:rsidRPr="00BC72F7">
              <w:lastRenderedPageBreak/>
              <w:t>National Disability Insurance Scheme (NDIS)</w:t>
            </w:r>
          </w:p>
        </w:tc>
        <w:tc>
          <w:tcPr>
            <w:tcW w:w="0" w:type="auto"/>
          </w:tcPr>
          <w:p w14:paraId="681DE38A"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Australia’s national scheme funding disability support services, including employment supports. It provides individualised funding to eligible people with disability.</w:t>
            </w:r>
          </w:p>
        </w:tc>
      </w:tr>
      <w:tr w:rsidR="00D0002F" w:rsidRPr="00641D49" w14:paraId="5C430F92"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F63467" w14:textId="77777777" w:rsidR="00D0002F" w:rsidRPr="00BC72F7" w:rsidRDefault="00D0002F" w:rsidP="00D0002F">
            <w:pPr>
              <w:pStyle w:val="TableText"/>
            </w:pPr>
            <w:r w:rsidRPr="00BC72F7">
              <w:t>Open employment</w:t>
            </w:r>
          </w:p>
        </w:tc>
        <w:tc>
          <w:tcPr>
            <w:tcW w:w="0" w:type="auto"/>
            <w:hideMark/>
          </w:tcPr>
          <w:p w14:paraId="7D4507A4"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Australian policy term for competitive integrated employment: people with disability working in regular jobs alongside people without disability, with pay at least at the minimum or award wage and standard conditions.</w:t>
            </w:r>
          </w:p>
        </w:tc>
      </w:tr>
      <w:tr w:rsidR="00D0002F" w:rsidRPr="00641D49" w14:paraId="34DD7C59"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B92A96" w14:textId="77777777" w:rsidR="00D0002F" w:rsidRPr="00BC72F7" w:rsidRDefault="00D0002F" w:rsidP="00D0002F">
            <w:pPr>
              <w:pStyle w:val="TableText"/>
            </w:pPr>
            <w:r w:rsidRPr="00BC72F7">
              <w:t>Place-then-train</w:t>
            </w:r>
          </w:p>
        </w:tc>
        <w:tc>
          <w:tcPr>
            <w:tcW w:w="0" w:type="auto"/>
            <w:hideMark/>
          </w:tcPr>
          <w:p w14:paraId="41A3681A"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A supported employment approach in which an individual is placed directly into a real job in the community (competitive employment) and then trained and supported on the job, rather than requiring lengthy pre-vocational training before placement.</w:t>
            </w:r>
          </w:p>
        </w:tc>
      </w:tr>
      <w:tr w:rsidR="00D0002F" w:rsidRPr="00641D49" w14:paraId="167AD7B3"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F82013" w14:textId="77777777" w:rsidR="00D0002F" w:rsidRPr="00BC72F7" w:rsidRDefault="00D0002F" w:rsidP="00D0002F">
            <w:pPr>
              <w:pStyle w:val="TableText"/>
              <w:rPr>
                <w:bCs/>
              </w:rPr>
            </w:pPr>
            <w:r w:rsidRPr="00BC72F7">
              <w:t>Proctor implementation outcomes</w:t>
            </w:r>
          </w:p>
          <w:p w14:paraId="5CF34627" w14:textId="77777777" w:rsidR="00D0002F" w:rsidRPr="00BC72F7" w:rsidRDefault="00D0002F" w:rsidP="00D0002F">
            <w:pPr>
              <w:pStyle w:val="TableText"/>
            </w:pPr>
          </w:p>
          <w:p w14:paraId="7BD72A6B" w14:textId="77777777" w:rsidR="00D0002F" w:rsidRPr="00BC72F7" w:rsidRDefault="00D0002F" w:rsidP="00D0002F">
            <w:pPr>
              <w:pStyle w:val="TableText"/>
            </w:pPr>
          </w:p>
          <w:p w14:paraId="08834C6D" w14:textId="77777777" w:rsidR="00D0002F" w:rsidRPr="00BC72F7" w:rsidRDefault="00D0002F" w:rsidP="00D0002F">
            <w:pPr>
              <w:pStyle w:val="TableText"/>
            </w:pPr>
          </w:p>
        </w:tc>
        <w:tc>
          <w:tcPr>
            <w:tcW w:w="0" w:type="auto"/>
            <w:hideMark/>
          </w:tcPr>
          <w:p w14:paraId="3017A753"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A set of implementation outcome measures defined by Proctor et al. (e.g. acceptability, adoption, feasibility, fidelity, penetration, sustainability) used to evaluate how well an intervention is implemented, separate from client outcomes.</w:t>
            </w:r>
          </w:p>
        </w:tc>
      </w:tr>
      <w:tr w:rsidR="00D0002F" w:rsidRPr="00641D49" w14:paraId="21C5F549"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B19884" w14:textId="77777777" w:rsidR="00D0002F" w:rsidRPr="00BC72F7" w:rsidRDefault="00D0002F" w:rsidP="00D0002F">
            <w:pPr>
              <w:pStyle w:val="TableText"/>
            </w:pPr>
            <w:r w:rsidRPr="00BC72F7">
              <w:t>Reasonable adjustments</w:t>
            </w:r>
          </w:p>
        </w:tc>
        <w:tc>
          <w:tcPr>
            <w:tcW w:w="0" w:type="auto"/>
            <w:hideMark/>
          </w:tcPr>
          <w:p w14:paraId="1534B30F"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Modifications or accommodations in the workplace that enable a person with disability to perform their job on an equal basis (e.g. providing accessible communication, altering duties or schedules, physical modifications, assistive devices). These are required under anti-discrimination law to support equitable employment.</w:t>
            </w:r>
          </w:p>
        </w:tc>
      </w:tr>
      <w:tr w:rsidR="00D0002F" w:rsidRPr="00641D49" w14:paraId="3698D518"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5FA9CA" w14:textId="77777777" w:rsidR="00D0002F" w:rsidRPr="00BC72F7" w:rsidRDefault="00D0002F" w:rsidP="00D0002F">
            <w:pPr>
              <w:pStyle w:val="TableText"/>
            </w:pPr>
            <w:r w:rsidRPr="00BC72F7">
              <w:t>Semiotic density</w:t>
            </w:r>
          </w:p>
        </w:tc>
        <w:tc>
          <w:tcPr>
            <w:tcW w:w="0" w:type="auto"/>
            <w:hideMark/>
          </w:tcPr>
          <w:p w14:paraId="6B019408"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A characteristic of a workplace’s communication environment: the complexity and volume of symbolic information, language, and unspoken social cues that workers must interpret. High semiotic density (e.g. jargon, complex instructions, implicit rules) can increase cognitive load for workers.</w:t>
            </w:r>
          </w:p>
        </w:tc>
      </w:tr>
      <w:tr w:rsidR="00D0002F" w:rsidRPr="00641D49" w14:paraId="793C1CFB"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33B9A3" w14:textId="77777777" w:rsidR="00D0002F" w:rsidRPr="00BC72F7" w:rsidRDefault="00D0002F" w:rsidP="00D0002F">
            <w:pPr>
              <w:pStyle w:val="TableText"/>
            </w:pPr>
            <w:r w:rsidRPr="00BC72F7">
              <w:t>School Leaver Employment Supports (SLES)</w:t>
            </w:r>
          </w:p>
        </w:tc>
        <w:tc>
          <w:tcPr>
            <w:tcW w:w="0" w:type="auto"/>
            <w:hideMark/>
          </w:tcPr>
          <w:p w14:paraId="7B65535D"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SLES, and NDIS-funded school-to-work support, is currently being absorbed into broader early career support programmes, with no new SLES-specific funds in 2025.</w:t>
            </w:r>
          </w:p>
        </w:tc>
      </w:tr>
      <w:tr w:rsidR="00D0002F" w:rsidRPr="00641D49" w14:paraId="6AF8B086"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30AF50" w14:textId="77777777" w:rsidR="00D0002F" w:rsidRPr="00BC72F7" w:rsidRDefault="00D0002F" w:rsidP="00D0002F">
            <w:pPr>
              <w:pStyle w:val="TableText"/>
            </w:pPr>
            <w:r w:rsidRPr="00BC72F7">
              <w:t>Structural complexity</w:t>
            </w:r>
          </w:p>
        </w:tc>
        <w:tc>
          <w:tcPr>
            <w:tcW w:w="0" w:type="auto"/>
            <w:hideMark/>
          </w:tcPr>
          <w:p w14:paraId="70C259B7"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A characteristic of tasks or routines in the workplace: the number of steps, branching decisions, interactions, or coordination demands required to complete work tasks. High structural complexity can make a job more challenging for someone with cognitive or learning difficulties.</w:t>
            </w:r>
          </w:p>
        </w:tc>
      </w:tr>
      <w:tr w:rsidR="00D0002F" w:rsidRPr="00641D49" w14:paraId="65FDB0BD"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98E5DC" w14:textId="77777777" w:rsidR="00D0002F" w:rsidRPr="00BC72F7" w:rsidRDefault="00D0002F" w:rsidP="00D0002F">
            <w:pPr>
              <w:pStyle w:val="TableText"/>
              <w:rPr>
                <w:bCs/>
              </w:rPr>
            </w:pPr>
            <w:r w:rsidRPr="00BC72F7">
              <w:t>Supported employment</w:t>
            </w:r>
          </w:p>
          <w:p w14:paraId="41B71964" w14:textId="77777777" w:rsidR="00D0002F" w:rsidRPr="00BC72F7" w:rsidRDefault="00D0002F" w:rsidP="00D0002F">
            <w:pPr>
              <w:pStyle w:val="TableText"/>
            </w:pPr>
          </w:p>
          <w:p w14:paraId="2855DD75" w14:textId="77777777" w:rsidR="00D0002F" w:rsidRPr="00BC72F7" w:rsidRDefault="00D0002F" w:rsidP="00D0002F">
            <w:pPr>
              <w:pStyle w:val="TableText"/>
            </w:pPr>
          </w:p>
          <w:p w14:paraId="011D99F7" w14:textId="77777777" w:rsidR="00D0002F" w:rsidRPr="00BC72F7" w:rsidRDefault="00D0002F" w:rsidP="00D0002F">
            <w:pPr>
              <w:pStyle w:val="TableText"/>
            </w:pPr>
          </w:p>
          <w:p w14:paraId="67A83EA4" w14:textId="77777777" w:rsidR="00D0002F" w:rsidRPr="00BC72F7" w:rsidRDefault="00D0002F" w:rsidP="00D0002F">
            <w:pPr>
              <w:pStyle w:val="TableText"/>
            </w:pPr>
          </w:p>
        </w:tc>
        <w:tc>
          <w:tcPr>
            <w:tcW w:w="0" w:type="auto"/>
          </w:tcPr>
          <w:p w14:paraId="3C781656"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lastRenderedPageBreak/>
              <w:t>In Australia, ‘supported employment’ commonly refers to Australian Disability Enterprises (ADEs) – segregated workplaces paying supported wages – whereas in the US and in this report’s context it refers to mainstream competitive employment with ongoing support (place-then-train model).</w:t>
            </w:r>
          </w:p>
        </w:tc>
      </w:tr>
      <w:tr w:rsidR="00D0002F" w:rsidRPr="00641D49" w14:paraId="75760F07"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723826" w14:textId="77777777" w:rsidR="00D0002F" w:rsidRPr="00BC72F7" w:rsidRDefault="00D0002F" w:rsidP="00D0002F">
            <w:pPr>
              <w:pStyle w:val="TableText"/>
            </w:pPr>
            <w:r w:rsidRPr="00BC72F7">
              <w:t>SWiM (Synthesis Without Meta-analysis)</w:t>
            </w:r>
          </w:p>
        </w:tc>
        <w:tc>
          <w:tcPr>
            <w:tcW w:w="0" w:type="auto"/>
            <w:hideMark/>
          </w:tcPr>
          <w:p w14:paraId="48E0DC73"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 xml:space="preserve">A methodological guidance for reporting narrative syntheses of quantitative data when statistical meta-analysis is not feasible. The SWiM guidelines </w:t>
            </w:r>
            <w:r w:rsidRPr="00BC72F7">
              <w:fldChar w:fldCharType="begin"/>
            </w:r>
            <w:r w:rsidRPr="00BC72F7">
              <w:instrText xml:space="preserve"> ADDIN EN.CITE &lt;EndNote&gt;&lt;Cite&gt;&lt;Author&gt;Campbell&lt;/Author&gt;&lt;Year&gt;2020&lt;/Year&gt;&lt;RecNum&gt;172&lt;/RecNum&gt;&lt;DisplayText&gt;(Campbell et al., 2020)&lt;/DisplayText&gt;&lt;record&gt;&lt;rec-number&gt;172&lt;/rec-number&gt;&lt;foreign-keys&gt;&lt;key app="EN" db-id="9r0xdszvkxpd0qee99svpwt7tdv9zzed5z2f" timestamp="1769675506"&gt;172&lt;/key&gt;&lt;/foreign-keys&gt;&lt;ref-type name="Journal Article"&gt;17&lt;/ref-type&gt;&lt;contributors&gt;&lt;authors&gt;&lt;author&gt;Campbell, Mhairi&lt;/author&gt;&lt;author&gt;McKenzie, Joanne E&lt;/author&gt;&lt;author&gt;Sowden, Amanda&lt;/author&gt;&lt;author&gt;Katikireddi, Srinivasa Vittal&lt;/author&gt;&lt;author&gt;Brennan, Sue E&lt;/author&gt;&lt;author&gt;Ellis, Simon&lt;/author&gt;&lt;author&gt;Hartmann-Boyce, Jamie&lt;/author&gt;&lt;author&gt;Ryan, Rebecca&lt;/author&gt;&lt;author&gt;Shepperd, Sasha&lt;/author&gt;&lt;author&gt;Thomas, James&lt;/author&gt;&lt;author&gt;Welch, Vivian&lt;/author&gt;&lt;author&gt;Thomson, Hilary&lt;/author&gt;&lt;/authors&gt;&lt;/contributors&gt;&lt;titles&gt;&lt;title&gt;Synthesis without meta-analysis (SWiM) in systematic reviews: reporting guideline&lt;/title&gt;&lt;secondary-title&gt;BMJ&lt;/secondary-title&gt;&lt;/titles&gt;&lt;periodical&gt;&lt;full-title&gt;BMJ&lt;/full-title&gt;&lt;/periodical&gt;&lt;pages&gt;l6890&lt;/pages&gt;&lt;volume&gt;368&lt;/volume&gt;&lt;dates&gt;&lt;year&gt;2020&lt;/year&gt;&lt;/dates&gt;&lt;urls&gt;&lt;related-urls&gt;&lt;url&gt;https://www.bmj.com/content/bmj/368/bmj.l6890.full.pdf&lt;/url&gt;&lt;/related-urls&gt;&lt;/urls&gt;&lt;electronic-resource-num&gt;10.1136/bmj.l6890&lt;/electronic-resource-num&gt;&lt;/record&gt;&lt;/Cite&gt;&lt;/EndNote&gt;</w:instrText>
            </w:r>
            <w:r w:rsidRPr="00BC72F7">
              <w:fldChar w:fldCharType="separate"/>
            </w:r>
            <w:r w:rsidRPr="00BC72F7">
              <w:t>(Campbell et al., 2020)</w:t>
            </w:r>
            <w:r w:rsidRPr="00BC72F7">
              <w:fldChar w:fldCharType="end"/>
            </w:r>
            <w:r w:rsidRPr="00BC72F7">
              <w:t xml:space="preserve"> were followed to transparently summarise and report the findings of this review without a meta-analysis.</w:t>
            </w:r>
          </w:p>
        </w:tc>
      </w:tr>
      <w:tr w:rsidR="00D0002F" w:rsidRPr="00641D49" w14:paraId="5E57A7DA"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4D2B64EC" w14:textId="77777777" w:rsidR="00D0002F" w:rsidRPr="00BC72F7" w:rsidRDefault="00D0002F" w:rsidP="00D0002F">
            <w:pPr>
              <w:pStyle w:val="TableText"/>
            </w:pPr>
            <w:r w:rsidRPr="00BC72F7">
              <w:t>Systematic Instruction</w:t>
            </w:r>
          </w:p>
        </w:tc>
        <w:tc>
          <w:tcPr>
            <w:tcW w:w="0" w:type="auto"/>
            <w:tcBorders>
              <w:bottom w:val="single" w:sz="4" w:space="0" w:color="C0C0C0" w:themeColor="accent5"/>
            </w:tcBorders>
            <w:hideMark/>
          </w:tcPr>
          <w:p w14:paraId="14CB826F" w14:textId="77777777" w:rsidR="00D0002F" w:rsidRPr="00BC72F7"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BC72F7">
              <w:t>A structured, step-by-step method of teaching job tasks in the actual work environment, often involving task analysis, prompts and cues, gradual fading of assistance, and repetition until the worker can perform tasks independently to the required standard.</w:t>
            </w:r>
          </w:p>
        </w:tc>
      </w:tr>
      <w:tr w:rsidR="00D0002F" w:rsidRPr="00641D49" w14:paraId="5AE2C3B1"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63CF33A1" w14:textId="77777777" w:rsidR="00D0002F" w:rsidRPr="00BC72F7" w:rsidRDefault="00D0002F" w:rsidP="00D0002F">
            <w:pPr>
              <w:pStyle w:val="TableText"/>
            </w:pPr>
            <w:r w:rsidRPr="00BC72F7">
              <w:t>SWS (Supported Wage System)</w:t>
            </w:r>
          </w:p>
        </w:tc>
        <w:tc>
          <w:tcPr>
            <w:tcW w:w="0" w:type="auto"/>
            <w:tcBorders>
              <w:bottom w:val="single" w:sz="4" w:space="0" w:color="C0C0C0" w:themeColor="accent5"/>
            </w:tcBorders>
            <w:hideMark/>
          </w:tcPr>
          <w:p w14:paraId="1EFC94BC" w14:textId="77777777" w:rsidR="00D0002F" w:rsidRPr="00BC72F7"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BC72F7">
              <w:t>An Australian scheme that allows pro-rata wages for workers with disability based on assessed productivity. Under the SWS, a qualified assessor evaluates the productivity of an employee with disability in a supported job, and the person may be paid a proportion of the full wage rate corresponding to their productivity level.</w:t>
            </w:r>
          </w:p>
        </w:tc>
      </w:tr>
    </w:tbl>
    <w:p w14:paraId="487A3D82" w14:textId="77777777" w:rsidR="00D0002F" w:rsidRPr="00ED411B" w:rsidRDefault="00D0002F" w:rsidP="00D0002F"/>
    <w:p w14:paraId="149686C3" w14:textId="77777777" w:rsidR="00D0002F" w:rsidRDefault="00D0002F" w:rsidP="00D0002F">
      <w:r>
        <w:br w:type="page"/>
      </w:r>
    </w:p>
    <w:p w14:paraId="6DBC94D8" w14:textId="77777777" w:rsidR="00D0002F" w:rsidRPr="00ED411B" w:rsidRDefault="00D0002F" w:rsidP="00D0002F">
      <w:pPr>
        <w:pStyle w:val="Heading1"/>
      </w:pPr>
      <w:bookmarkStart w:id="5" w:name="_Toc231220020"/>
      <w:r w:rsidRPr="00ED411B">
        <w:lastRenderedPageBreak/>
        <w:t>Executive Summary</w:t>
      </w:r>
      <w:bookmarkEnd w:id="5"/>
    </w:p>
    <w:p w14:paraId="76A71089" w14:textId="77777777" w:rsidR="00D0002F" w:rsidRDefault="00D0002F" w:rsidP="00D0002F">
      <w:r w:rsidRPr="005C2D2D">
        <w:t xml:space="preserve">This synthesis consolidates international and Australian evidence on employment supports that enable competitive integrated employment (CIE) </w:t>
      </w:r>
      <w:r w:rsidRPr="005C2D2D">
        <w:fldChar w:fldCharType="begin"/>
      </w:r>
      <w:r w:rsidRPr="005C2D2D">
        <w:instrText xml:space="preserve"> ADDIN EN.CITE &lt;EndNote&gt;&lt;Cite&gt;&lt;Author&gt;U.S. Department of Education&lt;/Author&gt;&lt;Year&gt;n.d.&lt;/Year&gt;&lt;RecNum&gt;129&lt;/RecNum&gt;&lt;DisplayText&gt;(U.S. Department of Education, n.d.)&lt;/DisplayText&gt;&lt;record&gt;&lt;rec-number&gt;129&lt;/rec-number&gt;&lt;foreign-keys&gt;&lt;key app="EN" db-id="9r0xdszvkxpd0qee99svpwt7tdv9zzed5z2f" timestamp="1769670959"&gt;129&lt;/key&gt;&lt;/foreign-keys&gt;&lt;ref-type name="Legal Rule or Regulation"&gt;50&lt;/ref-type&gt;&lt;contributors&gt;&lt;authors&gt;&lt;author&gt;U.S. Department of Education,&lt;/author&gt;&lt;/authors&gt;&lt;/contributors&gt;&lt;titles&gt;&lt;title&gt;Competitive Integrated Employment&lt;/title&gt;&lt;/titles&gt;&lt;dates&gt;&lt;year&gt;n.d.&lt;/year&gt;&lt;/dates&gt;&lt;urls&gt;&lt;related-urls&gt;&lt;url&gt;https://www.ecfr.gov/current/title-34/subtitle-B/chapter-III/part-361/section-361.5&lt;/url&gt;&lt;/related-urls&gt;&lt;/urls&gt;&lt;/record&gt;&lt;/Cite&gt;&lt;/EndNote&gt;</w:instrText>
      </w:r>
      <w:r w:rsidRPr="005C2D2D">
        <w:fldChar w:fldCharType="separate"/>
      </w:r>
      <w:r w:rsidRPr="005C2D2D">
        <w:t>(U.S. Department of Education, n.d.)</w:t>
      </w:r>
      <w:r w:rsidRPr="005C2D2D">
        <w:fldChar w:fldCharType="end"/>
      </w:r>
      <w:r w:rsidRPr="005C2D2D">
        <w:t xml:space="preserve">, also known in Australia as open employment, for people with intellectual disability (ID). It translates findings into practical implications for service design and workforce training in the Australian context. </w:t>
      </w:r>
    </w:p>
    <w:p w14:paraId="02325188" w14:textId="77777777" w:rsidR="00D0002F" w:rsidRPr="005C2D2D" w:rsidRDefault="00D0002F" w:rsidP="00D0002F">
      <w:r w:rsidRPr="005C2D2D">
        <w:t xml:space="preserve">The synthesis follows a SWiM-aligned narrative approach </w:t>
      </w:r>
      <w:r w:rsidRPr="005C2D2D">
        <w:fldChar w:fldCharType="begin"/>
      </w:r>
      <w:r w:rsidRPr="005C2D2D">
        <w:instrText xml:space="preserve"> ADDIN EN.CITE &lt;EndNote&gt;&lt;Cite&gt;&lt;Author&gt;Campbell&lt;/Author&gt;&lt;Year&gt;2020&lt;/Year&gt;&lt;RecNum&gt;157&lt;/RecNum&gt;&lt;DisplayText&gt;(Campbell et al., 2020)&lt;/DisplayText&gt;&lt;record&gt;&lt;rec-number&gt;157&lt;/rec-number&gt;&lt;foreign-keys&gt;&lt;key app="EN" db-id="9r0xdszvkxpd0qee99svpwt7tdv9zzed5z2f" timestamp="1769672602"&gt;157&lt;/key&gt;&lt;/foreign-keys&gt;&lt;ref-type name="Journal Article"&gt;17&lt;/ref-type&gt;&lt;contributors&gt;&lt;authors&gt;&lt;author&gt;Campbell, Mhairi&lt;/author&gt;&lt;author&gt;McKenzie, Joanne E&lt;/author&gt;&lt;author&gt;Sowden, Amanda&lt;/author&gt;&lt;author&gt;Katikireddi, Srinivasa Vittal&lt;/author&gt;&lt;author&gt;Brennan, Sue E&lt;/author&gt;&lt;author&gt;Ellis, Simon&lt;/author&gt;&lt;author&gt;Hartmann-Boyce, Jamie&lt;/author&gt;&lt;author&gt;Ryan, Rebecca&lt;/author&gt;&lt;author&gt;Shepperd, Sasha&lt;/author&gt;&lt;author&gt;Thomas, James&lt;/author&gt;&lt;author&gt;Welch, Vivian&lt;/author&gt;&lt;author&gt;Thomson, Hilary&lt;/author&gt;&lt;/authors&gt;&lt;/contributors&gt;&lt;titles&gt;&lt;title&gt;Synthesis without meta-analysis (SWiM) in systematic reviews: reporting guideline&lt;/title&gt;&lt;secondary-title&gt;BMJ&lt;/secondary-title&gt;&lt;/titles&gt;&lt;periodical&gt;&lt;full-title&gt;BMJ&lt;/full-title&gt;&lt;/periodical&gt;&lt;pages&gt;l6890&lt;/pages&gt;&lt;volume&gt;368&lt;/volume&gt;&lt;dates&gt;&lt;year&gt;2020&lt;/year&gt;&lt;/dates&gt;&lt;urls&gt;&lt;related-urls&gt;&lt;url&gt;https://www.bmj.com/content/bmj/368/bmj.l6890.full.pdf&lt;/url&gt;&lt;/related-urls&gt;&lt;/urls&gt;&lt;electronic-resource-num&gt;10.1136/bmj.l6890&lt;/electronic-resource-num&gt;&lt;/record&gt;&lt;/Cite&gt;&lt;/EndNote&gt;</w:instrText>
      </w:r>
      <w:r w:rsidRPr="005C2D2D">
        <w:fldChar w:fldCharType="separate"/>
      </w:r>
      <w:r w:rsidRPr="005C2D2D">
        <w:t>(Campbell et al., 2020)</w:t>
      </w:r>
      <w:r w:rsidRPr="005C2D2D">
        <w:fldChar w:fldCharType="end"/>
      </w:r>
      <w:r w:rsidRPr="005C2D2D">
        <w:t xml:space="preserve"> and is underpinned by a multi-level programme theory (MIP-CIE), which frames ‘support needs’ as a mismatch between individual cognitive/communication strengths and workplace demands </w:t>
      </w:r>
      <w:r w:rsidRPr="005C2D2D">
        <w:fldChar w:fldCharType="begin"/>
      </w:r>
      <w:r w:rsidRPr="005C2D2D">
        <w:instrText xml:space="preserve"> ADDIN EN.CITE &lt;EndNote&gt;&lt;Cite&gt;&lt;Author&gt;Kristof-Brown&lt;/Author&gt;&lt;Year&gt;2005&lt;/Year&gt;&lt;RecNum&gt;160&lt;/RecNum&gt;&lt;DisplayText&gt;(Kristof-Brown, Zimmerman, &amp;amp; Johnson, 2005)&lt;/DisplayText&gt;&lt;record&gt;&lt;rec-number&gt;160&lt;/rec-number&gt;&lt;foreign-keys&gt;&lt;key app="EN" db-id="9r0xdszvkxpd0qee99svpwt7tdv9zzed5z2f" timestamp="1769672623"&gt;160&lt;/key&gt;&lt;/foreign-keys&gt;&lt;ref-type name="Journal Article"&gt;17&lt;/ref-type&gt;&lt;contributors&gt;&lt;authors&gt;&lt;author&gt;Kristof-Brown, Amy L.&lt;/author&gt;&lt;author&gt;Zimmerman, Ryan D.&lt;/author&gt;&lt;author&gt;Johnson, Erin C.&lt;/author&gt;&lt;/authors&gt;&lt;/contributors&gt;&lt;auth-address&gt;Kristof-Brown, Amy L.: University of Iowa, Henry B. Tippie College of Business, Department of Management &amp;amp; Organizations, 108 Pappajohn Business Building, Iowa City, IA, US, 52242, amy-kristof-brown@uiowa.edu&lt;/auth-address&gt;&lt;titles&gt;&lt;title&gt;Consequences of individual&amp;apos;s fit at work: A meta-analysis of person-job, person-organization, person-group, and person-supervisor fit&lt;/title&gt;&lt;secondary-title&gt;Personnel Psychology&lt;/secondary-title&gt;&lt;/titles&gt;&lt;periodical&gt;&lt;full-title&gt;Personnel Psychology&lt;/full-title&gt;&lt;/periodical&gt;&lt;pages&gt;281-342&lt;/pages&gt;&lt;volume&gt;58&lt;/volume&gt;&lt;number&gt;2&lt;/number&gt;&lt;keywords&gt;&lt;keyword&gt;*Job Applicant Attitudes&lt;/keyword&gt;&lt;keyword&gt;*Job Satisfaction&lt;/keyword&gt;&lt;keyword&gt;*Personnel Selection&lt;/keyword&gt;&lt;keyword&gt;*Supervisor Employee Interaction&lt;/keyword&gt;&lt;keyword&gt;*Work (Attitudes Toward)&lt;/keyword&gt;&lt;keyword&gt;Personnel Evaluation&lt;/keyword&gt;&lt;keyword&gt;Personnel Recruitment&lt;/keyword&gt;&lt;keyword&gt;Consequence&lt;/keyword&gt;&lt;/keywords&gt;&lt;dates&gt;&lt;year&gt;2005&lt;/year&gt;&lt;/dates&gt;&lt;pub-location&gt;United Kingdom&lt;/pub-location&gt;&lt;publisher&gt;Blackwell Publishing&lt;/publisher&gt;&lt;isbn&gt;1744-6570(Electronic),0031-5826(Print)&lt;/isbn&gt;&lt;urls&gt;&lt;/urls&gt;&lt;electronic-resource-num&gt;10.1111/j.1744-6570.2005.00672.x&lt;/electronic-resource-num&gt;&lt;/record&gt;&lt;/Cite&gt;&lt;/EndNote&gt;</w:instrText>
      </w:r>
      <w:r w:rsidRPr="005C2D2D">
        <w:fldChar w:fldCharType="separate"/>
      </w:r>
      <w:r w:rsidRPr="005C2D2D">
        <w:t>(Kristof-Brown, Zimmerman, &amp; Johnson, 2005)</w:t>
      </w:r>
      <w:r w:rsidRPr="005C2D2D">
        <w:fldChar w:fldCharType="end"/>
      </w:r>
      <w:r w:rsidRPr="005C2D2D">
        <w:t xml:space="preserve">. For detailed findings, see </w:t>
      </w:r>
      <w:r w:rsidRPr="00E02D70">
        <w:rPr>
          <w:b/>
          <w:bCs/>
        </w:rPr>
        <w:t>Sections 5-10</w:t>
      </w:r>
      <w:r w:rsidRPr="005C2D2D">
        <w:t>.</w:t>
      </w:r>
    </w:p>
    <w:p w14:paraId="5F6E8853" w14:textId="77777777" w:rsidR="00D0002F" w:rsidRPr="00ED411B" w:rsidRDefault="00D0002F" w:rsidP="00D0002F">
      <w:pPr>
        <w:pStyle w:val="Heading2"/>
      </w:pPr>
      <w:bookmarkStart w:id="6" w:name="_Toc231220021"/>
      <w:r w:rsidRPr="00ED411B">
        <w:t>Scope and boundaries</w:t>
      </w:r>
      <w:bookmarkEnd w:id="6"/>
    </w:p>
    <w:tbl>
      <w:tblPr>
        <w:tblStyle w:val="CIETable"/>
        <w:tblW w:w="0" w:type="auto"/>
        <w:tblLook w:val="04A0" w:firstRow="1" w:lastRow="0" w:firstColumn="1" w:lastColumn="0" w:noHBand="0" w:noVBand="1"/>
      </w:tblPr>
      <w:tblGrid>
        <w:gridCol w:w="2326"/>
        <w:gridCol w:w="7302"/>
      </w:tblGrid>
      <w:tr w:rsidR="00D0002F" w:rsidRPr="00ED411B" w14:paraId="4D29BEC0" w14:textId="77777777" w:rsidTr="00481A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70C1A8" w14:textId="77777777" w:rsidR="00D0002F" w:rsidRPr="00D1785C" w:rsidRDefault="00D0002F" w:rsidP="00D0002F">
            <w:pPr>
              <w:pStyle w:val="TableHeading"/>
            </w:pPr>
            <w:r w:rsidRPr="00D1785C">
              <w:t>Decision Area</w:t>
            </w:r>
          </w:p>
        </w:tc>
        <w:tc>
          <w:tcPr>
            <w:tcW w:w="0" w:type="auto"/>
            <w:hideMark/>
          </w:tcPr>
          <w:p w14:paraId="36C20AEC" w14:textId="77777777" w:rsidR="00D0002F" w:rsidRPr="00D1785C" w:rsidRDefault="00D0002F" w:rsidP="00D0002F">
            <w:pPr>
              <w:pStyle w:val="TableHeading"/>
              <w:cnfStyle w:val="100000000000" w:firstRow="1" w:lastRow="0" w:firstColumn="0" w:lastColumn="0" w:oddVBand="0" w:evenVBand="0" w:oddHBand="0" w:evenHBand="0" w:firstRowFirstColumn="0" w:firstRowLastColumn="0" w:lastRowFirstColumn="0" w:lastRowLastColumn="0"/>
            </w:pPr>
            <w:r w:rsidRPr="00D1785C">
              <w:t>Rule Applied</w:t>
            </w:r>
          </w:p>
        </w:tc>
      </w:tr>
      <w:tr w:rsidR="00D0002F" w:rsidRPr="00ED411B" w14:paraId="256A2AE2"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879C5F" w14:textId="77777777" w:rsidR="00D0002F" w:rsidRPr="00D1785C" w:rsidRDefault="00D0002F" w:rsidP="00D0002F">
            <w:r w:rsidRPr="00D1785C">
              <w:t>Geographic focus</w:t>
            </w:r>
          </w:p>
        </w:tc>
        <w:tc>
          <w:tcPr>
            <w:tcW w:w="0" w:type="auto"/>
            <w:hideMark/>
          </w:tcPr>
          <w:p w14:paraId="4E86D36F" w14:textId="77777777" w:rsidR="00D0002F" w:rsidRPr="00D1785C" w:rsidRDefault="00D0002F" w:rsidP="00D0002F">
            <w:pPr>
              <w:cnfStyle w:val="000000100000" w:firstRow="0" w:lastRow="0" w:firstColumn="0" w:lastColumn="0" w:oddVBand="0" w:evenVBand="0" w:oddHBand="1" w:evenHBand="0" w:firstRowFirstColumn="0" w:firstRowLastColumn="0" w:lastRowFirstColumn="0" w:lastRowLastColumn="0"/>
            </w:pPr>
            <w:r w:rsidRPr="00D1785C">
              <w:t>International evidence with Australian relevance; Australian context highlighted.</w:t>
            </w:r>
          </w:p>
        </w:tc>
      </w:tr>
      <w:tr w:rsidR="00D0002F" w:rsidRPr="00ED411B" w14:paraId="440B004E"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FBE69B" w14:textId="77777777" w:rsidR="00D0002F" w:rsidRPr="00D1785C" w:rsidRDefault="00D0002F" w:rsidP="00D0002F">
            <w:r w:rsidRPr="00D1785C">
              <w:t>Language</w:t>
            </w:r>
          </w:p>
        </w:tc>
        <w:tc>
          <w:tcPr>
            <w:tcW w:w="0" w:type="auto"/>
            <w:hideMark/>
          </w:tcPr>
          <w:p w14:paraId="7ECAC596" w14:textId="77777777" w:rsidR="00D0002F" w:rsidRPr="00D1785C" w:rsidRDefault="00D0002F" w:rsidP="00D0002F">
            <w:pPr>
              <w:cnfStyle w:val="000000010000" w:firstRow="0" w:lastRow="0" w:firstColumn="0" w:lastColumn="0" w:oddVBand="0" w:evenVBand="0" w:oddHBand="0" w:evenHBand="1" w:firstRowFirstColumn="0" w:firstRowLastColumn="0" w:lastRowFirstColumn="0" w:lastRowLastColumn="0"/>
            </w:pPr>
            <w:r w:rsidRPr="00D1785C">
              <w:t>English only.</w:t>
            </w:r>
          </w:p>
        </w:tc>
      </w:tr>
      <w:tr w:rsidR="00D0002F" w:rsidRPr="00ED411B" w14:paraId="40345126"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179111" w14:textId="77777777" w:rsidR="00D0002F" w:rsidRPr="00D1785C" w:rsidRDefault="00D0002F" w:rsidP="00D0002F">
            <w:r w:rsidRPr="00D1785C">
              <w:t>Population</w:t>
            </w:r>
          </w:p>
        </w:tc>
        <w:tc>
          <w:tcPr>
            <w:tcW w:w="0" w:type="auto"/>
            <w:hideMark/>
          </w:tcPr>
          <w:p w14:paraId="24252620" w14:textId="77777777" w:rsidR="00D0002F" w:rsidRPr="00D1785C" w:rsidRDefault="00D0002F" w:rsidP="00D0002F">
            <w:pPr>
              <w:cnfStyle w:val="000000100000" w:firstRow="0" w:lastRow="0" w:firstColumn="0" w:lastColumn="0" w:oddVBand="0" w:evenVBand="0" w:oddHBand="1" w:evenHBand="0" w:firstRowFirstColumn="0" w:firstRowLastColumn="0" w:lastRowFirstColumn="0" w:lastRowLastColumn="0"/>
            </w:pPr>
            <w:r w:rsidRPr="00D1785C">
              <w:t>ID only; autism included only when co-occurring with ID and explicitly identified.</w:t>
            </w:r>
          </w:p>
        </w:tc>
      </w:tr>
      <w:tr w:rsidR="00D0002F" w:rsidRPr="00ED411B" w14:paraId="69F5F80E"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19E922" w14:textId="77777777" w:rsidR="00D0002F" w:rsidRPr="00D1785C" w:rsidRDefault="00D0002F" w:rsidP="00D0002F">
            <w:r w:rsidRPr="00D1785C">
              <w:t>Age/transition</w:t>
            </w:r>
          </w:p>
        </w:tc>
        <w:tc>
          <w:tcPr>
            <w:tcW w:w="0" w:type="auto"/>
            <w:hideMark/>
          </w:tcPr>
          <w:p w14:paraId="27119E63" w14:textId="77777777" w:rsidR="00D0002F" w:rsidRPr="00D1785C" w:rsidRDefault="00D0002F" w:rsidP="00D0002F">
            <w:pPr>
              <w:cnfStyle w:val="000000010000" w:firstRow="0" w:lastRow="0" w:firstColumn="0" w:lastColumn="0" w:oddVBand="0" w:evenVBand="0" w:oddHBand="0" w:evenHBand="1" w:firstRowFirstColumn="0" w:firstRowLastColumn="0" w:lastRowFirstColumn="0" w:lastRowLastColumn="0"/>
            </w:pPr>
            <w:r w:rsidRPr="00D1785C">
              <w:t xml:space="preserve">Includes school and post-school transition evidence; analysed separately. See </w:t>
            </w:r>
            <w:r w:rsidRPr="00D1785C">
              <w:rPr>
                <w:b/>
                <w:bCs/>
              </w:rPr>
              <w:t>Appendix I</w:t>
            </w:r>
            <w:r w:rsidRPr="00D1785C">
              <w:t xml:space="preserve"> for coding rules applied to transition-to-work studies, including school-based, post-school, and mixed-age cohorts.</w:t>
            </w:r>
          </w:p>
        </w:tc>
      </w:tr>
      <w:tr w:rsidR="00D0002F" w:rsidRPr="00ED411B" w14:paraId="2C763820"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3A24DA" w14:textId="77777777" w:rsidR="00D0002F" w:rsidRPr="00D1785C" w:rsidRDefault="00D0002F" w:rsidP="00D0002F">
            <w:r w:rsidRPr="00D1785C">
              <w:t>Service boundary</w:t>
            </w:r>
          </w:p>
        </w:tc>
        <w:tc>
          <w:tcPr>
            <w:tcW w:w="0" w:type="auto"/>
            <w:hideMark/>
          </w:tcPr>
          <w:p w14:paraId="7DA48B05" w14:textId="77777777" w:rsidR="00D0002F" w:rsidRPr="00D1785C" w:rsidRDefault="00D0002F" w:rsidP="00D0002F">
            <w:pPr>
              <w:cnfStyle w:val="000000100000" w:firstRow="0" w:lastRow="0" w:firstColumn="0" w:lastColumn="0" w:oddVBand="0" w:evenVBand="0" w:oddHBand="1" w:evenHBand="0" w:firstRowFirstColumn="0" w:firstRowLastColumn="0" w:lastRowFirstColumn="0" w:lastRowLastColumn="0"/>
            </w:pPr>
            <w:r w:rsidRPr="00D1785C">
              <w:t>Focus on service and workplace practices; policy levers noted only when embedded.</w:t>
            </w:r>
          </w:p>
        </w:tc>
      </w:tr>
      <w:tr w:rsidR="00D0002F" w:rsidRPr="00ED411B" w14:paraId="01B0F5F0"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540076" w14:textId="77777777" w:rsidR="00D0002F" w:rsidRPr="00D1785C" w:rsidRDefault="00D0002F" w:rsidP="00D0002F">
            <w:r w:rsidRPr="00D1785C">
              <w:t>Evidence types</w:t>
            </w:r>
          </w:p>
        </w:tc>
        <w:tc>
          <w:tcPr>
            <w:tcW w:w="0" w:type="auto"/>
            <w:hideMark/>
          </w:tcPr>
          <w:p w14:paraId="07A28ABC" w14:textId="77777777" w:rsidR="00D0002F" w:rsidRPr="00D1785C" w:rsidRDefault="00D0002F" w:rsidP="00D0002F">
            <w:pPr>
              <w:cnfStyle w:val="000000010000" w:firstRow="0" w:lastRow="0" w:firstColumn="0" w:lastColumn="0" w:oddVBand="0" w:evenVBand="0" w:oddHBand="0" w:evenHBand="1" w:firstRowFirstColumn="0" w:firstRowLastColumn="0" w:lastRowFirstColumn="0" w:lastRowLastColumn="0"/>
            </w:pPr>
            <w:r w:rsidRPr="00D1785C">
              <w:t>Peer-reviewed and select applied evidence; theses excluded; qualitative studies included.</w:t>
            </w:r>
          </w:p>
        </w:tc>
      </w:tr>
      <w:tr w:rsidR="00D0002F" w:rsidRPr="00ED411B" w14:paraId="5D1D8B6F" w14:textId="77777777" w:rsidTr="00481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7CD7AF08" w14:textId="77777777" w:rsidR="00D0002F" w:rsidRPr="00D1785C" w:rsidRDefault="00D0002F" w:rsidP="00D0002F">
            <w:r w:rsidRPr="00D1785C">
              <w:t>Quality/certainty</w:t>
            </w:r>
          </w:p>
        </w:tc>
        <w:tc>
          <w:tcPr>
            <w:tcW w:w="0" w:type="auto"/>
            <w:tcBorders>
              <w:bottom w:val="single" w:sz="4" w:space="0" w:color="C0C0C0" w:themeColor="accent5"/>
            </w:tcBorders>
            <w:hideMark/>
          </w:tcPr>
          <w:p w14:paraId="7962C49C" w14:textId="77777777" w:rsidR="00D0002F" w:rsidRPr="00D1785C" w:rsidRDefault="00D0002F" w:rsidP="00D0002F">
            <w:pPr>
              <w:cnfStyle w:val="000000100000" w:firstRow="0" w:lastRow="0" w:firstColumn="0" w:lastColumn="0" w:oddVBand="0" w:evenVBand="0" w:oddHBand="1" w:evenHBand="0" w:firstRowFirstColumn="0" w:firstRowLastColumn="0" w:lastRowFirstColumn="0" w:lastRowLastColumn="0"/>
            </w:pPr>
            <w:r w:rsidRPr="00D1785C">
              <w:t>Certainty signalled in tables and brief narrative; Systematic reviews appraised using AMSTAR-2.</w:t>
            </w:r>
          </w:p>
        </w:tc>
      </w:tr>
      <w:tr w:rsidR="00D0002F" w:rsidRPr="00ED411B" w14:paraId="47671451" w14:textId="77777777" w:rsidTr="00481A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517AF76B" w14:textId="77777777" w:rsidR="00D0002F" w:rsidRPr="00D1785C" w:rsidRDefault="00D0002F" w:rsidP="00D0002F">
            <w:r w:rsidRPr="00D1785C">
              <w:lastRenderedPageBreak/>
              <w:t>Transferability</w:t>
            </w:r>
          </w:p>
        </w:tc>
        <w:tc>
          <w:tcPr>
            <w:tcW w:w="0" w:type="auto"/>
            <w:tcBorders>
              <w:bottom w:val="single" w:sz="4" w:space="0" w:color="C0C0C0" w:themeColor="accent5"/>
            </w:tcBorders>
            <w:hideMark/>
          </w:tcPr>
          <w:p w14:paraId="75729265" w14:textId="77777777" w:rsidR="00D0002F" w:rsidRPr="00D1785C" w:rsidRDefault="00D0002F" w:rsidP="00D0002F">
            <w:pPr>
              <w:cnfStyle w:val="000000010000" w:firstRow="0" w:lastRow="0" w:firstColumn="0" w:lastColumn="0" w:oddVBand="0" w:evenVBand="0" w:oddHBand="0" w:evenHBand="1" w:firstRowFirstColumn="0" w:firstRowLastColumn="0" w:lastRowFirstColumn="0" w:lastRowLastColumn="0"/>
            </w:pPr>
            <w:r w:rsidRPr="00D1785C">
              <w:t>Criteria-first screen, followed by case-by-case judgement with rationale.</w:t>
            </w:r>
          </w:p>
        </w:tc>
      </w:tr>
    </w:tbl>
    <w:p w14:paraId="5883495B" w14:textId="77777777" w:rsidR="00D0002F" w:rsidRDefault="00D0002F" w:rsidP="00D0002F">
      <w:r>
        <w:br w:type="page"/>
      </w:r>
    </w:p>
    <w:p w14:paraId="3FA21168" w14:textId="77777777" w:rsidR="00D0002F" w:rsidRPr="00ED411B" w:rsidRDefault="00D0002F" w:rsidP="00D0002F">
      <w:pPr>
        <w:pStyle w:val="Heading2"/>
      </w:pPr>
      <w:bookmarkStart w:id="7" w:name="_Toc231220022"/>
      <w:r w:rsidRPr="00ED411B">
        <w:lastRenderedPageBreak/>
        <w:t>Key findings</w:t>
      </w:r>
      <w:bookmarkEnd w:id="7"/>
    </w:p>
    <w:p w14:paraId="4782AB75" w14:textId="77777777" w:rsidR="00D0002F" w:rsidRPr="005C2D2D" w:rsidRDefault="00D0002F" w:rsidP="00D0002F">
      <w:pPr>
        <w:pStyle w:val="NumberedBullet"/>
      </w:pPr>
      <w:r w:rsidRPr="005C2D2D">
        <w:rPr>
          <w:b/>
          <w:bCs/>
        </w:rPr>
        <w:t>CIE outcomes are strongest</w:t>
      </w:r>
      <w:r w:rsidRPr="005C2D2D">
        <w:t xml:space="preserve"> when support is delivered as a package – not as isolated components. Effective models combine job development, employer engagement, job matching/customisation, workplace-based training (systematic instruction), and ongoing follow-along support.</w:t>
      </w:r>
    </w:p>
    <w:p w14:paraId="7AF877D3" w14:textId="77777777" w:rsidR="00D0002F" w:rsidRPr="005C2D2D" w:rsidRDefault="00D0002F" w:rsidP="00D0002F">
      <w:pPr>
        <w:pStyle w:val="NumberedBullet"/>
      </w:pPr>
      <w:r w:rsidRPr="005C2D2D">
        <w:rPr>
          <w:b/>
          <w:bCs/>
        </w:rPr>
        <w:t xml:space="preserve">Employer-facing practices are essential: </w:t>
      </w:r>
      <w:r w:rsidRPr="005C2D2D">
        <w:t>Addressing employer risk, supervision, inclusion, and task design improves both job attainment and quality – more so than jobseeker-only approaches.</w:t>
      </w:r>
    </w:p>
    <w:p w14:paraId="2919CF11" w14:textId="77777777" w:rsidR="00D0002F" w:rsidRPr="005C2D2D" w:rsidRDefault="00D0002F" w:rsidP="00D0002F">
      <w:pPr>
        <w:pStyle w:val="NumberedBullet"/>
      </w:pPr>
      <w:r w:rsidRPr="005C2D2D">
        <w:rPr>
          <w:b/>
          <w:bCs/>
        </w:rPr>
        <w:t xml:space="preserve">Support intensity (‘dose’) and continuity are critical: </w:t>
      </w:r>
      <w:r w:rsidRPr="005C2D2D">
        <w:t>Time-limited or low-intensity support undermines retention. Sustained outcomes require support that tapers and re-intensifies in response to workplace changes.</w:t>
      </w:r>
    </w:p>
    <w:p w14:paraId="5E298AED" w14:textId="77777777" w:rsidR="00D0002F" w:rsidRPr="005C2D2D" w:rsidRDefault="00D0002F" w:rsidP="00D0002F">
      <w:pPr>
        <w:pStyle w:val="NumberedBullet"/>
      </w:pPr>
      <w:r w:rsidRPr="005C2D2D">
        <w:rPr>
          <w:b/>
          <w:bCs/>
        </w:rPr>
        <w:t xml:space="preserve">Job quality depends on inclusive design: </w:t>
      </w:r>
      <w:r w:rsidRPr="005C2D2D">
        <w:t>High cognitive and social demands (e.g. complex instructions, unspoken norms) can limit integration, satisfaction, and progression. Belonging, respectful supervision, and role clarity are key to sustained participation.</w:t>
      </w:r>
    </w:p>
    <w:p w14:paraId="7AC3986F" w14:textId="77777777" w:rsidR="00D0002F" w:rsidRPr="005C2D2D" w:rsidRDefault="00D0002F" w:rsidP="00D0002F">
      <w:pPr>
        <w:pStyle w:val="NumberedBullet"/>
      </w:pPr>
      <w:r w:rsidRPr="005C2D2D">
        <w:rPr>
          <w:b/>
          <w:bCs/>
        </w:rPr>
        <w:t xml:space="preserve">Reframing support needs as mismatch improves targeting: </w:t>
      </w:r>
      <w:r w:rsidRPr="005C2D2D">
        <w:t>Many support needs arise from poor fit between the person and the workplace environment – not from fixed deficits. This shifts service design towards job/task redesign, environmental supports, and supervisor/coworker scaffolding.</w:t>
      </w:r>
    </w:p>
    <w:p w14:paraId="3CBBE192" w14:textId="77777777" w:rsidR="00D0002F" w:rsidRPr="00ED411B" w:rsidRDefault="00D0002F" w:rsidP="00D0002F">
      <w:pPr>
        <w:pStyle w:val="Heading2"/>
      </w:pPr>
      <w:bookmarkStart w:id="8" w:name="_Toc231220023"/>
      <w:r w:rsidRPr="00ED411B">
        <w:t>Implications for service design</w:t>
      </w:r>
      <w:bookmarkEnd w:id="8"/>
    </w:p>
    <w:p w14:paraId="0EC972A3" w14:textId="77777777" w:rsidR="00D0002F" w:rsidRPr="005C2D2D" w:rsidRDefault="00D0002F" w:rsidP="00D0002F">
      <w:pPr>
        <w:pStyle w:val="NumberedBullet"/>
      </w:pPr>
      <w:r w:rsidRPr="005C2D2D">
        <w:rPr>
          <w:b/>
          <w:bCs/>
        </w:rPr>
        <w:t>Design for the full pathway:</w:t>
      </w:r>
      <w:r w:rsidRPr="005C2D2D">
        <w:t xml:space="preserve"> Place-Train-Maintain. Integrate employer engagement, job matching/customisation, systematic instruction, and follow-along supports with clear re-intensification triggers.</w:t>
      </w:r>
    </w:p>
    <w:p w14:paraId="613F8D76" w14:textId="77777777" w:rsidR="00D0002F" w:rsidRPr="005C2D2D" w:rsidRDefault="00D0002F" w:rsidP="00D0002F">
      <w:pPr>
        <w:pStyle w:val="NumberedBullet"/>
      </w:pPr>
      <w:r w:rsidRPr="005C2D2D">
        <w:rPr>
          <w:b/>
          <w:bCs/>
        </w:rPr>
        <w:t xml:space="preserve">Prioritise mismatch reduction: </w:t>
      </w:r>
      <w:r w:rsidRPr="005C2D2D">
        <w:t xml:space="preserve">Treat </w:t>
      </w:r>
      <w:r w:rsidRPr="001C3477">
        <w:t>cognitive</w:t>
      </w:r>
      <w:r w:rsidRPr="005C2D2D">
        <w:t>-environment fit as a design task to simplify tasks, reduce language complexity, use visual cues, and build predictable routines.</w:t>
      </w:r>
    </w:p>
    <w:p w14:paraId="5E22D530" w14:textId="77777777" w:rsidR="00D0002F" w:rsidRPr="005C2D2D" w:rsidRDefault="00D0002F" w:rsidP="00D0002F">
      <w:pPr>
        <w:pStyle w:val="NumberedBullet"/>
      </w:pPr>
      <w:r w:rsidRPr="005C2D2D">
        <w:rPr>
          <w:b/>
          <w:bCs/>
        </w:rPr>
        <w:t>Treat employers as partners:</w:t>
      </w:r>
      <w:r w:rsidRPr="005C2D2D">
        <w:t xml:space="preserve"> Fund and plan for employer-facing supports (e.g. supervisor coaching, job redesign, natural supports) and measure them as core outputs.</w:t>
      </w:r>
    </w:p>
    <w:p w14:paraId="79596CCC" w14:textId="77777777" w:rsidR="00D0002F" w:rsidRPr="005C2D2D" w:rsidRDefault="00D0002F" w:rsidP="00D0002F">
      <w:pPr>
        <w:pStyle w:val="NumberedBullet"/>
      </w:pPr>
      <w:r w:rsidRPr="005C2D2D">
        <w:rPr>
          <w:b/>
          <w:bCs/>
        </w:rPr>
        <w:t>Plan for continuity and responsiveness:</w:t>
      </w:r>
      <w:r w:rsidRPr="005C2D2D">
        <w:t xml:space="preserve"> </w:t>
      </w:r>
      <w:r w:rsidRPr="001C3477">
        <w:t>Include</w:t>
      </w:r>
      <w:r w:rsidRPr="005C2D2D">
        <w:t xml:space="preserve"> maintenance support and rapid response protocols to address workplace changes within days, not weeks.</w:t>
      </w:r>
    </w:p>
    <w:p w14:paraId="76AFD08E" w14:textId="77777777" w:rsidR="00D0002F" w:rsidRPr="001C3477" w:rsidRDefault="00D0002F" w:rsidP="00D0002F">
      <w:pPr>
        <w:pStyle w:val="NumberedBullet"/>
      </w:pPr>
      <w:r w:rsidRPr="005C2D2D">
        <w:rPr>
          <w:b/>
          <w:bCs/>
        </w:rPr>
        <w:t>Tailor transition pathways:</w:t>
      </w:r>
      <w:r w:rsidRPr="005C2D2D">
        <w:t xml:space="preserve"> School-based cohorts benefit from early work </w:t>
      </w:r>
      <w:r w:rsidRPr="005C2D2D">
        <w:lastRenderedPageBreak/>
        <w:t>exposure and coordinated planning; post-school cohorts need strong employer engagement and continuity, scaled to job complexity and support needs.</w:t>
      </w:r>
    </w:p>
    <w:p w14:paraId="51E0E0EE" w14:textId="77777777" w:rsidR="00D0002F" w:rsidRPr="00ED411B" w:rsidRDefault="00D0002F" w:rsidP="00D0002F">
      <w:pPr>
        <w:pStyle w:val="Heading2"/>
      </w:pPr>
      <w:bookmarkStart w:id="9" w:name="_Toc231220024"/>
      <w:r w:rsidRPr="00ED411B">
        <w:t>Implications for training</w:t>
      </w:r>
      <w:bookmarkEnd w:id="9"/>
    </w:p>
    <w:p w14:paraId="3B21E25A" w14:textId="77777777" w:rsidR="00D0002F" w:rsidRPr="005C2D2D" w:rsidRDefault="00D0002F" w:rsidP="00D0002F">
      <w:pPr>
        <w:pStyle w:val="NumberedBullet"/>
      </w:pPr>
      <w:r w:rsidRPr="005C2D2D">
        <w:rPr>
          <w:b/>
          <w:bCs/>
        </w:rPr>
        <w:t>Employer engagement and job development:</w:t>
      </w:r>
      <w:r w:rsidRPr="005C2D2D">
        <w:t xml:space="preserve"> relationship-building, role negotiation, articulating business value, and sustaining partnerships.</w:t>
      </w:r>
    </w:p>
    <w:p w14:paraId="1DF57302" w14:textId="77777777" w:rsidR="00D0002F" w:rsidRPr="005C2D2D" w:rsidRDefault="00D0002F" w:rsidP="00D0002F">
      <w:pPr>
        <w:pStyle w:val="NumberedBullet"/>
      </w:pPr>
      <w:r w:rsidRPr="005C2D2D">
        <w:rPr>
          <w:b/>
          <w:bCs/>
        </w:rPr>
        <w:t>Job analysis and task redesign:</w:t>
      </w:r>
      <w:r w:rsidRPr="005C2D2D">
        <w:t xml:space="preserve"> job carving, simplifying tasks, visual supports, and low-complexity instructions.</w:t>
      </w:r>
    </w:p>
    <w:p w14:paraId="6C49E52C" w14:textId="77777777" w:rsidR="00D0002F" w:rsidRPr="005C2D2D" w:rsidRDefault="00D0002F" w:rsidP="00D0002F">
      <w:pPr>
        <w:pStyle w:val="NumberedBullet"/>
      </w:pPr>
      <w:r w:rsidRPr="005C2D2D">
        <w:rPr>
          <w:b/>
          <w:bCs/>
        </w:rPr>
        <w:t>Systematic instruction and coaching:</w:t>
      </w:r>
      <w:r w:rsidRPr="005C2D2D">
        <w:t xml:space="preserve"> prompting/fading, </w:t>
      </w:r>
      <w:r w:rsidRPr="001C3477">
        <w:t>mastery</w:t>
      </w:r>
      <w:r w:rsidRPr="005C2D2D">
        <w:t xml:space="preserve"> criteria, real-world coaching, and fidelity monitoring.</w:t>
      </w:r>
    </w:p>
    <w:p w14:paraId="69E9B3D4" w14:textId="77777777" w:rsidR="00D0002F" w:rsidRPr="005C2D2D" w:rsidRDefault="00D0002F" w:rsidP="00D0002F">
      <w:pPr>
        <w:pStyle w:val="NumberedBullet"/>
      </w:pPr>
      <w:r w:rsidRPr="005C2D2D">
        <w:rPr>
          <w:b/>
          <w:bCs/>
        </w:rPr>
        <w:t>Natural supports and inclusion:</w:t>
      </w:r>
      <w:r w:rsidRPr="005C2D2D">
        <w:t xml:space="preserve"> supervisor coaching, coworker mentoring, role clarity, stigma reduction, and fostering belonging.</w:t>
      </w:r>
    </w:p>
    <w:p w14:paraId="45A4CCF8" w14:textId="77777777" w:rsidR="00D0002F" w:rsidRPr="005C2D2D" w:rsidRDefault="00D0002F" w:rsidP="00D0002F">
      <w:pPr>
        <w:pStyle w:val="NumberedBullet"/>
      </w:pPr>
      <w:r w:rsidRPr="005C2D2D">
        <w:rPr>
          <w:b/>
          <w:bCs/>
        </w:rPr>
        <w:t>Follow-along and re-intensification:</w:t>
      </w:r>
      <w:r w:rsidRPr="005C2D2D">
        <w:t xml:space="preserve"> maintenance planning, early issue detection, and rapid response to sustain employment.</w:t>
      </w:r>
    </w:p>
    <w:p w14:paraId="5E5810B9" w14:textId="77777777" w:rsidR="00D0002F" w:rsidRPr="005C2D2D" w:rsidRDefault="00D0002F" w:rsidP="00D0002F">
      <w:pPr>
        <w:pStyle w:val="NumberedBullet"/>
      </w:pPr>
      <w:r w:rsidRPr="005C2D2D">
        <w:rPr>
          <w:b/>
          <w:bCs/>
        </w:rPr>
        <w:t>Transition practice:</w:t>
      </w:r>
      <w:r w:rsidRPr="005C2D2D">
        <w:t xml:space="preserve"> designing work exposure, coordinating education/employment pathways, aligning with school-to-work, Employment Readiness Programmes, and engaging families as partners in risk management.</w:t>
      </w:r>
    </w:p>
    <w:p w14:paraId="73865FBF" w14:textId="77777777" w:rsidR="00D0002F" w:rsidRDefault="00D0002F" w:rsidP="00D0002F">
      <w:r>
        <w:br w:type="page"/>
      </w:r>
    </w:p>
    <w:p w14:paraId="05141ABA" w14:textId="77777777" w:rsidR="00D0002F" w:rsidRPr="00ED411B" w:rsidRDefault="00D0002F" w:rsidP="0068699F">
      <w:pPr>
        <w:pStyle w:val="Numberedheading1"/>
      </w:pPr>
      <w:bookmarkStart w:id="10" w:name="_Toc231220025"/>
      <w:r w:rsidRPr="00ED411B">
        <w:lastRenderedPageBreak/>
        <w:t xml:space="preserve">Background and </w:t>
      </w:r>
      <w:r>
        <w:t>p</w:t>
      </w:r>
      <w:r w:rsidRPr="00ED411B">
        <w:t>urpose</w:t>
      </w:r>
      <w:bookmarkEnd w:id="10"/>
    </w:p>
    <w:p w14:paraId="6F51FA1B" w14:textId="77777777" w:rsidR="00D0002F" w:rsidRPr="005C2D2D" w:rsidRDefault="00D0002F" w:rsidP="00D0002F">
      <w:r w:rsidRPr="005C2D2D">
        <w:t xml:space="preserve">Competitive integrated employment (CIE) </w:t>
      </w:r>
      <w:r w:rsidRPr="005C2D2D">
        <w:fldChar w:fldCharType="begin"/>
      </w:r>
      <w:r w:rsidRPr="005C2D2D">
        <w:instrText xml:space="preserve"> ADDIN EN.CITE &lt;EndNote&gt;&lt;Cite&gt;&lt;Author&gt;U.S. Department of Education&lt;/Author&gt;&lt;Year&gt;n.d.&lt;/Year&gt;&lt;RecNum&gt;129&lt;/RecNum&gt;&lt;DisplayText&gt;(U.S. Department of Education, n.d.)&lt;/DisplayText&gt;&lt;record&gt;&lt;rec-number&gt;129&lt;/rec-number&gt;&lt;foreign-keys&gt;&lt;key app="EN" db-id="9r0xdszvkxpd0qee99svpwt7tdv9zzed5z2f" timestamp="1769670959"&gt;129&lt;/key&gt;&lt;/foreign-keys&gt;&lt;ref-type name="Legal Rule or Regulation"&gt;50&lt;/ref-type&gt;&lt;contributors&gt;&lt;authors&gt;&lt;author&gt;U.S. Department of Education,&lt;/author&gt;&lt;/authors&gt;&lt;/contributors&gt;&lt;titles&gt;&lt;title&gt;Competitive Integrated Employment&lt;/title&gt;&lt;/titles&gt;&lt;dates&gt;&lt;year&gt;n.d.&lt;/year&gt;&lt;/dates&gt;&lt;urls&gt;&lt;related-urls&gt;&lt;url&gt;https://www.ecfr.gov/current/title-34/subtitle-B/chapter-III/part-361/section-361.5&lt;/url&gt;&lt;/related-urls&gt;&lt;/urls&gt;&lt;/record&gt;&lt;/Cite&gt;&lt;Cite&gt;&lt;Author&gt;U.S. Department of Education&lt;/Author&gt;&lt;Year&gt;n.d.&lt;/Year&gt;&lt;RecNum&gt;129&lt;/RecNum&gt;&lt;record&gt;&lt;rec-number&gt;129&lt;/rec-number&gt;&lt;foreign-keys&gt;&lt;key app="EN" db-id="9r0xdszvkxpd0qee99svpwt7tdv9zzed5z2f" timestamp="1769670959"&gt;129&lt;/key&gt;&lt;/foreign-keys&gt;&lt;ref-type name="Legal Rule or Regulation"&gt;50&lt;/ref-type&gt;&lt;contributors&gt;&lt;authors&gt;&lt;author&gt;U.S. Department of Education,&lt;/author&gt;&lt;/authors&gt;&lt;/contributors&gt;&lt;titles&gt;&lt;title&gt;Competitive Integrated Employment&lt;/title&gt;&lt;/titles&gt;&lt;dates&gt;&lt;year&gt;n.d.&lt;/year&gt;&lt;/dates&gt;&lt;urls&gt;&lt;related-urls&gt;&lt;url&gt;https://www.ecfr.gov/current/title-34/subtitle-B/chapter-III/part-361/section-361.5&lt;/url&gt;&lt;/related-urls&gt;&lt;/urls&gt;&lt;/record&gt;&lt;/Cite&gt;&lt;/EndNote&gt;</w:instrText>
      </w:r>
      <w:r w:rsidRPr="005C2D2D">
        <w:fldChar w:fldCharType="separate"/>
      </w:r>
      <w:r w:rsidRPr="005C2D2D">
        <w:t>(U.S. Department of Education, n.d.)</w:t>
      </w:r>
      <w:r w:rsidRPr="005C2D2D">
        <w:fldChar w:fldCharType="end"/>
      </w:r>
      <w:r w:rsidRPr="005C2D2D">
        <w:t xml:space="preserve"> – commonly referred to in Australia as open employment – means ordinary, paid work in mainstream settings where people with and without disability work together. In this report, we use ‘CIE’ and ‘open employment’ interchangeably, while retaining the terminology used by individual sources where relevant.</w:t>
      </w:r>
    </w:p>
    <w:p w14:paraId="36F4C1EA" w14:textId="77777777" w:rsidR="00D0002F" w:rsidRPr="005C2D2D" w:rsidRDefault="00D0002F" w:rsidP="00D0002F">
      <w:r w:rsidRPr="005C2D2D">
        <w:t>For clarity, CIE/open employment is treated as meeting three minimum standards:</w:t>
      </w:r>
    </w:p>
    <w:p w14:paraId="66BFFB42" w14:textId="77777777" w:rsidR="00D0002F" w:rsidRPr="005C2D2D" w:rsidRDefault="00D0002F" w:rsidP="00D0002F">
      <w:pPr>
        <w:pStyle w:val="NumberedBullet"/>
      </w:pPr>
      <w:r w:rsidRPr="005C2D2D">
        <w:rPr>
          <w:b/>
          <w:bCs/>
        </w:rPr>
        <w:t>Fair pay and conditions</w:t>
      </w:r>
      <w:r w:rsidRPr="005C2D2D">
        <w:t xml:space="preserve"> (at least minimum or award wages, with standard employment conditions).</w:t>
      </w:r>
    </w:p>
    <w:p w14:paraId="6E16F73A" w14:textId="77777777" w:rsidR="00D0002F" w:rsidRPr="005C2D2D" w:rsidRDefault="00D0002F" w:rsidP="00D0002F">
      <w:pPr>
        <w:pStyle w:val="NumberedBullet"/>
      </w:pPr>
      <w:r w:rsidRPr="005C2D2D">
        <w:rPr>
          <w:b/>
          <w:bCs/>
        </w:rPr>
        <w:t>An integrated workplace</w:t>
      </w:r>
      <w:r w:rsidRPr="005C2D2D">
        <w:t xml:space="preserve"> (meaningful </w:t>
      </w:r>
      <w:r w:rsidRPr="0036148B">
        <w:t>interaction</w:t>
      </w:r>
      <w:r w:rsidRPr="005C2D2D">
        <w:t xml:space="preserve"> with coworkers and/or customers without disability).</w:t>
      </w:r>
    </w:p>
    <w:p w14:paraId="02176DA0" w14:textId="77777777" w:rsidR="00D0002F" w:rsidRPr="005C2D2D" w:rsidRDefault="00D0002F" w:rsidP="00D0002F">
      <w:pPr>
        <w:pStyle w:val="NumberedBullet"/>
      </w:pPr>
      <w:r w:rsidRPr="005C2D2D">
        <w:rPr>
          <w:b/>
          <w:bCs/>
        </w:rPr>
        <w:t>Opportunities to build and progress</w:t>
      </w:r>
      <w:r w:rsidRPr="005C2D2D">
        <w:t xml:space="preserve"> (skill development, increased hours and/or wages, and pathways to advancement).</w:t>
      </w:r>
    </w:p>
    <w:p w14:paraId="57D548D9" w14:textId="77777777" w:rsidR="00D0002F" w:rsidRPr="005C2D2D" w:rsidRDefault="00D0002F" w:rsidP="00D0002F">
      <w:r w:rsidRPr="005C2D2D">
        <w:t xml:space="preserve">Despite decades of disability rights and policy effort, open employment remains out of reach for many people with intellectual disability. The challenge is not only getting a job; it is also keeping the job and improving job quality over time. Throughout this report, support needs are framed as a person-environment interaction – the fit between a person’s strengths, the job’s demands, workplace design, and the supports available – rather than a fixed attribute of the individual </w:t>
      </w:r>
      <w:r w:rsidRPr="005C2D2D">
        <w:fldChar w:fldCharType="begin"/>
      </w:r>
      <w:r w:rsidRPr="005C2D2D">
        <w:instrText xml:space="preserve"> ADDIN EN.CITE &lt;EndNote&gt;&lt;Cite&gt;&lt;Author&gt;Sekiguchi&lt;/Author&gt;&lt;Year&gt;2021&lt;/Year&gt;&lt;RecNum&gt;159&lt;/RecNum&gt;&lt;DisplayText&gt;(Sekiguchi &amp;amp; Yang, 2021)&lt;/DisplayText&gt;&lt;record&gt;&lt;rec-number&gt;159&lt;/rec-number&gt;&lt;foreign-keys&gt;&lt;key app="EN" db-id="9r0xdszvkxpd0qee99svpwt7tdv9zzed5z2f" timestamp="1769672616"&gt;159&lt;/key&gt;&lt;/foreign-keys&gt;&lt;ref-type name="Generic"&gt;13&lt;/ref-type&gt;&lt;contributors&gt;&lt;authors&gt;&lt;author&gt;Sekiguchi, Tomoki&lt;/author&gt;&lt;author&gt;Yang, Yunyue&lt;/author&gt;&lt;/authors&gt;&lt;/contributors&gt;&lt;titles&gt;&lt;title&gt;Person–Environment Fit From an Organizational Psychology Perspective&lt;/title&gt;&lt;/titles&gt;&lt;dates&gt;&lt;year&gt;2021&lt;/year&gt;&lt;pub-dates&gt;&lt;date&gt;2021-06-28&lt;/date&gt;&lt;/pub-dates&gt;&lt;/dates&gt;&lt;publisher&gt;Oxford University Press&lt;/publisher&gt;&lt;urls&gt;&lt;related-urls&gt;&lt;url&gt;https://oxfordre.com/psychology/view/10.1093/acrefore/9780190236557.001.0001/acrefore-9780190236557-e-26&lt;/url&gt;&lt;/related-urls&gt;&lt;/urls&gt;&lt;electronic-resource-num&gt;10.1093/acrefore/9780190236557.013.26&lt;/electronic-resource-num&gt;&lt;language&gt;English&lt;/language&gt;&lt;/record&gt;&lt;/Cite&gt;&lt;/EndNote&gt;</w:instrText>
      </w:r>
      <w:r w:rsidRPr="005C2D2D">
        <w:fldChar w:fldCharType="separate"/>
      </w:r>
      <w:r w:rsidRPr="005C2D2D">
        <w:t>(Sekiguchi &amp; Yang, 2021)</w:t>
      </w:r>
      <w:r w:rsidRPr="005C2D2D">
        <w:fldChar w:fldCharType="end"/>
      </w:r>
      <w:r w:rsidRPr="005C2D2D">
        <w:t>.</w:t>
      </w:r>
    </w:p>
    <w:p w14:paraId="2C588FBE" w14:textId="1ECF3238" w:rsidR="00D0002F" w:rsidRPr="008873AE" w:rsidRDefault="00D0002F" w:rsidP="00807628">
      <w:pPr>
        <w:pStyle w:val="Numberedheading2"/>
      </w:pPr>
      <w:bookmarkStart w:id="11" w:name="_Toc231220026"/>
      <w:r>
        <w:t>Key challenges in achieving open employment for people with intellectual disability</w:t>
      </w:r>
      <w:bookmarkEnd w:id="11"/>
    </w:p>
    <w:p w14:paraId="5C8F2D82" w14:textId="77777777" w:rsidR="00D0002F" w:rsidRPr="00ED411B" w:rsidRDefault="00D0002F" w:rsidP="00D0002F">
      <w:r w:rsidRPr="00ED411B">
        <w:t>Several persistent barriers interact across levels (individual, family, workplace, service system and policy/structural settings):</w:t>
      </w:r>
    </w:p>
    <w:p w14:paraId="7BD1CAFC" w14:textId="77777777" w:rsidR="00D0002F" w:rsidRPr="005C2D2D" w:rsidRDefault="00D0002F" w:rsidP="00D0002F">
      <w:pPr>
        <w:pStyle w:val="NumberedBullet"/>
      </w:pPr>
      <w:r w:rsidRPr="005C2D2D">
        <w:rPr>
          <w:b/>
          <w:bCs/>
        </w:rPr>
        <w:t>A gap between policy intent and everyday practice:</w:t>
      </w:r>
      <w:r w:rsidRPr="005C2D2D">
        <w:t xml:space="preserve"> </w:t>
      </w:r>
      <w:r w:rsidRPr="00A33118">
        <w:t>rights</w:t>
      </w:r>
      <w:r w:rsidRPr="005C2D2D">
        <w:t>-based commitments do not consistently translate into accessible recruitment, inclusive job design, and sustained supports in real workplaces.</w:t>
      </w:r>
    </w:p>
    <w:p w14:paraId="3A6521EE" w14:textId="77777777" w:rsidR="00D0002F" w:rsidRPr="005C2D2D" w:rsidRDefault="00D0002F" w:rsidP="00D0002F">
      <w:pPr>
        <w:pStyle w:val="NumberedBullet"/>
      </w:pPr>
      <w:r w:rsidRPr="005C2D2D">
        <w:rPr>
          <w:b/>
          <w:bCs/>
        </w:rPr>
        <w:t>Employer demand and ‘risk’ perceptions:</w:t>
      </w:r>
      <w:r w:rsidRPr="005C2D2D">
        <w:t xml:space="preserve"> employers may over-estimate productivity or supervision burdens and under-estimate the effectiveness of accommodations and job coaching, constraining opportunities unless providers can offer credible employer engagement, job design, and follow-along support.</w:t>
      </w:r>
    </w:p>
    <w:p w14:paraId="54D36F04" w14:textId="77777777" w:rsidR="00D0002F" w:rsidRPr="005C2D2D" w:rsidRDefault="00D0002F" w:rsidP="00D0002F">
      <w:pPr>
        <w:pStyle w:val="NumberedBullet"/>
      </w:pPr>
      <w:r w:rsidRPr="005C2D2D">
        <w:rPr>
          <w:b/>
          <w:bCs/>
        </w:rPr>
        <w:lastRenderedPageBreak/>
        <w:t>School-to-work transitions and limited work exposure:</w:t>
      </w:r>
      <w:r w:rsidRPr="005C2D2D">
        <w:t xml:space="preserve"> </w:t>
      </w:r>
      <w:r w:rsidRPr="00A33118">
        <w:t>limited</w:t>
      </w:r>
      <w:r w:rsidRPr="005C2D2D">
        <w:t xml:space="preserve"> employer-linked pathways, work experience, and coordinated transition planning can narrow vocational identity, networks, and job match quality before services begin.</w:t>
      </w:r>
    </w:p>
    <w:p w14:paraId="4E56D833" w14:textId="77777777" w:rsidR="00D0002F" w:rsidRPr="005C2D2D" w:rsidRDefault="00D0002F" w:rsidP="00D0002F">
      <w:pPr>
        <w:pStyle w:val="NumberedBullet"/>
      </w:pPr>
      <w:r w:rsidRPr="005C2D2D">
        <w:rPr>
          <w:b/>
          <w:bCs/>
        </w:rPr>
        <w:t>Variable delivery of evidence-informed supports:</w:t>
      </w:r>
      <w:r w:rsidRPr="005C2D2D">
        <w:t xml:space="preserve"> Supported and Customised Employment approaches are widely promoted, </w:t>
      </w:r>
      <w:r w:rsidRPr="00A33118">
        <w:t>but</w:t>
      </w:r>
      <w:r w:rsidRPr="005C2D2D">
        <w:t xml:space="preserve"> outcomes depend on whether key components are delivered at sufficient intensity and duration (for example, job development, systematic instruction, and re-intensification of support when work conditions change).</w:t>
      </w:r>
    </w:p>
    <w:p w14:paraId="74B0FE02" w14:textId="77777777" w:rsidR="00D0002F" w:rsidRPr="005C2D2D" w:rsidRDefault="00D0002F" w:rsidP="00D0002F">
      <w:pPr>
        <w:pStyle w:val="NumberedBullet"/>
      </w:pPr>
      <w:r w:rsidRPr="005C2D2D">
        <w:rPr>
          <w:b/>
          <w:bCs/>
        </w:rPr>
        <w:t>Job quality and durability:</w:t>
      </w:r>
      <w:r w:rsidRPr="005C2D2D">
        <w:t xml:space="preserve"> success includes adequate hours, fair wages, job security, social inclusion at work, and opportunities to progress. Without workplace inclusion practices and ongoing supports, early placements can be fragile.</w:t>
      </w:r>
    </w:p>
    <w:p w14:paraId="450D78A1" w14:textId="77777777" w:rsidR="00D0002F" w:rsidRPr="008873AE" w:rsidRDefault="00D0002F" w:rsidP="00807628">
      <w:pPr>
        <w:pStyle w:val="Numberedheading2"/>
      </w:pPr>
      <w:bookmarkStart w:id="12" w:name="_Toc231220027"/>
      <w:r>
        <w:t>Australian policy, service and labour-market context</w:t>
      </w:r>
      <w:bookmarkEnd w:id="12"/>
    </w:p>
    <w:p w14:paraId="30D99387" w14:textId="77777777" w:rsidR="00D0002F" w:rsidRPr="005C2D2D" w:rsidRDefault="00D0002F" w:rsidP="00D0002F">
      <w:r w:rsidRPr="005C2D2D">
        <w:t xml:space="preserve">Australia’s disability employment policy has progressively shifted towards integration. Early reforms funded open employment services alongside supported employment, while the Disability Discrimination Act 1992 (Cth) </w:t>
      </w:r>
      <w:r w:rsidRPr="005C2D2D">
        <w:fldChar w:fldCharType="begin"/>
      </w:r>
      <w:r w:rsidRPr="005C2D2D">
        <w:instrText xml:space="preserve"> ADDIN EN.CITE &lt;EndNote&gt;&lt;Cite&gt;&lt;Author&gt;Australian Government&lt;/Author&gt;&lt;Year&gt;1992&lt;/Year&gt;&lt;RecNum&gt;125&lt;/RecNum&gt;&lt;DisplayText&gt;(Australian Government, 1992)&lt;/DisplayText&gt;&lt;record&gt;&lt;rec-number&gt;125&lt;/rec-number&gt;&lt;foreign-keys&gt;&lt;key app="EN" db-id="9r0xdszvkxpd0qee99svpwt7tdv9zzed5z2f" timestamp="1769668867"&gt;125&lt;/key&gt;&lt;/foreign-keys&gt;&lt;ref-type name="Legal Rule or Regulation"&gt;50&lt;/ref-type&gt;&lt;contributors&gt;&lt;authors&gt;&lt;author&gt;Australian Government,&lt;/author&gt;&lt;/authors&gt;&lt;/contributors&gt;&lt;titles&gt;&lt;title&gt;Disability Discrimination Act 1992 (Cth)&lt;/title&gt;&lt;/titles&gt;&lt;dates&gt;&lt;year&gt;1992&lt;/year&gt;&lt;/dates&gt;&lt;urls&gt;&lt;related-urls&gt;&lt;url&gt;https://www.legislation.gov.au/C2004A04426/2018-04-12/text&lt;/url&gt;&lt;/related-urls&gt;&lt;/urls&gt;&lt;/record&gt;&lt;/Cite&gt;&lt;/EndNote&gt;</w:instrText>
      </w:r>
      <w:r w:rsidRPr="005C2D2D">
        <w:fldChar w:fldCharType="separate"/>
      </w:r>
      <w:r w:rsidRPr="005C2D2D">
        <w:t>(Australian Government, 1992)</w:t>
      </w:r>
      <w:r w:rsidRPr="005C2D2D">
        <w:fldChar w:fldCharType="end"/>
      </w:r>
      <w:r w:rsidRPr="005C2D2D">
        <w:t xml:space="preserve"> established legal duties to prevent discrimination and support reasonable adjustments. Today, person-centred funding through the National Disability Insurance Scheme (NDIS) and the Commonwealth specialist disability employment programme, Inclusive Employment Australia </w:t>
      </w:r>
      <w:r w:rsidRPr="005C2D2D">
        <w:fldChar w:fldCharType="begin"/>
      </w:r>
      <w:r w:rsidRPr="005C2D2D">
        <w:instrText xml:space="preserve"> ADDIN EN.CITE &lt;EndNote&gt;&lt;Cite&gt;&lt;Author&gt;Department of Social Services&lt;/Author&gt;&lt;Year&gt;2025&lt;/Year&gt;&lt;RecNum&gt;127&lt;/RecNum&gt;&lt;DisplayText&gt;(Department of Social Services, 2025)&lt;/DisplayText&gt;&lt;record&gt;&lt;rec-number&gt;127&lt;/rec-number&gt;&lt;foreign-keys&gt;&lt;key app="EN" db-id="9r0xdszvkxpd0qee99svpwt7tdv9zzed5z2f" timestamp="1769669118"&gt;127&lt;/key&gt;&lt;/foreign-keys&gt;&lt;ref-type name="Government Document"&gt;46&lt;/ref-type&gt;&lt;contributors&gt;&lt;authors&gt;&lt;author&gt;Department of Social Services,&lt;/author&gt;&lt;/authors&gt;&lt;secondary-authors&gt;&lt;author&gt;Australian Government&lt;/author&gt;&lt;/secondary-authors&gt;&lt;/contributors&gt;&lt;titles&gt;&lt;title&gt;Inclusive Employment Australia&lt;/title&gt;&lt;/titles&gt;&lt;dates&gt;&lt;year&gt;2025&lt;/year&gt;&lt;/dates&gt;&lt;urls&gt;&lt;related-urls&gt;&lt;url&gt;https://www.dss.gov.au/disability-and-carers-programmes-services-for-people-with-disability-inclusive-employment-australia&lt;/url&gt;&lt;/related-urls&gt;&lt;/urls&gt;&lt;/record&gt;&lt;/Cite&gt;&lt;/EndNote&gt;</w:instrText>
      </w:r>
      <w:r w:rsidRPr="005C2D2D">
        <w:fldChar w:fldCharType="separate"/>
      </w:r>
      <w:r w:rsidRPr="005C2D2D">
        <w:t>(Department of Social Services, 2025)</w:t>
      </w:r>
      <w:r w:rsidRPr="005C2D2D">
        <w:fldChar w:fldCharType="end"/>
      </w:r>
      <w:r w:rsidRPr="005C2D2D">
        <w:t xml:space="preserve"> provide the main delivery platforms through which evidence-informed practices are expected to be implemented.</w:t>
      </w:r>
    </w:p>
    <w:p w14:paraId="25FD701F" w14:textId="77777777" w:rsidR="00D0002F" w:rsidRPr="005C2D2D" w:rsidRDefault="00D0002F" w:rsidP="00D0002F">
      <w:r w:rsidRPr="005C2D2D">
        <w:t xml:space="preserve">At a population level, employment gaps remain substantial. National reporting shows that working-age Australians with disability have markedly lower employment rates than people without disability, and people with intellectual disability are more likely to work part-time when employed </w:t>
      </w:r>
      <w:r w:rsidRPr="005C2D2D">
        <w:fldChar w:fldCharType="begin"/>
      </w:r>
      <w:r w:rsidRPr="005C2D2D">
        <w:instrText xml:space="preserve"> ADDIN EN.CITE &lt;EndNote&gt;&lt;Cite&gt;&lt;Author&gt;Australian Institute of Health and Welfare&lt;/Author&gt;&lt;Year&gt;2024&lt;/Year&gt;&lt;RecNum&gt;165&lt;/RecNum&gt;&lt;DisplayText&gt;(Australian Institute of Health and Welfare, 2024)&lt;/DisplayText&gt;&lt;record&gt;&lt;rec-number&gt;165&lt;/rec-number&gt;&lt;foreign-keys&gt;&lt;key app="EN" db-id="9r0xdszvkxpd0qee99svpwt7tdv9zzed5z2f" timestamp="1769674155"&gt;165&lt;/key&gt;&lt;/foreign-keys&gt;&lt;ref-type name="Report"&gt;27&lt;/ref-type&gt;&lt;contributors&gt;&lt;authors&gt;&lt;author&gt;Australian Institute of Health and Welfare,&lt;/author&gt;&lt;/authors&gt;&lt;/contributors&gt;&lt;titles&gt;&lt;title&gt;People with disability in Australia 2024&lt;/title&gt;&lt;/titles&gt;&lt;dates&gt;&lt;year&gt;2024&lt;/year&gt;&lt;/dates&gt;&lt;publisher&gt;Australian Institute of Health and Welfare&lt;/publisher&gt;&lt;urls&gt;&lt;related-urls&gt;&lt;url&gt;https://www.aihw.gov.au/reports/disability/people-with-disability-in-australia&lt;/url&gt;&lt;/related-urls&gt;&lt;/urls&gt;&lt;/record&gt;&lt;/Cite&gt;&lt;/EndNote&gt;</w:instrText>
      </w:r>
      <w:r w:rsidRPr="005C2D2D">
        <w:fldChar w:fldCharType="separate"/>
      </w:r>
      <w:r w:rsidRPr="005C2D2D">
        <w:t>(Australian Institute of Health and Welfare, 2024)</w:t>
      </w:r>
      <w:r w:rsidRPr="005C2D2D">
        <w:fldChar w:fldCharType="end"/>
      </w:r>
      <w:r w:rsidRPr="005C2D2D">
        <w:t>.</w:t>
      </w:r>
    </w:p>
    <w:p w14:paraId="06C31315" w14:textId="77777777" w:rsidR="00D0002F" w:rsidRPr="005C2D2D" w:rsidRDefault="00D0002F" w:rsidP="00D0002F">
      <w:r w:rsidRPr="005C2D2D">
        <w:t>Within this context, Australia uses several interlocking programmes and practice models as implementation pathways to open employment:</w:t>
      </w:r>
    </w:p>
    <w:p w14:paraId="04BFBA7D" w14:textId="6357039A" w:rsidR="00D0002F" w:rsidRPr="005C2D2D" w:rsidRDefault="00D0002F" w:rsidP="00D0002F">
      <w:pPr>
        <w:pStyle w:val="NumberedBullet"/>
      </w:pPr>
      <w:r w:rsidRPr="005C2D2D">
        <w:rPr>
          <w:b/>
          <w:bCs/>
        </w:rPr>
        <w:t>Inclusive Employment Australia (formerly Disability Employment Services):</w:t>
      </w:r>
      <w:r w:rsidRPr="005C2D2D">
        <w:t xml:space="preserve"> the Commonwealth specialist disability employment programme, supporting people to prepare for, find and maintain work, and supporting employers with recruitment and workplace practices </w:t>
      </w:r>
      <w:r w:rsidRPr="005C2D2D">
        <w:fldChar w:fldCharType="begin"/>
      </w:r>
      <w:r w:rsidRPr="005C2D2D">
        <w:instrText xml:space="preserve"> ADDIN EN.CITE &lt;EndNote&gt;&lt;Cite&gt;&lt;Author&gt;Department of Social Services&lt;/Author&gt;&lt;Year&gt;2025&lt;/Year&gt;&lt;RecNum&gt;127&lt;/RecNum&gt;&lt;DisplayText&gt;(Department of Social Services, 2025)&lt;/DisplayText&gt;&lt;record&gt;&lt;rec-number&gt;127&lt;/rec-number&gt;&lt;foreign-keys&gt;&lt;key app="EN" db-id="9r0xdszvkxpd0qee99svpwt7tdv9zzed5z2f" timestamp="1769669118"&gt;127&lt;/key&gt;&lt;/foreign-keys&gt;&lt;ref-type name="Government Document"&gt;46&lt;/ref-type&gt;&lt;contributors&gt;&lt;authors&gt;&lt;author&gt;Department of Social Services,&lt;/author&gt;&lt;/authors&gt;&lt;secondary-authors&gt;&lt;author&gt;Australian Government&lt;/author&gt;&lt;/secondary-authors&gt;&lt;/contributors&gt;&lt;titles&gt;&lt;title&gt;Inclusive Employment Australia&lt;/title&gt;&lt;/titles&gt;&lt;dates&gt;&lt;year&gt;2025&lt;/year&gt;&lt;/dates&gt;&lt;urls&gt;&lt;related-urls&gt;&lt;url&gt;https://www.dss.gov.au/disability-and-carers-programmes-services-for-people-with-disability-inclusive-employment-australia&lt;/url&gt;&lt;/related-urls&gt;&lt;/urls&gt;&lt;/record&gt;&lt;/Cite&gt;&lt;/EndNote&gt;</w:instrText>
      </w:r>
      <w:r w:rsidRPr="005C2D2D">
        <w:fldChar w:fldCharType="separate"/>
      </w:r>
      <w:r w:rsidRPr="005C2D2D">
        <w:t>(Department of Social Services, 2025)</w:t>
      </w:r>
      <w:r w:rsidRPr="005C2D2D">
        <w:fldChar w:fldCharType="end"/>
      </w:r>
      <w:r w:rsidRPr="005C2D2D">
        <w:t>.</w:t>
      </w:r>
    </w:p>
    <w:p w14:paraId="4A62072E" w14:textId="77777777" w:rsidR="00D0002F" w:rsidRPr="005C2D2D" w:rsidRDefault="00D0002F" w:rsidP="00D0002F">
      <w:pPr>
        <w:pStyle w:val="NumberedBullet"/>
      </w:pPr>
      <w:r w:rsidRPr="005C2D2D">
        <w:rPr>
          <w:b/>
          <w:bCs/>
        </w:rPr>
        <w:lastRenderedPageBreak/>
        <w:t>NDIS employment supports (including School Leaver Employment Supports):</w:t>
      </w:r>
      <w:r w:rsidRPr="005C2D2D">
        <w:t xml:space="preserve"> individualised funding for capacity building, workplace supports, and transition-to-work assistance for young people (National Disability Insurance Scheme, 2024; National Disability Insurance Agency, 2024).</w:t>
      </w:r>
    </w:p>
    <w:p w14:paraId="2DBA4B46" w14:textId="77777777" w:rsidR="00D0002F" w:rsidRPr="005C2D2D" w:rsidRDefault="00D0002F" w:rsidP="00D0002F">
      <w:pPr>
        <w:pStyle w:val="NumberedBullet"/>
      </w:pPr>
      <w:r w:rsidRPr="005C2D2D">
        <w:rPr>
          <w:b/>
          <w:bCs/>
        </w:rPr>
        <w:t>Supported employment (place-then-train-and-maintain):</w:t>
      </w:r>
      <w:r w:rsidRPr="005C2D2D">
        <w:t xml:space="preserve"> workplace-based job coaching, systematic instruction, and follow-along supports, with attention to task clarity, supervision routines, and coworker supports.</w:t>
      </w:r>
    </w:p>
    <w:p w14:paraId="5EE694EB" w14:textId="77777777" w:rsidR="00D0002F" w:rsidRPr="005C2D2D" w:rsidRDefault="00D0002F" w:rsidP="00D0002F">
      <w:pPr>
        <w:pStyle w:val="NumberedBullet"/>
      </w:pPr>
      <w:r w:rsidRPr="005C2D2D">
        <w:rPr>
          <w:b/>
          <w:bCs/>
        </w:rPr>
        <w:t>Customised Employment (including Discovery, job carving and negotiated roles):</w:t>
      </w:r>
      <w:r w:rsidRPr="005C2D2D">
        <w:t xml:space="preserve"> tailoring job content and supports to align a person’s strengths with employer needs.</w:t>
      </w:r>
    </w:p>
    <w:p w14:paraId="4EEBE911" w14:textId="77777777" w:rsidR="00D0002F" w:rsidRPr="005C2D2D" w:rsidRDefault="00D0002F" w:rsidP="00D0002F">
      <w:pPr>
        <w:pStyle w:val="NumberedBullet"/>
      </w:pPr>
      <w:r w:rsidRPr="005C2D2D">
        <w:rPr>
          <w:b/>
          <w:bCs/>
        </w:rPr>
        <w:t>School-to-work transition partnerships and internship-to-employment models:</w:t>
      </w:r>
      <w:r w:rsidRPr="005C2D2D">
        <w:t xml:space="preserve"> coordinated pathways that build work exposure </w:t>
      </w:r>
      <w:r w:rsidRPr="00F51CDE">
        <w:t>and</w:t>
      </w:r>
      <w:r w:rsidRPr="005C2D2D">
        <w:t xml:space="preserve"> employer links before and immediately after school exit.</w:t>
      </w:r>
    </w:p>
    <w:p w14:paraId="4B590804" w14:textId="77777777" w:rsidR="00D0002F" w:rsidRPr="005C2D2D" w:rsidRDefault="00D0002F" w:rsidP="00D0002F">
      <w:pPr>
        <w:pStyle w:val="NumberedBullet"/>
      </w:pPr>
      <w:r w:rsidRPr="005C2D2D">
        <w:rPr>
          <w:b/>
          <w:bCs/>
        </w:rPr>
        <w:t>Inclusive enterprise and social firm approaches:</w:t>
      </w:r>
      <w:r w:rsidRPr="005C2D2D">
        <w:t xml:space="preserve"> integrated businesses designed to combine commercial viability with intentional in</w:t>
      </w:r>
      <w:r w:rsidRPr="00F51CDE">
        <w:t>c</w:t>
      </w:r>
      <w:r w:rsidRPr="005C2D2D">
        <w:t>lusion and award-wage employment.</w:t>
      </w:r>
    </w:p>
    <w:p w14:paraId="31956F4D" w14:textId="600EE45E" w:rsidR="00D0002F" w:rsidRDefault="00D0002F" w:rsidP="00D0002F">
      <w:r w:rsidRPr="005C2D2D">
        <w:t xml:space="preserve">Delivering competitive integrated employment for people with intellectual disability requires coordinated action across a diverse ecosystem. Multiple stakeholders – ranging from individuals and families to service providers, employers, and government agencies – play distinct but interconnected roles in shaping opportunities, supports, and outcomes. </w:t>
      </w:r>
      <w:commentRangeStart w:id="13"/>
      <w:r w:rsidR="00E319AF">
        <w:rPr>
          <w:b/>
          <w:bCs/>
        </w:rPr>
        <w:t>Table</w:t>
      </w:r>
      <w:r w:rsidRPr="005C2D2D">
        <w:rPr>
          <w:b/>
          <w:bCs/>
        </w:rPr>
        <w:t xml:space="preserve"> 1</w:t>
      </w:r>
      <w:r>
        <w:rPr>
          <w:b/>
          <w:bCs/>
        </w:rPr>
        <w:t>.1</w:t>
      </w:r>
      <w:commentRangeEnd w:id="13"/>
      <w:r w:rsidR="006633BB">
        <w:rPr>
          <w:rStyle w:val="CommentReference"/>
          <w:b/>
          <w:bCs/>
          <w:sz w:val="24"/>
          <w:szCs w:val="24"/>
        </w:rPr>
        <w:commentReference w:id="13"/>
      </w:r>
      <w:r w:rsidR="00E319AF">
        <w:rPr>
          <w:b/>
          <w:bCs/>
        </w:rPr>
        <w:t>.</w:t>
      </w:r>
      <w:r w:rsidRPr="005C2D2D">
        <w:t xml:space="preserve"> provides a high-level overview of these key stakeholder groups and their contributions to the CIE system.</w:t>
      </w:r>
      <w:r>
        <w:t xml:space="preserve"> </w:t>
      </w:r>
      <w:r w:rsidRPr="00E66E40">
        <w:t>These are strategies that help individuals build the skills, confidence, and readiness needed for work.</w:t>
      </w:r>
    </w:p>
    <w:p w14:paraId="45BE4C46" w14:textId="78D6927E" w:rsidR="008154EE" w:rsidRPr="00A42066" w:rsidRDefault="00E319AF" w:rsidP="00A42066">
      <w:pPr>
        <w:pStyle w:val="TableCaption"/>
      </w:pPr>
      <w:r>
        <w:t>Table 1</w:t>
      </w:r>
      <w:r w:rsidR="00A42066" w:rsidRPr="00A42066">
        <w:t>.1</w:t>
      </w:r>
      <w:r>
        <w:t>.</w:t>
      </w:r>
      <w:r w:rsidR="00A42066" w:rsidRPr="00A42066">
        <w:t xml:space="preserve"> Key Stakeholders in Delivering Competitive Integrated Employment</w:t>
      </w:r>
    </w:p>
    <w:tbl>
      <w:tblPr>
        <w:tblStyle w:val="CIETable"/>
        <w:tblW w:w="4990" w:type="pct"/>
        <w:tblLook w:val="04A0" w:firstRow="1" w:lastRow="0" w:firstColumn="1" w:lastColumn="0" w:noHBand="0" w:noVBand="1"/>
      </w:tblPr>
      <w:tblGrid>
        <w:gridCol w:w="3539"/>
        <w:gridCol w:w="6070"/>
      </w:tblGrid>
      <w:tr w:rsidR="00D0002F" w:rsidRPr="00786F69" w14:paraId="339FA374" w14:textId="77777777" w:rsidTr="00E66FF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539" w:type="dxa"/>
          </w:tcPr>
          <w:p w14:paraId="1FE50A92" w14:textId="77777777" w:rsidR="00D0002F" w:rsidRPr="00786F69" w:rsidRDefault="00D0002F" w:rsidP="00D0002F">
            <w:pPr>
              <w:pStyle w:val="TableHeading"/>
            </w:pPr>
            <w:r w:rsidRPr="005C2D2D">
              <w:t>Stakeholder Group</w:t>
            </w:r>
          </w:p>
        </w:tc>
        <w:tc>
          <w:tcPr>
            <w:tcW w:w="6070" w:type="dxa"/>
          </w:tcPr>
          <w:p w14:paraId="30D34234" w14:textId="77777777" w:rsidR="00D0002F" w:rsidRPr="00786F69" w:rsidRDefault="00D0002F" w:rsidP="00D0002F">
            <w:pPr>
              <w:pStyle w:val="TableHeading"/>
              <w:cnfStyle w:val="100000000000" w:firstRow="1" w:lastRow="0" w:firstColumn="0" w:lastColumn="0" w:oddVBand="0" w:evenVBand="0" w:oddHBand="0" w:evenHBand="0" w:firstRowFirstColumn="0" w:firstRowLastColumn="0" w:lastRowFirstColumn="0" w:lastRowLastColumn="0"/>
            </w:pPr>
            <w:r w:rsidRPr="005C2D2D">
              <w:t>Role in Supporting CIE</w:t>
            </w:r>
          </w:p>
        </w:tc>
      </w:tr>
      <w:tr w:rsidR="00D0002F" w:rsidRPr="001F0C25" w14:paraId="74362A06" w14:textId="77777777" w:rsidTr="00481A4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39" w:type="dxa"/>
          </w:tcPr>
          <w:p w14:paraId="0E4E5576" w14:textId="77777777" w:rsidR="00D0002F" w:rsidRPr="00E66E40" w:rsidRDefault="00D0002F" w:rsidP="00D0002F">
            <w:pPr>
              <w:pStyle w:val="TableText"/>
            </w:pPr>
            <w:r w:rsidRPr="005C2D2D">
              <w:t>People with Intellectual Disability &amp; Families</w:t>
            </w:r>
          </w:p>
        </w:tc>
        <w:tc>
          <w:tcPr>
            <w:tcW w:w="6070" w:type="dxa"/>
          </w:tcPr>
          <w:p w14:paraId="6E314BCF" w14:textId="77777777" w:rsidR="00D0002F" w:rsidRPr="00E90EEC"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E90EEC">
              <w:t>Central to decision-making, goal setting, and advocacy; shape service design through lived experience.</w:t>
            </w:r>
          </w:p>
        </w:tc>
      </w:tr>
      <w:tr w:rsidR="00D0002F" w:rsidRPr="001F0C25" w14:paraId="1AED0C01" w14:textId="77777777" w:rsidTr="00481A4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39" w:type="dxa"/>
          </w:tcPr>
          <w:p w14:paraId="5CF722B0" w14:textId="77777777" w:rsidR="00D0002F" w:rsidRPr="00E66E40" w:rsidRDefault="00D0002F" w:rsidP="00D0002F">
            <w:pPr>
              <w:pStyle w:val="TableText"/>
            </w:pPr>
            <w:r w:rsidRPr="005C2D2D">
              <w:t>Government (DSS, NDIA, Policy Makers)</w:t>
            </w:r>
          </w:p>
        </w:tc>
        <w:tc>
          <w:tcPr>
            <w:tcW w:w="6070" w:type="dxa"/>
          </w:tcPr>
          <w:p w14:paraId="0FFA932E" w14:textId="31D0BB61" w:rsidR="00D0002F" w:rsidRPr="00E90EEC"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E90EEC">
              <w:t xml:space="preserve">Fund and regulate employment supports (e.g. </w:t>
            </w:r>
            <w:r w:rsidR="00314A1E">
              <w:t>Inclusive Employment Australia</w:t>
            </w:r>
            <w:r w:rsidRPr="00E90EEC">
              <w:t>, NDIS); set national strategies and legislative frameworks.</w:t>
            </w:r>
          </w:p>
        </w:tc>
      </w:tr>
      <w:tr w:rsidR="00D0002F" w:rsidRPr="001F0C25" w14:paraId="4CB54A36" w14:textId="77777777" w:rsidTr="00481A4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39" w:type="dxa"/>
          </w:tcPr>
          <w:p w14:paraId="12F22FFF" w14:textId="77777777" w:rsidR="00D0002F" w:rsidRPr="00E66E40" w:rsidRDefault="00D0002F" w:rsidP="00D0002F">
            <w:pPr>
              <w:pStyle w:val="TableText"/>
            </w:pPr>
            <w:r w:rsidRPr="005C2D2D">
              <w:t>Disability Employment Providers</w:t>
            </w:r>
          </w:p>
        </w:tc>
        <w:tc>
          <w:tcPr>
            <w:tcW w:w="6070" w:type="dxa"/>
          </w:tcPr>
          <w:p w14:paraId="702814DD" w14:textId="77777777" w:rsidR="00D0002F" w:rsidRPr="00E90EEC"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E90EEC">
              <w:t>Deliver job development, placement, and follow-along supports; engage employers and customise roles.</w:t>
            </w:r>
          </w:p>
        </w:tc>
      </w:tr>
      <w:tr w:rsidR="00D0002F" w:rsidRPr="001F0C25" w14:paraId="5561B83C" w14:textId="77777777" w:rsidTr="00481A4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39" w:type="dxa"/>
          </w:tcPr>
          <w:p w14:paraId="61ECD10F" w14:textId="77777777" w:rsidR="00D0002F" w:rsidRPr="00E66E40" w:rsidRDefault="00D0002F" w:rsidP="00D0002F">
            <w:pPr>
              <w:pStyle w:val="TableText"/>
            </w:pPr>
            <w:r w:rsidRPr="005C2D2D">
              <w:t>Employers (Public, Private, Social)</w:t>
            </w:r>
          </w:p>
        </w:tc>
        <w:tc>
          <w:tcPr>
            <w:tcW w:w="6070" w:type="dxa"/>
          </w:tcPr>
          <w:p w14:paraId="551D0550" w14:textId="77777777" w:rsidR="00D0002F" w:rsidRPr="00E90EEC"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E90EEC">
              <w:t>Create inclusive job opportunities; implement adjustments and foster workplace belonging.</w:t>
            </w:r>
          </w:p>
        </w:tc>
      </w:tr>
      <w:tr w:rsidR="00D0002F" w:rsidRPr="001F0C25" w14:paraId="52A34750" w14:textId="77777777" w:rsidTr="00481A4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C0C0C0" w:themeColor="accent5"/>
            </w:tcBorders>
          </w:tcPr>
          <w:p w14:paraId="20E5BE66" w14:textId="77777777" w:rsidR="00D0002F" w:rsidRPr="00E66E40" w:rsidRDefault="00D0002F" w:rsidP="00D0002F">
            <w:pPr>
              <w:pStyle w:val="TableText"/>
            </w:pPr>
            <w:r w:rsidRPr="005C2D2D">
              <w:lastRenderedPageBreak/>
              <w:t>Australian Disability Enterprises (ADEs)</w:t>
            </w:r>
          </w:p>
        </w:tc>
        <w:tc>
          <w:tcPr>
            <w:tcW w:w="6070" w:type="dxa"/>
            <w:tcBorders>
              <w:bottom w:val="single" w:sz="4" w:space="0" w:color="C0C0C0" w:themeColor="accent5"/>
            </w:tcBorders>
          </w:tcPr>
          <w:p w14:paraId="28C61869" w14:textId="77777777" w:rsidR="00D0002F" w:rsidRPr="00E90EEC" w:rsidRDefault="00D0002F" w:rsidP="00D0002F">
            <w:pPr>
              <w:pStyle w:val="TableText"/>
              <w:cnfStyle w:val="000000100000" w:firstRow="0" w:lastRow="0" w:firstColumn="0" w:lastColumn="0" w:oddVBand="0" w:evenVBand="0" w:oddHBand="1" w:evenHBand="0" w:firstRowFirstColumn="0" w:firstRowLastColumn="0" w:lastRowFirstColumn="0" w:lastRowLastColumn="0"/>
            </w:pPr>
            <w:r w:rsidRPr="00E90EEC">
              <w:t>Transitioning from segregated to integrated models; support skill-building and inclusive pathways.</w:t>
            </w:r>
          </w:p>
        </w:tc>
      </w:tr>
      <w:tr w:rsidR="00D0002F" w:rsidRPr="001F0C25" w14:paraId="7976BF79" w14:textId="77777777" w:rsidTr="00481A4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C0C0C0" w:themeColor="accent5"/>
            </w:tcBorders>
          </w:tcPr>
          <w:p w14:paraId="5CF3B9BA" w14:textId="77777777" w:rsidR="00D0002F" w:rsidRPr="00E66E40" w:rsidRDefault="00D0002F" w:rsidP="00D0002F">
            <w:pPr>
              <w:pStyle w:val="TableText"/>
            </w:pPr>
            <w:r w:rsidRPr="005C2D2D">
              <w:t>Advocacy and Peak Bodies</w:t>
            </w:r>
          </w:p>
        </w:tc>
        <w:tc>
          <w:tcPr>
            <w:tcW w:w="6070" w:type="dxa"/>
            <w:tcBorders>
              <w:bottom w:val="single" w:sz="4" w:space="0" w:color="C0C0C0" w:themeColor="accent5"/>
            </w:tcBorders>
          </w:tcPr>
          <w:p w14:paraId="0D290378" w14:textId="77777777" w:rsidR="00D0002F" w:rsidRPr="00E90EEC" w:rsidRDefault="00D0002F" w:rsidP="00D0002F">
            <w:pPr>
              <w:pStyle w:val="TableText"/>
              <w:cnfStyle w:val="000000010000" w:firstRow="0" w:lastRow="0" w:firstColumn="0" w:lastColumn="0" w:oddVBand="0" w:evenVBand="0" w:oddHBand="0" w:evenHBand="1" w:firstRowFirstColumn="0" w:firstRowLastColumn="0" w:lastRowFirstColumn="0" w:lastRowLastColumn="0"/>
            </w:pPr>
            <w:r w:rsidRPr="00E90EEC">
              <w:t>Promote rights-based employment, influence policy, and support inclusive practice through resources and campaigns.</w:t>
            </w:r>
          </w:p>
        </w:tc>
      </w:tr>
    </w:tbl>
    <w:p w14:paraId="5B9C7D97" w14:textId="77777777" w:rsidR="00D0002F" w:rsidRPr="001B0BC6" w:rsidRDefault="00D0002F" w:rsidP="00807628">
      <w:pPr>
        <w:pStyle w:val="Numberedheading2"/>
      </w:pPr>
      <w:bookmarkStart w:id="14" w:name="_Toc231220028"/>
      <w:r w:rsidRPr="001B0BC6">
        <w:t>Why this evidence synthesis is timely</w:t>
      </w:r>
      <w:bookmarkEnd w:id="14"/>
    </w:p>
    <w:p w14:paraId="1D8AF4A1" w14:textId="3249CD08" w:rsidR="00D0002F" w:rsidRPr="005C2D2D" w:rsidRDefault="00D0002F" w:rsidP="00D0002F">
      <w:r w:rsidRPr="005C2D2D">
        <w:t xml:space="preserve">The 2025-26 period is characterised by significant reform and transition. </w:t>
      </w:r>
      <w:r w:rsidRPr="005C2D2D">
        <w:rPr>
          <w:b/>
          <w:bCs/>
        </w:rPr>
        <w:t>Inclusive Employment Australia</w:t>
      </w:r>
      <w:r w:rsidRPr="005C2D2D">
        <w:t xml:space="preserve"> commenced on 1 November 2025, with design features intended to improve participant choice, provider specialisation, and continuity of support (Department of Social Services, 2025). </w:t>
      </w:r>
    </w:p>
    <w:p w14:paraId="76D7981B" w14:textId="77777777" w:rsidR="00D0002F" w:rsidRPr="005C2D2D" w:rsidRDefault="00D0002F" w:rsidP="00D0002F">
      <w:r w:rsidRPr="005C2D2D">
        <w:t>In parallel, governments are progressing work on supported employment reform and pathways away from segregated employment (such as disability</w:t>
      </w:r>
      <w:r>
        <w:t>-</w:t>
      </w:r>
      <w:r w:rsidRPr="005C2D2D">
        <w:t xml:space="preserve">only workplaces) and subminimum wage arrangements (paid below minimum wage) </w:t>
      </w:r>
      <w:r w:rsidRPr="005C2D2D">
        <w:fldChar w:fldCharType="begin"/>
      </w:r>
      <w:r w:rsidRPr="005C2D2D">
        <w:instrText xml:space="preserve"> ADDIN EN.CITE &lt;EndNote&gt;&lt;Cite&gt;&lt;Author&gt;Department of Social Services&lt;/Author&gt;&lt;Year&gt;2024&lt;/Year&gt;&lt;RecNum&gt;126&lt;/RecNum&gt;&lt;DisplayText&gt;(Department of Social Services, 2024)&lt;/DisplayText&gt;&lt;record&gt;&lt;rec-number&gt;126&lt;/rec-number&gt;&lt;foreign-keys&gt;&lt;key app="EN" db-id="9r0xdszvkxpd0qee99svpwt7tdv9zzed5z2f" timestamp="1769668999"&gt;126&lt;/key&gt;&lt;/foreign-keys&gt;&lt;ref-type name="Government Document"&gt;46&lt;/ref-type&gt;&lt;contributors&gt;&lt;authors&gt;&lt;author&gt;Department of Social Services,&lt;/author&gt;&lt;/authors&gt;&lt;secondary-authors&gt;&lt;author&gt;Australian Government&lt;/author&gt;&lt;/secondary-authors&gt;&lt;/contributors&gt;&lt;titles&gt;&lt;title&gt;Commonwealth, state and territory supported employment plan: 2024 update&lt;/title&gt;&lt;/titles&gt;&lt;dates&gt;&lt;year&gt;2024&lt;/year&gt;&lt;/dates&gt;&lt;urls&gt;&lt;related-urls&gt;&lt;url&gt;https://www.dss.gov.au/system/files/documents/2024-12/commonwealth-state-and-territory-supported-employment-plan_0.pdf&lt;/url&gt;&lt;/related-urls&gt;&lt;/urls&gt;&lt;/record&gt;&lt;/Cite&gt;&lt;/EndNote&gt;</w:instrText>
      </w:r>
      <w:r w:rsidRPr="005C2D2D">
        <w:fldChar w:fldCharType="separate"/>
      </w:r>
      <w:r w:rsidRPr="005C2D2D">
        <w:t>(Department of Social Services, 2024)</w:t>
      </w:r>
      <w:r w:rsidRPr="005C2D2D">
        <w:fldChar w:fldCharType="end"/>
      </w:r>
      <w:r w:rsidRPr="005C2D2D">
        <w:t>. These changes increase the need for clear, practice</w:t>
      </w:r>
      <w:r>
        <w:t>-</w:t>
      </w:r>
      <w:r w:rsidRPr="005C2D2D">
        <w:t>ready evidence on what ‘good’ looks like in job development, workplace support and retention for people with intellectual disability, and on the system and workforce conditions required to deliver it.</w:t>
      </w:r>
    </w:p>
    <w:p w14:paraId="47F338EC" w14:textId="77777777" w:rsidR="00D0002F" w:rsidRPr="00ED411B" w:rsidRDefault="00D0002F" w:rsidP="00807628">
      <w:pPr>
        <w:pStyle w:val="Numberedheading2"/>
      </w:pPr>
      <w:bookmarkStart w:id="15" w:name="_Toc231220029"/>
      <w:r w:rsidRPr="00ED411B">
        <w:t xml:space="preserve">Purpose of </w:t>
      </w:r>
      <w:r>
        <w:t>t</w:t>
      </w:r>
      <w:r w:rsidRPr="00ED411B">
        <w:t xml:space="preserve">his </w:t>
      </w:r>
      <w:r>
        <w:t>r</w:t>
      </w:r>
      <w:r w:rsidRPr="00ED411B">
        <w:t xml:space="preserve">apid </w:t>
      </w:r>
      <w:r>
        <w:t>e</w:t>
      </w:r>
      <w:r w:rsidRPr="00ED411B">
        <w:t xml:space="preserve">vidence </w:t>
      </w:r>
      <w:r>
        <w:t>s</w:t>
      </w:r>
      <w:r w:rsidRPr="00ED411B">
        <w:t>ynthesis</w:t>
      </w:r>
      <w:bookmarkEnd w:id="15"/>
    </w:p>
    <w:p w14:paraId="58DB8BFA" w14:textId="77777777" w:rsidR="00D0002F" w:rsidRPr="005C2D2D" w:rsidRDefault="00D0002F" w:rsidP="00D0002F">
      <w:r w:rsidRPr="005C2D2D">
        <w:t>This rapid evidence synthesis identifies which service and workplace practices most effectively help people with intellectual disability obtain and sustain open employment, and what is known about implementing those practices in real</w:t>
      </w:r>
      <w:r>
        <w:t>-</w:t>
      </w:r>
      <w:r w:rsidRPr="005C2D2D">
        <w:t>world settings. It is designed for applied use by the workforce delivering employment supports, service providers, and policy stakeholders to inform service design, delivery, and priority workforce training.</w:t>
      </w:r>
    </w:p>
    <w:p w14:paraId="7995D247" w14:textId="77777777" w:rsidR="00D0002F" w:rsidRPr="005C2D2D" w:rsidRDefault="00D0002F" w:rsidP="00D0002F">
      <w:r w:rsidRPr="005C2D2D">
        <w:t>As per the agreed scope, the review focuses on employment support practices (jobseeker</w:t>
      </w:r>
      <w:r>
        <w:t>-</w:t>
      </w:r>
      <w:r w:rsidRPr="005C2D2D">
        <w:t>facing supports, employer/workplace</w:t>
      </w:r>
      <w:r>
        <w:t>-</w:t>
      </w:r>
      <w:r w:rsidRPr="005C2D2D">
        <w:t>facing supports, and bridging or ongoing supports). Broader policy tools (such as wage subsidies and disability income</w:t>
      </w:r>
      <w:r>
        <w:t>-</w:t>
      </w:r>
      <w:r w:rsidRPr="005C2D2D">
        <w:t>support rules) were not systematically searched; where relevant, they are treated as contextual determinants rather than claims about intervention effectiveness.</w:t>
      </w:r>
    </w:p>
    <w:p w14:paraId="03B0F38B" w14:textId="77777777" w:rsidR="00D0002F" w:rsidRDefault="00D0002F" w:rsidP="00D0002F">
      <w:r>
        <w:br w:type="page"/>
      </w:r>
    </w:p>
    <w:p w14:paraId="367BD7D0" w14:textId="77777777" w:rsidR="00D0002F" w:rsidRPr="00855272" w:rsidRDefault="00D0002F" w:rsidP="0068699F">
      <w:pPr>
        <w:pStyle w:val="Numberedheading1"/>
      </w:pPr>
      <w:bookmarkStart w:id="16" w:name="_Toc231220030"/>
      <w:r w:rsidRPr="00855272">
        <w:lastRenderedPageBreak/>
        <w:t>Review questions</w:t>
      </w:r>
      <w:bookmarkEnd w:id="16"/>
    </w:p>
    <w:p w14:paraId="481328DE" w14:textId="77777777" w:rsidR="00D0002F" w:rsidRPr="005C2D2D" w:rsidRDefault="00D0002F" w:rsidP="00D0002F">
      <w:r w:rsidRPr="005C2D2D">
        <w:t>This synthesis is guided by questions designed to inform practice across employment services, NDIS</w:t>
      </w:r>
      <w:r>
        <w:t>-</w:t>
      </w:r>
      <w:r w:rsidRPr="005C2D2D">
        <w:t>funded supports, education, and employer settings. The questions address not only job attainment but also job quality and long-term retention for people with intellectual disability in open employment.</w:t>
      </w:r>
    </w:p>
    <w:p w14:paraId="2213B27A" w14:textId="77777777" w:rsidR="00D0002F" w:rsidRPr="00B376D1" w:rsidRDefault="00D0002F" w:rsidP="00D0002F">
      <w:pPr>
        <w:rPr>
          <w:b/>
          <w:bCs/>
        </w:rPr>
      </w:pPr>
      <w:r w:rsidRPr="00B376D1">
        <w:rPr>
          <w:b/>
          <w:bCs/>
        </w:rPr>
        <w:t xml:space="preserve">Effectiveness question (Q1): </w:t>
      </w:r>
    </w:p>
    <w:p w14:paraId="68B2C663" w14:textId="77777777" w:rsidR="00D0002F" w:rsidRPr="005C2D2D" w:rsidRDefault="00D0002F" w:rsidP="00D0002F">
      <w:r w:rsidRPr="005C2D2D">
        <w:t>What evidence-informed practices result in high-quality mainstream employment outcomes for people with intellectual disability?</w:t>
      </w:r>
    </w:p>
    <w:p w14:paraId="2D71BC87" w14:textId="77777777" w:rsidR="00D0002F" w:rsidRPr="00B376D1" w:rsidRDefault="00D0002F" w:rsidP="00D0002F">
      <w:pPr>
        <w:rPr>
          <w:b/>
          <w:bCs/>
        </w:rPr>
      </w:pPr>
      <w:r w:rsidRPr="00B376D1">
        <w:rPr>
          <w:b/>
          <w:bCs/>
        </w:rPr>
        <w:t xml:space="preserve">Implementation question (Q2): </w:t>
      </w:r>
    </w:p>
    <w:p w14:paraId="7F5A447B" w14:textId="77777777" w:rsidR="00D0002F" w:rsidRPr="005C2D2D" w:rsidRDefault="00D0002F" w:rsidP="00D0002F">
      <w:r w:rsidRPr="005C2D2D">
        <w:t>How can these effective practices be delivered within the Australian employment ecosystem?</w:t>
      </w:r>
    </w:p>
    <w:p w14:paraId="450220CA" w14:textId="77777777" w:rsidR="00D0002F" w:rsidRPr="005C2D2D" w:rsidRDefault="00D0002F" w:rsidP="00D0002F">
      <w:r w:rsidRPr="005C2D2D">
        <w:t>These questions informed the scope of the synthesis and guided the structured narrative approach, including the development of an implementation sub-stream and a programme theory to organise mechanisms and contextual determinants.</w:t>
      </w:r>
    </w:p>
    <w:p w14:paraId="7DB0B3D4" w14:textId="77777777" w:rsidR="00D0002F" w:rsidRPr="005C2D2D" w:rsidRDefault="00D0002F" w:rsidP="00D0002F"/>
    <w:p w14:paraId="7EEFD308" w14:textId="77777777" w:rsidR="00D0002F" w:rsidRDefault="00D0002F" w:rsidP="00D0002F">
      <w:r>
        <w:br w:type="page"/>
      </w:r>
    </w:p>
    <w:p w14:paraId="517FE63F" w14:textId="77777777" w:rsidR="00D0002F" w:rsidRPr="00B376D1" w:rsidRDefault="00D0002F" w:rsidP="000A0AF1">
      <w:pPr>
        <w:pStyle w:val="Numberedheading1"/>
      </w:pPr>
      <w:bookmarkStart w:id="17" w:name="_Toc231220031"/>
      <w:r w:rsidRPr="00B376D1">
        <w:lastRenderedPageBreak/>
        <w:t>Theory and analytic framework</w:t>
      </w:r>
      <w:bookmarkEnd w:id="17"/>
    </w:p>
    <w:p w14:paraId="32B0E0F8" w14:textId="77777777" w:rsidR="00D0002F" w:rsidRPr="00ED411B" w:rsidRDefault="00D0002F" w:rsidP="00807628">
      <w:pPr>
        <w:pStyle w:val="Numberedheading2"/>
      </w:pPr>
      <w:bookmarkStart w:id="18" w:name="_Toc231220032"/>
      <w:r w:rsidRPr="00675F7C">
        <w:t>Working</w:t>
      </w:r>
      <w:r w:rsidRPr="00ED411B">
        <w:t xml:space="preserve"> </w:t>
      </w:r>
      <w:r>
        <w:t>d</w:t>
      </w:r>
      <w:r w:rsidRPr="00ED411B">
        <w:t>efinitions</w:t>
      </w:r>
      <w:bookmarkEnd w:id="18"/>
    </w:p>
    <w:p w14:paraId="543FBF20" w14:textId="7237258F" w:rsidR="00027427" w:rsidRPr="00ED02C2" w:rsidRDefault="00027427" w:rsidP="00D26F52">
      <w:pPr>
        <w:pStyle w:val="Numberedheading3"/>
      </w:pPr>
      <w:bookmarkStart w:id="19" w:name="_Toc231220033"/>
      <w:r w:rsidRPr="00ED02C2">
        <w:t>Working definition: intellectual disability for this review</w:t>
      </w:r>
      <w:bookmarkEnd w:id="19"/>
    </w:p>
    <w:p w14:paraId="69B788E2" w14:textId="77777777" w:rsidR="00D0002F" w:rsidRPr="0090004E" w:rsidRDefault="00D0002F" w:rsidP="00D0002F">
      <w:r w:rsidRPr="0090004E">
        <w:t>For evidence synthesis purposes, we operationalise intellectual disability as inclusion in a study sample where participants are explicitly identified as having intellectual disability (or an equivalent term such as ‘intellectual developmental disorder’) consistent with mainstream diagnostic criteria: significant limitations in intellectual functioning and adaptive behaviour, with onset in the developmental period (American Psychiatric Association, 2013; World Health Organization, 2019). Studies using broader labels (e.g., ‘developmental disability/disorder’, ‘learning disability’) are included only where intellectual disability is explicitly identified or results are disaggregated for ID. Autism is included only where participants are identified as having both autism and intellectual disability.</w:t>
      </w:r>
    </w:p>
    <w:p w14:paraId="410B3D8A" w14:textId="77777777" w:rsidR="00D0002F" w:rsidRPr="0090004E" w:rsidRDefault="00D0002F" w:rsidP="00D0002F">
      <w:r w:rsidRPr="0090004E">
        <w:t>This operational definition is used to determine who is ‘in’ the evidence base; it does not imply that employment outcomes are determined by individual impairment alone. Diagnostic, administrative and service</w:t>
      </w:r>
      <w:r>
        <w:t>-</w:t>
      </w:r>
      <w:r w:rsidRPr="0090004E">
        <w:t>system labels vary across jurisdictions and across studies. Where participant identification is unclear, we apply conservative eligibility decisions and record the study’s categorisation and any ambiguity in the master register.</w:t>
      </w:r>
    </w:p>
    <w:p w14:paraId="67449F23" w14:textId="48AC6DE5" w:rsidR="00D0002F" w:rsidRPr="00ED411B" w:rsidRDefault="00D0002F" w:rsidP="00D26F52">
      <w:pPr>
        <w:pStyle w:val="Numberedheading3"/>
      </w:pPr>
      <w:bookmarkStart w:id="20" w:name="_Toc231220034"/>
      <w:r w:rsidRPr="00ED411B">
        <w:t xml:space="preserve">Working definition: Competitive </w:t>
      </w:r>
      <w:r>
        <w:t>I</w:t>
      </w:r>
      <w:r w:rsidRPr="00ED411B">
        <w:t xml:space="preserve">ntegrated </w:t>
      </w:r>
      <w:r>
        <w:t>E</w:t>
      </w:r>
      <w:r w:rsidRPr="00ED411B">
        <w:t>mployment in the Australian review context</w:t>
      </w:r>
      <w:bookmarkEnd w:id="20"/>
    </w:p>
    <w:p w14:paraId="4E99F0E8" w14:textId="77777777" w:rsidR="00D0002F" w:rsidRPr="0090004E" w:rsidRDefault="00D0002F" w:rsidP="00D0002F">
      <w:r w:rsidRPr="0090004E">
        <w:t>For this synthesis, CIE/open employment is operationalised using three minimum conditions (used for outcome specification and comparability across jurisdictions):</w:t>
      </w:r>
    </w:p>
    <w:p w14:paraId="02BBE367" w14:textId="77777777" w:rsidR="00D0002F" w:rsidRPr="0090004E" w:rsidRDefault="00D0002F" w:rsidP="00D0002F">
      <w:pPr>
        <w:pStyle w:val="NumberedBullet"/>
      </w:pPr>
      <w:r w:rsidRPr="0090004E">
        <w:rPr>
          <w:b/>
          <w:bCs/>
        </w:rPr>
        <w:t>Competitive remuneration and conditions:</w:t>
      </w:r>
      <w:r w:rsidRPr="0090004E">
        <w:t xml:space="preserve"> paid at least minimum/award wage with standard workplace conditions.</w:t>
      </w:r>
    </w:p>
    <w:p w14:paraId="7D0FA834" w14:textId="77777777" w:rsidR="00D0002F" w:rsidRPr="0090004E" w:rsidRDefault="00D0002F" w:rsidP="00D0002F">
      <w:pPr>
        <w:pStyle w:val="NumberedBullet"/>
      </w:pPr>
      <w:r w:rsidRPr="0090004E">
        <w:rPr>
          <w:b/>
          <w:bCs/>
        </w:rPr>
        <w:t>Integrated setting:</w:t>
      </w:r>
      <w:r w:rsidRPr="0090004E">
        <w:t xml:space="preserve"> routine interaction with coworkers and/or customers without disability in mainstream workplaces.</w:t>
      </w:r>
    </w:p>
    <w:p w14:paraId="5CB4BF2A" w14:textId="77777777" w:rsidR="00D0002F" w:rsidRPr="0090004E" w:rsidRDefault="00D0002F" w:rsidP="00D0002F">
      <w:pPr>
        <w:pStyle w:val="NumberedBullet"/>
      </w:pPr>
      <w:r w:rsidRPr="0090004E">
        <w:rPr>
          <w:b/>
          <w:bCs/>
        </w:rPr>
        <w:t>Opportunity for progression:</w:t>
      </w:r>
      <w:r w:rsidRPr="0090004E">
        <w:t xml:space="preserve"> scope to build skills, increase responsibilities, and/or advance over time.</w:t>
      </w:r>
    </w:p>
    <w:p w14:paraId="1D168ACC" w14:textId="77777777" w:rsidR="00D0002F" w:rsidRPr="0090004E" w:rsidRDefault="00D0002F" w:rsidP="00D0002F">
      <w:r w:rsidRPr="0090004E">
        <w:t>In the Australian policy and service context, the aligned plain</w:t>
      </w:r>
      <w:r>
        <w:t>-</w:t>
      </w:r>
      <w:r w:rsidRPr="0090004E">
        <w:t xml:space="preserve">language term is open employment: people with and without disability working together in </w:t>
      </w:r>
      <w:r w:rsidRPr="0090004E">
        <w:lastRenderedPageBreak/>
        <w:t>ordinary workplaces for fair wages. Throughout this report, we use ‘CIE’ and ‘open employment’ interchangeably for simplicity, and we note jurisdictional terminology when required, such as WIOA</w:t>
      </w:r>
      <w:r>
        <w:t>-</w:t>
      </w:r>
      <w:r w:rsidRPr="0090004E">
        <w:t xml:space="preserve">aligned concept </w:t>
      </w:r>
      <w:r w:rsidRPr="0090004E">
        <w:fldChar w:fldCharType="begin"/>
      </w:r>
      <w:r w:rsidRPr="0090004E">
        <w:instrText xml:space="preserve"> ADDIN EN.CITE &lt;EndNote&gt;&lt;Cite&gt;&lt;Author&gt;U.S. Department of Labor&lt;/Author&gt;&lt;Year&gt;2015&lt;/Year&gt;&lt;RecNum&gt;128&lt;/RecNum&gt;&lt;DisplayText&gt;(U.S. Department of Labor, 2015)&lt;/DisplayText&gt;&lt;record&gt;&lt;rec-number&gt;128&lt;/rec-number&gt;&lt;foreign-keys&gt;&lt;key app="EN" db-id="9r0xdszvkxpd0qee99svpwt7tdv9zzed5z2f" timestamp="1769670853"&gt;128&lt;/key&gt;&lt;/foreign-keys&gt;&lt;ref-type name="Legal Rule or Regulation"&gt;50&lt;/ref-type&gt;&lt;contributors&gt;&lt;authors&gt;&lt;author&gt;U.S. Department of Labor,&lt;/author&gt;&lt;/authors&gt;&lt;/contributors&gt;&lt;titles&gt;&lt;title&gt;Workforce Innovation and Opportunity Act, Title IV: Rehabilitation Act Reauthorization&lt;/title&gt;&lt;/titles&gt;&lt;dates&gt;&lt;year&gt;2015&lt;/year&gt;&lt;/dates&gt;&lt;urls&gt;&lt;related-urls&gt;&lt;url&gt;https://www.dol.gov/agencies/odep/program-areas/wioa&lt;/url&gt;&lt;/related-urls&gt;&lt;/urls&gt;&lt;/record&gt;&lt;/Cite&gt;&lt;/EndNote&gt;</w:instrText>
      </w:r>
      <w:r w:rsidRPr="0090004E">
        <w:fldChar w:fldCharType="separate"/>
      </w:r>
      <w:r w:rsidRPr="0090004E">
        <w:t>(U.S. Department of Labor, 2015)</w:t>
      </w:r>
      <w:r w:rsidRPr="0090004E">
        <w:fldChar w:fldCharType="end"/>
      </w:r>
      <w:r w:rsidRPr="0090004E">
        <w:t>. We distinguish open employment from segregated or sheltered pathways such as Australian Disability Enterprises (ADEs).</w:t>
      </w:r>
    </w:p>
    <w:p w14:paraId="04D7741A" w14:textId="735BC2BF" w:rsidR="00D0002F" w:rsidRPr="00ED411B" w:rsidRDefault="00D0002F" w:rsidP="00807628">
      <w:pPr>
        <w:pStyle w:val="Numberedheading2"/>
      </w:pPr>
      <w:bookmarkStart w:id="21" w:name="_Toc231220035"/>
      <w:r w:rsidRPr="00ED411B">
        <w:t xml:space="preserve">Intervention </w:t>
      </w:r>
      <w:r>
        <w:t>t</w:t>
      </w:r>
      <w:r w:rsidRPr="00ED411B">
        <w:t xml:space="preserve">hemes </w:t>
      </w:r>
      <w:r>
        <w:t>f</w:t>
      </w:r>
      <w:r w:rsidRPr="00ED411B">
        <w:t>ramework</w:t>
      </w:r>
      <w:bookmarkEnd w:id="21"/>
    </w:p>
    <w:p w14:paraId="588DC191" w14:textId="77777777" w:rsidR="00D0002F" w:rsidRPr="0090004E" w:rsidRDefault="00D0002F" w:rsidP="00D0002F">
      <w:r w:rsidRPr="0090004E">
        <w:t>This synthesis codes employment support practices into three interacting component families, defined by the primary target of action:</w:t>
      </w:r>
    </w:p>
    <w:p w14:paraId="5147B363" w14:textId="77777777" w:rsidR="00D0002F" w:rsidRPr="0090004E" w:rsidRDefault="00D0002F" w:rsidP="00D0002F">
      <w:pPr>
        <w:pStyle w:val="NumberedBullet"/>
      </w:pPr>
      <w:r w:rsidRPr="0090004E">
        <w:rPr>
          <w:b/>
          <w:bCs/>
        </w:rPr>
        <w:t>Jobseeker-facing supports (supply-side):</w:t>
      </w:r>
      <w:r w:rsidRPr="0090004E">
        <w:t xml:space="preserve"> </w:t>
      </w:r>
      <w:r w:rsidRPr="006D42DC">
        <w:t>activities</w:t>
      </w:r>
      <w:r w:rsidRPr="0090004E">
        <w:t xml:space="preserve"> that build vocational capability and self-determination (e.g., vocational profiling/discovery, goal setting, travel training, work routines/stamina, benefits counselling, self-advocacy).</w:t>
      </w:r>
    </w:p>
    <w:p w14:paraId="46B9C364" w14:textId="77777777" w:rsidR="00D0002F" w:rsidRPr="0090004E" w:rsidRDefault="00D0002F" w:rsidP="00D0002F">
      <w:pPr>
        <w:pStyle w:val="NumberedBullet"/>
      </w:pPr>
      <w:r w:rsidRPr="0090004E">
        <w:rPr>
          <w:b/>
          <w:bCs/>
        </w:rPr>
        <w:t>Employer/workplace</w:t>
      </w:r>
      <w:r>
        <w:rPr>
          <w:b/>
          <w:bCs/>
        </w:rPr>
        <w:t>-</w:t>
      </w:r>
      <w:r w:rsidRPr="0090004E">
        <w:rPr>
          <w:b/>
          <w:bCs/>
        </w:rPr>
        <w:t>facing supports (demand</w:t>
      </w:r>
      <w:r>
        <w:rPr>
          <w:b/>
          <w:bCs/>
        </w:rPr>
        <w:t>-</w:t>
      </w:r>
      <w:r w:rsidRPr="0090004E">
        <w:rPr>
          <w:b/>
          <w:bCs/>
        </w:rPr>
        <w:t>side):</w:t>
      </w:r>
      <w:r w:rsidRPr="0090004E">
        <w:t xml:space="preserve"> activities that create and shape opportunities within workplaces (e.g., employer outreach, job analysis, job carving/customisation, onboarding, supervisor coaching, coworker/natural supports development, reasonable adjustments and assistive technology).</w:t>
      </w:r>
    </w:p>
    <w:p w14:paraId="5F89B8C8" w14:textId="77777777" w:rsidR="00D0002F" w:rsidRPr="0090004E" w:rsidRDefault="00D0002F" w:rsidP="00D0002F">
      <w:pPr>
        <w:pStyle w:val="NumberedBullet"/>
      </w:pPr>
      <w:r w:rsidRPr="0090004E">
        <w:rPr>
          <w:b/>
          <w:bCs/>
        </w:rPr>
        <w:t>Bridging and continuity supports (interface):</w:t>
      </w:r>
      <w:r w:rsidRPr="0090004E">
        <w:t xml:space="preserve"> activities that connect jobseekers and employers and stabilise employment over time (e.g., job matching, on-the-job training/systematic instruction, follow-along support, transition-triggered re-intensification after change).</w:t>
      </w:r>
    </w:p>
    <w:p w14:paraId="4182A83F" w14:textId="77777777" w:rsidR="00D0002F" w:rsidRPr="0090004E" w:rsidRDefault="00D0002F" w:rsidP="00D0002F">
      <w:r w:rsidRPr="0090004E">
        <w:t>In practice, components overlap and are sequenced and dosed to fit the person-environment mismatch pattern and the stage of the employment trajectory (pre-employment, placement, early tenure, maintenance, transition points).</w:t>
      </w:r>
    </w:p>
    <w:p w14:paraId="4C7D5FB0" w14:textId="224B1C70" w:rsidR="00D0002F" w:rsidRPr="00BA68DB" w:rsidRDefault="00D0002F" w:rsidP="00807628">
      <w:pPr>
        <w:pStyle w:val="Numberedheading2"/>
      </w:pPr>
      <w:bookmarkStart w:id="22" w:name="_Toc231220036"/>
      <w:r w:rsidRPr="00BA68DB">
        <w:t xml:space="preserve">Programme theory (analytic synthesis lens): </w:t>
      </w:r>
      <w:r>
        <w:t>M</w:t>
      </w:r>
      <w:r w:rsidRPr="00BA68DB">
        <w:t>ismatch</w:t>
      </w:r>
      <w:r w:rsidRPr="00BA68DB">
        <w:noBreakHyphen/>
        <w:t>Informed Programme Theory of CIE/open employment (MIP</w:t>
      </w:r>
      <w:r w:rsidRPr="00BA68DB">
        <w:noBreakHyphen/>
        <w:t>CIE) with CLiFT mechanism</w:t>
      </w:r>
      <w:bookmarkEnd w:id="22"/>
    </w:p>
    <w:p w14:paraId="00CCC4DF" w14:textId="77777777" w:rsidR="00D0002F" w:rsidRPr="00005382" w:rsidRDefault="00D0002F" w:rsidP="00D0002F">
      <w:r w:rsidRPr="004D339E">
        <w:t xml:space="preserve">This synthesis uses a Mismatch-Informed Programme Theory (MIP-CIE), a novel framework developed in this review, to explain how CIE/open employment outcomes are generated and sustained for people living with intellectual disability. The MIP-CIE framework is introduced in this synthesis as an analytic and interpretive framework developed to integrate heterogeneous evidence on employment supports for people with </w:t>
      </w:r>
      <w:r>
        <w:t>ID</w:t>
      </w:r>
      <w:r w:rsidRPr="004D339E">
        <w:t xml:space="preserve">. It is not presented as a validated </w:t>
      </w:r>
      <w:r w:rsidRPr="004D339E">
        <w:lastRenderedPageBreak/>
        <w:t>causal model, nor as a prescriptive intervention template. Rather, it functions as a theory-informed framework to organise evidence, clarify mechanisms, and generate testable propositions for future evaluation.</w:t>
      </w:r>
    </w:p>
    <w:p w14:paraId="4AA961FF" w14:textId="77777777" w:rsidR="00D0002F" w:rsidRPr="0090004E" w:rsidRDefault="00D0002F" w:rsidP="00D0002F">
      <w:r w:rsidRPr="0090004E">
        <w:t xml:space="preserve">The framework treats support needs as an emergent property of person-environment interaction rather than a fixed attribute of the person. This approach builds on person-environment fit theory </w:t>
      </w:r>
      <w:r w:rsidRPr="0090004E">
        <w:fldChar w:fldCharType="begin">
          <w:fldData xml:space="preserve">PEVuZE5vdGU+PENpdGU+PEF1dGhvcj5LcmlzdG9mLUJyb3duPC9BdXRob3I+PFllYXI+MjAwNTwv
WWVhcj48UmVjTnVtPjE2MDwvUmVjTnVtPjxEaXNwbGF5VGV4dD4oS3Jpc3RvZi1Ccm93biwgWmlt
bWVybWFuLCAmYW1wOyBKb2huc29uLCAyMDA1OyBTZWtpZ3VjaGkgJmFtcDsgWWFuZywgMjAyMSk8
L0Rpc3BsYXlUZXh0PjxyZWNvcmQ+PHJlYy1udW1iZXI+MTYwPC9yZWMtbnVtYmVyPjxmb3JlaWdu
LWtleXM+PGtleSBhcHA9IkVOIiBkYi1pZD0iOXIweGRzenZreHBkMHFlZTk5c3Zwd3Q3dGR2OXp6
ZWQ1ejJmIiB0aW1lc3RhbXA9IjE3Njk2NzI2MjMiPjE2MDwva2V5PjwvZm9yZWlnbi1rZXlzPjxy
ZWYtdHlwZSBuYW1lPSJKb3VybmFsIEFydGljbGUiPjE3PC9yZWYtdHlwZT48Y29udHJpYnV0b3Jz
PjxhdXRob3JzPjxhdXRob3I+S3Jpc3RvZi1Ccm93biwgQW15IEwuPC9hdXRob3I+PGF1dGhvcj5a
aW1tZXJtYW4sIFJ5YW4gRC48L2F1dGhvcj48YXV0aG9yPkpvaG5zb24sIEVyaW4gQy48L2F1dGhv
cj48L2F1dGhvcnM+PC9jb250cmlidXRvcnM+PGF1dGgtYWRkcmVzcz5LcmlzdG9mLUJyb3duLCBB
bXkgTC46IFVuaXZlcnNpdHkgb2YgSW93YSwgSGVucnkgQi4gVGlwcGllIENvbGxlZ2Ugb2YgQnVz
aW5lc3MsIERlcGFydG1lbnQgb2YgTWFuYWdlbWVudCAmYW1wOyBPcmdhbml6YXRpb25zLCAxMDgg
UGFwcGFqb2huIEJ1c2luZXNzIEJ1aWxkaW5nLCBJb3dhIENpdHksIElBLCBVUywgNTIyNDIsIGFt
eS1rcmlzdG9mLWJyb3duQHVpb3dhLmVkdTwvYXV0aC1hZGRyZXNzPjx0aXRsZXM+PHRpdGxlPkNv
bnNlcXVlbmNlcyBvZiBpbmRpdmlkdWFsJmFwb3M7cyBmaXQgYXQgd29yazogQSBtZXRhLWFuYWx5
c2lzIG9mIHBlcnNvbi1qb2IsIHBlcnNvbi1vcmdhbml6YXRpb24sIHBlcnNvbi1ncm91cCwgYW5k
IHBlcnNvbi1zdXBlcnZpc29yIGZpdDwvdGl0bGU+PHNlY29uZGFyeS10aXRsZT5QZXJzb25uZWwg
UHN5Y2hvbG9neTwvc2Vjb25kYXJ5LXRpdGxlPjwvdGl0bGVzPjxwZXJpb2RpY2FsPjxmdWxsLXRp
dGxlPlBlcnNvbm5lbCBQc3ljaG9sb2d5PC9mdWxsLXRpdGxlPjwvcGVyaW9kaWNhbD48cGFnZXM+
MjgxLTM0MjwvcGFnZXM+PHZvbHVtZT41ODwvdm9sdW1lPjxudW1iZXI+MjwvbnVtYmVyPjxrZXl3
b3Jkcz48a2V5d29yZD4qSm9iIEFwcGxpY2FudCBBdHRpdHVkZXM8L2tleXdvcmQ+PGtleXdvcmQ+
KkpvYiBTYXRpc2ZhY3Rpb248L2tleXdvcmQ+PGtleXdvcmQ+KlBlcnNvbm5lbCBTZWxlY3Rpb248
L2tleXdvcmQ+PGtleXdvcmQ+KlN1cGVydmlzb3IgRW1wbG95ZWUgSW50ZXJhY3Rpb248L2tleXdv
cmQ+PGtleXdvcmQ+KldvcmsgKEF0dGl0dWRlcyBUb3dhcmQpPC9rZXl3b3JkPjxrZXl3b3JkPlBl
cnNvbm5lbCBFdmFsdWF0aW9uPC9rZXl3b3JkPjxrZXl3b3JkPlBlcnNvbm5lbCBSZWNydWl0bWVu
dDwva2V5d29yZD48a2V5d29yZD5Db25zZXF1ZW5jZTwva2V5d29yZD48L2tleXdvcmRzPjxkYXRl
cz48eWVhcj4yMDA1PC95ZWFyPjwvZGF0ZXM+PHB1Yi1sb2NhdGlvbj5Vbml0ZWQgS2luZ2RvbTwv
cHViLWxvY2F0aW9uPjxwdWJsaXNoZXI+QmxhY2t3ZWxsIFB1Ymxpc2hpbmc8L3B1Ymxpc2hlcj48
aXNibj4xNzQ0LTY1NzAoRWxlY3Ryb25pYyksMDAzMS01ODI2KFByaW50KTwvaXNibj48dXJscz48
L3VybHM+PGVsZWN0cm9uaWMtcmVzb3VyY2UtbnVtPjEwLjExMTEvai4xNzQ0LTY1NzAuMjAwNS4w
MDY3Mi54PC9lbGVjdHJvbmljLXJlc291cmNlLW51bT48L3JlY29yZD48L0NpdGU+PENpdGU+PEF1
dGhvcj5TZWtpZ3VjaGk8L0F1dGhvcj48WWVhcj4yMDIxPC9ZZWFyPjxSZWNOdW0+MTU5PC9SZWNO
dW0+PHJlY29yZD48cmVjLW51bWJlcj4xNTk8L3JlYy1udW1iZXI+PGZvcmVpZ24ta2V5cz48a2V5
IGFwcD0iRU4iIGRiLWlkPSI5cjB4ZHN6dmt4cGQwcWVlOTlzdnB3dDd0ZHY5enplZDV6MmYiIHRp
bWVzdGFtcD0iMTc2OTY3MjYxNiI+MTU5PC9rZXk+PC9mb3JlaWduLWtleXM+PHJlZi10eXBlIG5h
bWU9IkdlbmVyaWMiPjEzPC9yZWYtdHlwZT48Y29udHJpYnV0b3JzPjxhdXRob3JzPjxhdXRob3I+
U2VraWd1Y2hpLCBUb21va2k8L2F1dGhvcj48YXV0aG9yPllhbmcsIFl1bnl1ZTwvYXV0aG9yPjwv
YXV0aG9ycz48L2NvbnRyaWJ1dG9ycz48dGl0bGVzPjx0aXRsZT5QZXJzb27igJNFbnZpcm9ubWVu
dCBGaXQgRnJvbSBhbiBPcmdhbml6YXRpb25hbCBQc3ljaG9sb2d5IFBlcnNwZWN0aXZlPC90aXRs
ZT48L3RpdGxlcz48ZGF0ZXM+PHllYXI+MjAyMTwveWVhcj48cHViLWRhdGVzPjxkYXRlPjIwMjEt
MDYtMjg8L2RhdGU+PC9wdWItZGF0ZXM+PC9kYXRlcz48cHVibGlzaGVyPk94Zm9yZCBVbml2ZXJz
aXR5IFByZXNzPC9wdWJsaXNoZXI+PHVybHM+PHJlbGF0ZWQtdXJscz48dXJsPmh0dHBzOi8vb3hm
b3JkcmUuY29tL3BzeWNob2xvZ3kvdmlldy8xMC4xMDkzL2FjcmVmb3JlLzk3ODAxOTAyMzY1NTcu
MDAxLjAwMDEvYWNyZWZvcmUtOTc4MDE5MDIzNjU1Ny1lLTI2PC91cmw+PC9yZWxhdGVkLXVybHM+
PC91cmxzPjxlbGVjdHJvbmljLXJlc291cmNlLW51bT4xMC4xMDkzL2FjcmVmb3JlLzk3ODAxOTAy
MzY1NTcuMDEzLjI2PC9lbGVjdHJvbmljLXJlc291cmNlLW51bT48bGFuZ3VhZ2U+RW5nbGlzaDwv
bGFuZ3VhZ2U+PC9yZWNvcmQ+PC9DaXRlPjwvRW5kTm90ZT4A
</w:fldData>
        </w:fldChar>
      </w:r>
      <w:r w:rsidRPr="0090004E">
        <w:instrText xml:space="preserve"> ADDIN EN.CITE </w:instrText>
      </w:r>
      <w:r w:rsidRPr="0090004E">
        <w:fldChar w:fldCharType="begin">
          <w:fldData xml:space="preserve">PEVuZE5vdGU+PENpdGU+PEF1dGhvcj5LcmlzdG9mLUJyb3duPC9BdXRob3I+PFllYXI+MjAwNTwv
WWVhcj48UmVjTnVtPjE2MDwvUmVjTnVtPjxEaXNwbGF5VGV4dD4oS3Jpc3RvZi1Ccm93biwgWmlt
bWVybWFuLCAmYW1wOyBKb2huc29uLCAyMDA1OyBTZWtpZ3VjaGkgJmFtcDsgWWFuZywgMjAyMSk8
L0Rpc3BsYXlUZXh0PjxyZWNvcmQ+PHJlYy1udW1iZXI+MTYwPC9yZWMtbnVtYmVyPjxmb3JlaWdu
LWtleXM+PGtleSBhcHA9IkVOIiBkYi1pZD0iOXIweGRzenZreHBkMHFlZTk5c3Zwd3Q3dGR2OXp6
ZWQ1ejJmIiB0aW1lc3RhbXA9IjE3Njk2NzI2MjMiPjE2MDwva2V5PjwvZm9yZWlnbi1rZXlzPjxy
ZWYtdHlwZSBuYW1lPSJKb3VybmFsIEFydGljbGUiPjE3PC9yZWYtdHlwZT48Y29udHJpYnV0b3Jz
PjxhdXRob3JzPjxhdXRob3I+S3Jpc3RvZi1Ccm93biwgQW15IEwuPC9hdXRob3I+PGF1dGhvcj5a
aW1tZXJtYW4sIFJ5YW4gRC48L2F1dGhvcj48YXV0aG9yPkpvaG5zb24sIEVyaW4gQy48L2F1dGhv
cj48L2F1dGhvcnM+PC9jb250cmlidXRvcnM+PGF1dGgtYWRkcmVzcz5LcmlzdG9mLUJyb3duLCBB
bXkgTC46IFVuaXZlcnNpdHkgb2YgSW93YSwgSGVucnkgQi4gVGlwcGllIENvbGxlZ2Ugb2YgQnVz
aW5lc3MsIERlcGFydG1lbnQgb2YgTWFuYWdlbWVudCAmYW1wOyBPcmdhbml6YXRpb25zLCAxMDgg
UGFwcGFqb2huIEJ1c2luZXNzIEJ1aWxkaW5nLCBJb3dhIENpdHksIElBLCBVUywgNTIyNDIsIGFt
eS1rcmlzdG9mLWJyb3duQHVpb3dhLmVkdTwvYXV0aC1hZGRyZXNzPjx0aXRsZXM+PHRpdGxlPkNv
bnNlcXVlbmNlcyBvZiBpbmRpdmlkdWFsJmFwb3M7cyBmaXQgYXQgd29yazogQSBtZXRhLWFuYWx5
c2lzIG9mIHBlcnNvbi1qb2IsIHBlcnNvbi1vcmdhbml6YXRpb24sIHBlcnNvbi1ncm91cCwgYW5k
IHBlcnNvbi1zdXBlcnZpc29yIGZpdDwvdGl0bGU+PHNlY29uZGFyeS10aXRsZT5QZXJzb25uZWwg
UHN5Y2hvbG9neTwvc2Vjb25kYXJ5LXRpdGxlPjwvdGl0bGVzPjxwZXJpb2RpY2FsPjxmdWxsLXRp
dGxlPlBlcnNvbm5lbCBQc3ljaG9sb2d5PC9mdWxsLXRpdGxlPjwvcGVyaW9kaWNhbD48cGFnZXM+
MjgxLTM0MjwvcGFnZXM+PHZvbHVtZT41ODwvdm9sdW1lPjxudW1iZXI+MjwvbnVtYmVyPjxrZXl3
b3Jkcz48a2V5d29yZD4qSm9iIEFwcGxpY2FudCBBdHRpdHVkZXM8L2tleXdvcmQ+PGtleXdvcmQ+
KkpvYiBTYXRpc2ZhY3Rpb248L2tleXdvcmQ+PGtleXdvcmQ+KlBlcnNvbm5lbCBTZWxlY3Rpb248
L2tleXdvcmQ+PGtleXdvcmQ+KlN1cGVydmlzb3IgRW1wbG95ZWUgSW50ZXJhY3Rpb248L2tleXdv
cmQ+PGtleXdvcmQ+KldvcmsgKEF0dGl0dWRlcyBUb3dhcmQpPC9rZXl3b3JkPjxrZXl3b3JkPlBl
cnNvbm5lbCBFdmFsdWF0aW9uPC9rZXl3b3JkPjxrZXl3b3JkPlBlcnNvbm5lbCBSZWNydWl0bWVu
dDwva2V5d29yZD48a2V5d29yZD5Db25zZXF1ZW5jZTwva2V5d29yZD48L2tleXdvcmRzPjxkYXRl
cz48eWVhcj4yMDA1PC95ZWFyPjwvZGF0ZXM+PHB1Yi1sb2NhdGlvbj5Vbml0ZWQgS2luZ2RvbTwv
cHViLWxvY2F0aW9uPjxwdWJsaXNoZXI+QmxhY2t3ZWxsIFB1Ymxpc2hpbmc8L3B1Ymxpc2hlcj48
aXNibj4xNzQ0LTY1NzAoRWxlY3Ryb25pYyksMDAzMS01ODI2KFByaW50KTwvaXNibj48dXJscz48
L3VybHM+PGVsZWN0cm9uaWMtcmVzb3VyY2UtbnVtPjEwLjExMTEvai4xNzQ0LTY1NzAuMjAwNS4w
MDY3Mi54PC9lbGVjdHJvbmljLXJlc291cmNlLW51bT48L3JlY29yZD48L0NpdGU+PENpdGU+PEF1
dGhvcj5TZWtpZ3VjaGk8L0F1dGhvcj48WWVhcj4yMDIxPC9ZZWFyPjxSZWNOdW0+MTU5PC9SZWNO
dW0+PHJlY29yZD48cmVjLW51bWJlcj4xNTk8L3JlYy1udW1iZXI+PGZvcmVpZ24ta2V5cz48a2V5
IGFwcD0iRU4iIGRiLWlkPSI5cjB4ZHN6dmt4cGQwcWVlOTlzdnB3dDd0ZHY5enplZDV6MmYiIHRp
bWVzdGFtcD0iMTc2OTY3MjYxNiI+MTU5PC9rZXk+PC9mb3JlaWduLWtleXM+PHJlZi10eXBlIG5h
bWU9IkdlbmVyaWMiPjEzPC9yZWYtdHlwZT48Y29udHJpYnV0b3JzPjxhdXRob3JzPjxhdXRob3I+
U2VraWd1Y2hpLCBUb21va2k8L2F1dGhvcj48YXV0aG9yPllhbmcsIFl1bnl1ZTwvYXV0aG9yPjwv
YXV0aG9ycz48L2NvbnRyaWJ1dG9ycz48dGl0bGVzPjx0aXRsZT5QZXJzb27igJNFbnZpcm9ubWVu
dCBGaXQgRnJvbSBhbiBPcmdhbml6YXRpb25hbCBQc3ljaG9sb2d5IFBlcnNwZWN0aXZlPC90aXRs
ZT48L3RpdGxlcz48ZGF0ZXM+PHllYXI+MjAyMTwveWVhcj48cHViLWRhdGVzPjxkYXRlPjIwMjEt
MDYtMjg8L2RhdGU+PC9wdWItZGF0ZXM+PC9kYXRlcz48cHVibGlzaGVyPk94Zm9yZCBVbml2ZXJz
aXR5IFByZXNzPC9wdWJsaXNoZXI+PHVybHM+PHJlbGF0ZWQtdXJscz48dXJsPmh0dHBzOi8vb3hm
b3JkcmUuY29tL3BzeWNob2xvZ3kvdmlldy8xMC4xMDkzL2FjcmVmb3JlLzk3ODAxOTAyMzY1NTcu
MDAxLjAwMDEvYWNyZWZvcmUtOTc4MDE5MDIzNjU1Ny1lLTI2PC91cmw+PC9yZWxhdGVkLXVybHM+
PC91cmxzPjxlbGVjdHJvbmljLXJlc291cmNlLW51bT4xMC4xMDkzL2FjcmVmb3JlLzk3ODAxOTAy
MzY1NTcuMDEzLjI2PC9lbGVjdHJvbmljLXJlc291cmNlLW51bT48bGFuZ3VhZ2U+RW5nbGlzaDwv
bGFuZ3VhZ2U+PC9yZWNvcmQ+PC9DaXRlPjwvRW5kTm90ZT4A
</w:fldData>
        </w:fldChar>
      </w:r>
      <w:r w:rsidRPr="0090004E">
        <w:instrText xml:space="preserve"> ADDIN EN.CITE.DATA </w:instrText>
      </w:r>
      <w:r w:rsidRPr="0090004E">
        <w:fldChar w:fldCharType="end"/>
      </w:r>
      <w:r w:rsidRPr="0090004E">
        <w:fldChar w:fldCharType="separate"/>
      </w:r>
      <w:r w:rsidRPr="0090004E">
        <w:t>(Kristof-Brown, Zimmerman, &amp; Johnson, 2005; Sekiguchi &amp; Yang, 2021)</w:t>
      </w:r>
      <w:r w:rsidRPr="0090004E">
        <w:fldChar w:fldCharType="end"/>
      </w:r>
      <w:r w:rsidRPr="0090004E">
        <w:t xml:space="preserve"> by focusing specifically on cognitive load mismatches. The core mechanism of the MIP-CIE framework is Capability-Load Fit Theory (CLiFT): employment supports work by increasing capability, reducing load, and improving fit across tasks, environments and relationships, within enabling service-system settings. The synthesis draws on the CLiFT analytic lens to interpret how employment supports influence outcomes by improving the fit between individual capabilities and workplace demands. A full conceptual exposition of CLiFT will be presented in a forthcoming academic publication.</w:t>
      </w:r>
    </w:p>
    <w:p w14:paraId="5F215C50" w14:textId="6BDD0BA5" w:rsidR="00D0002F" w:rsidRPr="00ED411B" w:rsidRDefault="00D0002F" w:rsidP="00807628">
      <w:pPr>
        <w:pStyle w:val="Numberedheading2"/>
      </w:pPr>
      <w:bookmarkStart w:id="23" w:name="_Toc231220037"/>
      <w:r w:rsidRPr="00ED411B">
        <w:t xml:space="preserve">Boundary </w:t>
      </w:r>
      <w:r>
        <w:t>c</w:t>
      </w:r>
      <w:r w:rsidRPr="00ED411B">
        <w:t xml:space="preserve">onditions and </w:t>
      </w:r>
      <w:r>
        <w:t>o</w:t>
      </w:r>
      <w:r w:rsidRPr="00ED411B">
        <w:t xml:space="preserve">utcome </w:t>
      </w:r>
      <w:r>
        <w:t>c</w:t>
      </w:r>
      <w:r w:rsidRPr="00ED411B">
        <w:t>ascade</w:t>
      </w:r>
      <w:bookmarkEnd w:id="23"/>
    </w:p>
    <w:p w14:paraId="1DDF44DA" w14:textId="77777777" w:rsidR="00D0002F" w:rsidRPr="0090004E" w:rsidRDefault="00D0002F" w:rsidP="00D0002F">
      <w:r w:rsidRPr="0090004E">
        <w:t>For reporting, CIE/open employment is treated as an employment-state construct with minimum boundary conditions. Outcomes are then interpreted as a cascade from attainment to job quality to durability and advancement.</w:t>
      </w:r>
    </w:p>
    <w:p w14:paraId="1961263B" w14:textId="77777777" w:rsidR="00D0002F" w:rsidRPr="0090004E" w:rsidRDefault="00D0002F" w:rsidP="00D0002F">
      <w:pPr>
        <w:pStyle w:val="NumberedBullet"/>
      </w:pPr>
      <w:r w:rsidRPr="0090004E">
        <w:rPr>
          <w:b/>
          <w:bCs/>
        </w:rPr>
        <w:t>Competitive remuneration and conditions</w:t>
      </w:r>
      <w:r w:rsidRPr="0090004E">
        <w:t xml:space="preserve"> (at/</w:t>
      </w:r>
      <w:r w:rsidRPr="0003019C">
        <w:t>above</w:t>
      </w:r>
      <w:r w:rsidRPr="0090004E">
        <w:t xml:space="preserve"> minimum wage or comparable rates for similar work; with benefits where applicable).</w:t>
      </w:r>
    </w:p>
    <w:p w14:paraId="3F046067" w14:textId="77777777" w:rsidR="00D0002F" w:rsidRPr="0090004E" w:rsidRDefault="00D0002F" w:rsidP="00D0002F">
      <w:pPr>
        <w:pStyle w:val="NumberedBullet"/>
      </w:pPr>
      <w:r w:rsidRPr="0090004E">
        <w:rPr>
          <w:b/>
          <w:bCs/>
        </w:rPr>
        <w:t>Integrated setting with routine interaction</w:t>
      </w:r>
      <w:r w:rsidRPr="0090004E">
        <w:t xml:space="preserve"> with non</w:t>
      </w:r>
      <w:r w:rsidRPr="0090004E">
        <w:rPr>
          <w:rFonts w:ascii="Cambria Math" w:hAnsi="Cambria Math" w:cs="Cambria Math"/>
        </w:rPr>
        <w:t>‑</w:t>
      </w:r>
      <w:r w:rsidRPr="0003019C">
        <w:t>disabled</w:t>
      </w:r>
      <w:r w:rsidRPr="0090004E">
        <w:t xml:space="preserve"> colleagues and/or customers beyond supervisors/support staff.</w:t>
      </w:r>
    </w:p>
    <w:p w14:paraId="25F32763" w14:textId="77777777" w:rsidR="00D0002F" w:rsidRPr="0090004E" w:rsidRDefault="00D0002F" w:rsidP="00D0002F">
      <w:pPr>
        <w:pStyle w:val="NumberedBullet"/>
      </w:pPr>
      <w:r w:rsidRPr="0090004E">
        <w:rPr>
          <w:b/>
          <w:bCs/>
        </w:rPr>
        <w:t>Opportunities for advancement</w:t>
      </w:r>
      <w:r w:rsidRPr="0090004E">
        <w:t xml:space="preserve"> (e.g., increased responsibility, hours, wages, or progression pathways), where applicable and measurable.</w:t>
      </w:r>
    </w:p>
    <w:p w14:paraId="7C3ABDE1" w14:textId="38F29242" w:rsidR="00D0002F" w:rsidRPr="00ED411B" w:rsidRDefault="00D0002F" w:rsidP="00807628">
      <w:pPr>
        <w:pStyle w:val="Numberedheading2"/>
      </w:pPr>
      <w:bookmarkStart w:id="24" w:name="_Toc231220038"/>
      <w:r w:rsidRPr="00ED411B">
        <w:t xml:space="preserve">Programme </w:t>
      </w:r>
      <w:r>
        <w:t>a</w:t>
      </w:r>
      <w:r w:rsidRPr="00ED411B">
        <w:t xml:space="preserve">rchitecture: </w:t>
      </w:r>
      <w:r>
        <w:t>c</w:t>
      </w:r>
      <w:r w:rsidRPr="00ED411B">
        <w:t xml:space="preserve">omponents, </w:t>
      </w:r>
      <w:r>
        <w:t>d</w:t>
      </w:r>
      <w:r w:rsidRPr="00ED411B">
        <w:t xml:space="preserve">ose, </w:t>
      </w:r>
      <w:r>
        <w:t>m</w:t>
      </w:r>
      <w:r w:rsidRPr="00ED411B">
        <w:t xml:space="preserve">echanisms and </w:t>
      </w:r>
      <w:r>
        <w:t>o</w:t>
      </w:r>
      <w:r w:rsidRPr="00ED411B">
        <w:t>utcomes</w:t>
      </w:r>
      <w:bookmarkEnd w:id="24"/>
    </w:p>
    <w:p w14:paraId="7493546D" w14:textId="77777777" w:rsidR="00D0002F" w:rsidRPr="0090004E" w:rsidRDefault="00D0002F" w:rsidP="00D0002F">
      <w:r w:rsidRPr="0090004E">
        <w:t>MIP</w:t>
      </w:r>
      <w:r w:rsidRPr="0090004E">
        <w:rPr>
          <w:rFonts w:ascii="Cambria Math" w:hAnsi="Cambria Math" w:cs="Cambria Math"/>
        </w:rPr>
        <w:t>‑</w:t>
      </w:r>
      <w:r w:rsidRPr="0090004E">
        <w:t>CIE organises evidence across three interacting practice component families, with ‘dose’ treated as a first</w:t>
      </w:r>
      <w:r w:rsidRPr="0090004E">
        <w:rPr>
          <w:rFonts w:ascii="Cambria Math" w:hAnsi="Cambria Math" w:cs="Cambria Math"/>
        </w:rPr>
        <w:t>‑</w:t>
      </w:r>
      <w:r w:rsidRPr="0090004E">
        <w:t>class explanatory variable. These components activate mechanisms that generate changes in outcomes.</w:t>
      </w:r>
    </w:p>
    <w:p w14:paraId="531AC4D2" w14:textId="77777777" w:rsidR="00D0002F" w:rsidRPr="0090004E" w:rsidRDefault="00D0002F" w:rsidP="00D0002F">
      <w:pPr>
        <w:pStyle w:val="NumberedBullet"/>
      </w:pPr>
      <w:r w:rsidRPr="0090004E">
        <w:rPr>
          <w:b/>
          <w:bCs/>
        </w:rPr>
        <w:t>Practice components (what is delivered):</w:t>
      </w:r>
      <w:r w:rsidRPr="0090004E">
        <w:t xml:space="preserve"> jobseeker</w:t>
      </w:r>
      <w:r>
        <w:t>-</w:t>
      </w:r>
      <w:r w:rsidRPr="0090004E">
        <w:t>facing supports (supply</w:t>
      </w:r>
      <w:r>
        <w:t>-</w:t>
      </w:r>
      <w:r w:rsidRPr="0090004E">
        <w:t>side), employer/workplace</w:t>
      </w:r>
      <w:r>
        <w:t>-</w:t>
      </w:r>
      <w:r w:rsidRPr="0090004E">
        <w:t>facing supports (demand</w:t>
      </w:r>
      <w:r>
        <w:t>-</w:t>
      </w:r>
      <w:r w:rsidRPr="0090004E">
        <w:t>side), and bridging/continuity supports (interface).</w:t>
      </w:r>
    </w:p>
    <w:p w14:paraId="44FD836E" w14:textId="77777777" w:rsidR="00D0002F" w:rsidRPr="0090004E" w:rsidRDefault="00D0002F" w:rsidP="00D0002F">
      <w:pPr>
        <w:pStyle w:val="NumberedBullet"/>
      </w:pPr>
      <w:r w:rsidRPr="0090004E">
        <w:rPr>
          <w:b/>
          <w:bCs/>
        </w:rPr>
        <w:t>Dose geometry (how much, when):</w:t>
      </w:r>
      <w:r w:rsidRPr="0090004E">
        <w:t xml:space="preserve"> </w:t>
      </w:r>
      <w:r w:rsidRPr="0003019C">
        <w:t>front</w:t>
      </w:r>
      <w:r>
        <w:t>-</w:t>
      </w:r>
      <w:r w:rsidRPr="0090004E">
        <w:t>loaded configuration (job development, matching, set</w:t>
      </w:r>
      <w:r>
        <w:t>-</w:t>
      </w:r>
      <w:r w:rsidRPr="0090004E">
        <w:t>up), followed by lower</w:t>
      </w:r>
      <w:r>
        <w:t>-</w:t>
      </w:r>
      <w:r w:rsidRPr="0090004E">
        <w:t xml:space="preserve">intensity maintenance, </w:t>
      </w:r>
      <w:r w:rsidRPr="0090004E">
        <w:lastRenderedPageBreak/>
        <w:t>with transition</w:t>
      </w:r>
      <w:r>
        <w:t>-</w:t>
      </w:r>
      <w:r w:rsidRPr="0090004E">
        <w:t>triggered re</w:t>
      </w:r>
      <w:r>
        <w:t>-</w:t>
      </w:r>
      <w:r w:rsidRPr="0090004E">
        <w:t>intensification (e.g., role change, supervisor change, roster shifts).</w:t>
      </w:r>
    </w:p>
    <w:p w14:paraId="4CA7F651" w14:textId="77777777" w:rsidR="00D0002F" w:rsidRPr="0090004E" w:rsidRDefault="00D0002F" w:rsidP="00D0002F">
      <w:pPr>
        <w:pStyle w:val="NumberedBullet"/>
      </w:pPr>
      <w:r w:rsidRPr="0090004E">
        <w:rPr>
          <w:b/>
          <w:bCs/>
        </w:rPr>
        <w:t>Mechanisms (why it works):</w:t>
      </w:r>
      <w:r w:rsidRPr="0090004E">
        <w:t xml:space="preserve"> capability acquisition in real jobs (systematic instruction); opportunity </w:t>
      </w:r>
      <w:r w:rsidRPr="0003019C">
        <w:t>creation</w:t>
      </w:r>
      <w:r w:rsidRPr="0090004E">
        <w:t xml:space="preserve"> via job redesign and adjustments; employer confidence and risk reduction; social integration through natural supports; and stability through early detection and rapid problem</w:t>
      </w:r>
      <w:r>
        <w:t>-</w:t>
      </w:r>
      <w:r w:rsidRPr="0090004E">
        <w:t>solving.</w:t>
      </w:r>
    </w:p>
    <w:p w14:paraId="62A155B8" w14:textId="77777777" w:rsidR="00D0002F" w:rsidRPr="0090004E" w:rsidRDefault="00D0002F" w:rsidP="00D0002F">
      <w:pPr>
        <w:pStyle w:val="NumberedBullet"/>
      </w:pPr>
      <w:r w:rsidRPr="0090004E">
        <w:rPr>
          <w:b/>
          <w:bCs/>
        </w:rPr>
        <w:t>Outcomes (what changes):</w:t>
      </w:r>
      <w:r w:rsidRPr="0090004E">
        <w:t xml:space="preserve"> attainment (CIE/open employment obtained), job quality (wages/hours/benefits, integration </w:t>
      </w:r>
      <w:r w:rsidRPr="0003019C">
        <w:t>indicators</w:t>
      </w:r>
      <w:r w:rsidRPr="0090004E">
        <w:t>, advancement opportunities), and durability (tenure/retention, job satisfaction, progression).</w:t>
      </w:r>
    </w:p>
    <w:p w14:paraId="62625AF1" w14:textId="551DA8B1" w:rsidR="00D0002F" w:rsidRPr="00ED411B" w:rsidRDefault="00D0002F" w:rsidP="00807628">
      <w:pPr>
        <w:pStyle w:val="Numberedheading2"/>
      </w:pPr>
      <w:bookmarkStart w:id="25" w:name="_Toc231220039"/>
      <w:r w:rsidRPr="00ED411B">
        <w:t xml:space="preserve">Foregrounding </w:t>
      </w:r>
      <w:r>
        <w:t>m</w:t>
      </w:r>
      <w:r w:rsidRPr="00ED411B">
        <w:t xml:space="preserve">ismatch: </w:t>
      </w:r>
      <w:r>
        <w:t>r</w:t>
      </w:r>
      <w:r w:rsidRPr="00ED411B">
        <w:t>eframing ‘support needs’ as person-environment interaction</w:t>
      </w:r>
      <w:bookmarkEnd w:id="25"/>
    </w:p>
    <w:p w14:paraId="39C5229F" w14:textId="4A2A802B" w:rsidR="00B9513D" w:rsidRDefault="00D0002F" w:rsidP="00D0002F">
      <w:r w:rsidRPr="00556787">
        <w:t>In MIP</w:t>
      </w:r>
      <w:r>
        <w:t>-</w:t>
      </w:r>
      <w:r w:rsidRPr="00556787">
        <w:t>CIE, the ‘workplace environment’ is not only a physical site; it is a capability</w:t>
      </w:r>
      <w:r>
        <w:t>-</w:t>
      </w:r>
      <w:r w:rsidRPr="00556787">
        <w:t>load system comprising tasks, tools, information flows, sensory conditions, social norms, and coordination routines. Where workplaces rely heavily on tacit rules, rapid task switching, high sensory stimulation, or complex administrative processes, load increases and mismatch risk rises unless tasks are redesigned, instructions are made accessible, and inclusive supervision and coworker supports are in place. Conversely, fit improves when work is structured, expectations are explicit, accommodations are normalised, and support can be flexibly re</w:t>
      </w:r>
      <w:r w:rsidRPr="00556787">
        <w:rPr>
          <w:rFonts w:ascii="Cambria Math" w:hAnsi="Cambria Math" w:cs="Cambria Math"/>
        </w:rPr>
        <w:t>‑</w:t>
      </w:r>
      <w:r w:rsidRPr="00556787">
        <w:t>intensified after change.</w:t>
      </w:r>
      <w:r w:rsidR="001B7301">
        <w:br w:type="page"/>
      </w:r>
    </w:p>
    <w:p w14:paraId="42F2D6A4" w14:textId="77777777" w:rsidR="002366B5" w:rsidRPr="00522B8E" w:rsidRDefault="002366B5" w:rsidP="00522B8E">
      <w:pPr>
        <w:pStyle w:val="BlockText"/>
      </w:pPr>
      <w:r w:rsidRPr="004716DD">
        <w:rPr>
          <w:b/>
          <w:bCs/>
        </w:rPr>
        <w:lastRenderedPageBreak/>
        <w:t>Box 3.1 Interpretive propositions used to integrate evidence in this synthesis</w:t>
      </w:r>
      <w:r w:rsidR="00486DAA" w:rsidRPr="00522B8E">
        <w:t xml:space="preserve"> </w:t>
      </w:r>
    </w:p>
    <w:p w14:paraId="72F3F592" w14:textId="20409D3F" w:rsidR="002366B5" w:rsidRPr="00522B8E" w:rsidRDefault="002366B5" w:rsidP="00522B8E">
      <w:pPr>
        <w:pStyle w:val="BlockText"/>
      </w:pPr>
      <w:r w:rsidRPr="00522B8E">
        <w:t>These propositions are not claims of causal effect, but structured interpretive statements used to synthesise and compare findings across diverse study designs and contexts:</w:t>
      </w:r>
    </w:p>
    <w:p w14:paraId="203E4C4A" w14:textId="788C64C0" w:rsidR="00486DAA" w:rsidRPr="003A7365" w:rsidRDefault="00DA4B5E" w:rsidP="00522B8E">
      <w:pPr>
        <w:pStyle w:val="BlockText"/>
      </w:pPr>
      <w:r w:rsidRPr="004716DD">
        <w:rPr>
          <w:i w:val="0"/>
          <w:iCs w:val="0"/>
        </w:rPr>
        <w:t>Mismatch reduction is necessary for durability: interventions that only achieve placement (attainment) without sustained mismatch reduction (adjustments + inclusion + follow-along) will show weaker tenure and job quality outcomes</w:t>
      </w:r>
      <w:r w:rsidR="00486DAA" w:rsidRPr="003E7AC9">
        <w:rPr>
          <w:i w:val="0"/>
          <w:iCs w:val="0"/>
        </w:rPr>
        <w:t xml:space="preserve">. </w:t>
      </w:r>
    </w:p>
    <w:p w14:paraId="1999259C" w14:textId="191D612D" w:rsidR="00DA4B5E" w:rsidRPr="003E7AC9" w:rsidRDefault="00DA4B5E" w:rsidP="00522B8E">
      <w:pPr>
        <w:pStyle w:val="BlockText"/>
        <w:rPr>
          <w:i w:val="0"/>
          <w:iCs w:val="0"/>
        </w:rPr>
      </w:pPr>
      <w:r w:rsidRPr="003E7AC9">
        <w:rPr>
          <w:i w:val="0"/>
          <w:iCs w:val="0"/>
        </w:rPr>
        <w:t>Dose matters: higher intensity and continuity of supports (especially systematic instruction and follow-along) are most consequential for people facing higher mismatch in complex roles or high-variability workplaces.</w:t>
      </w:r>
    </w:p>
    <w:p w14:paraId="1C0CA230" w14:textId="182D43E7" w:rsidR="00DA4B5E" w:rsidRPr="003E7AC9" w:rsidRDefault="00DA4B5E" w:rsidP="00522B8E">
      <w:pPr>
        <w:pStyle w:val="BlockText"/>
        <w:rPr>
          <w:i w:val="0"/>
          <w:iCs w:val="0"/>
        </w:rPr>
      </w:pPr>
      <w:r w:rsidRPr="003E7AC9">
        <w:rPr>
          <w:i w:val="0"/>
          <w:iCs w:val="0"/>
        </w:rPr>
        <w:t>Employer</w:t>
      </w:r>
      <w:r w:rsidRPr="003E7AC9">
        <w:rPr>
          <w:rFonts w:ascii="Cambria Math" w:hAnsi="Cambria Math" w:cs="Cambria Math"/>
          <w:i w:val="0"/>
          <w:iCs w:val="0"/>
        </w:rPr>
        <w:t>‑</w:t>
      </w:r>
      <w:r w:rsidRPr="003E7AC9">
        <w:rPr>
          <w:i w:val="0"/>
          <w:iCs w:val="0"/>
        </w:rPr>
        <w:t>side practices are not ‘context’ but causal inputs: employer engagement, job redesign authority, and supervisor capability activate opportunities and determine integration and advancement trajectories</w:t>
      </w:r>
      <w:r w:rsidR="00B71480" w:rsidRPr="003E7AC9">
        <w:rPr>
          <w:i w:val="0"/>
          <w:iCs w:val="0"/>
        </w:rPr>
        <w:t>.</w:t>
      </w:r>
    </w:p>
    <w:p w14:paraId="1E9FF32C" w14:textId="3F9845C4" w:rsidR="003C792F" w:rsidRPr="003E7AC9" w:rsidRDefault="003C792F" w:rsidP="00522B8E">
      <w:pPr>
        <w:pStyle w:val="BlockText"/>
        <w:rPr>
          <w:i w:val="0"/>
          <w:iCs w:val="0"/>
        </w:rPr>
      </w:pPr>
      <w:r w:rsidRPr="003E7AC9">
        <w:rPr>
          <w:i w:val="0"/>
          <w:iCs w:val="0"/>
        </w:rPr>
        <w:t>Social integration mediates job quality and retention: natural supports, belonging, and role clarity buffer setbacks and reduce avoidable exits following workplace changes.</w:t>
      </w:r>
    </w:p>
    <w:p w14:paraId="26117698" w14:textId="7C75A735" w:rsidR="009448B5" w:rsidRDefault="003C792F" w:rsidP="008E117E">
      <w:pPr>
        <w:pStyle w:val="BlockText"/>
      </w:pPr>
      <w:r w:rsidRPr="003E7AC9">
        <w:rPr>
          <w:i w:val="0"/>
          <w:iCs w:val="0"/>
        </w:rPr>
        <w:t xml:space="preserve">System settings condition feasibility: funding rules, assessment processes, and provider workforce capability (including under </w:t>
      </w:r>
      <w:r w:rsidR="003A7365" w:rsidRPr="003E7AC9">
        <w:rPr>
          <w:i w:val="0"/>
          <w:iCs w:val="0"/>
        </w:rPr>
        <w:t>Inclusive Employment Australia</w:t>
      </w:r>
      <w:r w:rsidRPr="003E7AC9">
        <w:rPr>
          <w:i w:val="0"/>
          <w:iCs w:val="0"/>
        </w:rPr>
        <w:t>/NDIS/Employment Readiness Programmes interfaces) determine whether time</w:t>
      </w:r>
      <w:r w:rsidRPr="003E7AC9">
        <w:rPr>
          <w:rFonts w:ascii="Cambria Math" w:hAnsi="Cambria Math" w:cs="Cambria Math"/>
          <w:i w:val="0"/>
          <w:iCs w:val="0"/>
        </w:rPr>
        <w:t>‑</w:t>
      </w:r>
      <w:r w:rsidRPr="003E7AC9">
        <w:rPr>
          <w:i w:val="0"/>
          <w:iCs w:val="0"/>
        </w:rPr>
        <w:t>intensive customisation and long-term supports can be delivered at sufficient dose. This is consistent with findings from Nord, Grossi, and Andresen (2020), who demonstrated that state-level funding mechanisms significantly influence employment equity for people with intellectual and developmental disabilities across the lifespan</w:t>
      </w:r>
      <w:r w:rsidRPr="003A7365">
        <w:t>.</w:t>
      </w:r>
    </w:p>
    <w:p w14:paraId="517893CD" w14:textId="0DAAC3FF" w:rsidR="00D0002F" w:rsidRPr="00ED411B" w:rsidRDefault="00D0002F" w:rsidP="00807628">
      <w:pPr>
        <w:pStyle w:val="Numberedheading2"/>
      </w:pPr>
      <w:bookmarkStart w:id="26" w:name="_Toc231220040"/>
      <w:r w:rsidRPr="00ED411B">
        <w:t>Implementation overlay and Australian delivery interfaces</w:t>
      </w:r>
      <w:bookmarkEnd w:id="26"/>
    </w:p>
    <w:p w14:paraId="19CAF318" w14:textId="77777777" w:rsidR="00D0002F" w:rsidRDefault="00D0002F" w:rsidP="00D0002F">
      <w:r w:rsidRPr="00556787">
        <w:t>To connect effectiveness findings to actionable service design, MIP</w:t>
      </w:r>
      <w:r>
        <w:t>-</w:t>
      </w:r>
      <w:r w:rsidRPr="00556787">
        <w:t xml:space="preserve">CIE is paired with an implementation overlay: determinants are organised using CFIR </w:t>
      </w:r>
      <w:r w:rsidRPr="00556787">
        <w:fldChar w:fldCharType="begin"/>
      </w:r>
      <w:r w:rsidRPr="00556787">
        <w:instrText xml:space="preserve"> ADDIN EN.CITE &lt;EndNote&gt;&lt;Cite&gt;&lt;Author&gt;Damschroder&lt;/Author&gt;&lt;Year&gt;2009&lt;/Year&gt;&lt;RecNum&gt;158&lt;/RecNum&gt;&lt;DisplayText&gt;(Damschroder et al., 2009)&lt;/DisplayText&gt;&lt;record&gt;&lt;rec-number&gt;158&lt;/rec-number&gt;&lt;foreign-keys&gt;&lt;key app="EN" db-id="9r0xdszvkxpd0qee99svpwt7tdv9zzed5z2f" timestamp="1769672609"&gt;158&lt;/key&gt;&lt;/foreign-keys&gt;&lt;ref-type name="Journal Article"&gt;17&lt;/ref-type&gt;&lt;contributors&gt;&lt;authors&gt;&lt;author&gt;Damschroder, L. J.&lt;/author&gt;&lt;author&gt;Aron, D. C.&lt;/author&gt;&lt;author&gt;Keith, R. E.&lt;/author&gt;&lt;author&gt;Kirsh, S. R.&lt;/author&gt;&lt;author&gt;Alexander, J. A.&lt;/author&gt;&lt;author&gt;Lowery, J. C.&lt;/author&gt;&lt;/authors&gt;&lt;/contributors&gt;&lt;auth-address&gt;HSR&amp;amp;D Center for Clinical Management Research, VA Ann Arbor Healthcare System (11H), 2215 Fuller Rd, Ann Arbor, MI 48105, USA. laura.damschroder@va.gov&lt;/auth-address&gt;&lt;titles&gt;&lt;title&gt;Fostering implementation of health services research findings into practice: a consolidated framework for advancing implementation science&lt;/title&gt;&lt;secondary-title&gt;Implement Sci&lt;/secondary-title&gt;&lt;/titles&gt;&lt;periodical&gt;&lt;full-title&gt;Implement Sci&lt;/full-title&gt;&lt;/periodical&gt;&lt;pages&gt;50&lt;/pages&gt;&lt;volume&gt;4&lt;/volume&gt;&lt;edition&gt;20090807&lt;/edition&gt;&lt;dates&gt;&lt;year&gt;2009&lt;/year&gt;&lt;pub-dates&gt;&lt;date&gt;Aug 7&lt;/date&gt;&lt;/pub-dates&gt;&lt;/dates&gt;&lt;isbn&gt;1748-5908&lt;/isbn&gt;&lt;accession-num&gt;19664226&lt;/accession-num&gt;&lt;urls&gt;&lt;/urls&gt;&lt;custom2&gt;PMC2736161&lt;/custom2&gt;&lt;electronic-resource-num&gt;10.1186/1748-5908-4-50&lt;/electronic-resource-num&gt;&lt;remote-database-provider&gt;NLM&lt;/remote-database-provider&gt;&lt;language&gt;eng&lt;/language&gt;&lt;/record&gt;&lt;/Cite&gt;&lt;/EndNote&gt;</w:instrText>
      </w:r>
      <w:r w:rsidRPr="00556787">
        <w:fldChar w:fldCharType="separate"/>
      </w:r>
      <w:r w:rsidRPr="00556787">
        <w:t>(Damschroder et al., 2009)</w:t>
      </w:r>
      <w:r w:rsidRPr="00556787">
        <w:fldChar w:fldCharType="end"/>
      </w:r>
      <w:r w:rsidRPr="00556787">
        <w:t xml:space="preserve">; timing is interpreted using EPIS </w:t>
      </w:r>
      <w:r w:rsidRPr="00556787">
        <w:fldChar w:fldCharType="begin">
          <w:fldData xml:space="preserve">PEVuZE5vdGU+PENpdGU+PEF1dGhvcj5Sb3NzZXR0aTwvQXV0aG9yPjxZZWFyPjIwMTU8L1llYXI+
PFJlY051bT4xMDU8L1JlY051bT48RGlzcGxheVRleHQ+KFJvc3NldHRpIGV0IGFsLiwgMjAxNSk8
L0Rpc3BsYXlUZXh0PjxyZWNvcmQ+PHJlYy1udW1iZXI+MTA1PC9yZWMtbnVtYmVyPjxmb3JlaWdu
LWtleXM+PGtleSBhcHA9IkVOIiBkYi1pZD0iOXIweGRzenZreHBkMHFlZTk5c3Zwd3Q3dGR2OXp6
ZWQ1ejJmIiB0aW1lc3RhbXA9IjE3NjA1MDQwNjAiPjEwNTwva2V5PjwvZm9yZWlnbi1rZXlzPjxy
ZWYtdHlwZSBuYW1lPSJKb3VybmFsIEFydGljbGUiPjE3PC9yZWYtdHlwZT48Y29udHJpYnV0b3Jz
PjxhdXRob3JzPjxhdXRob3I+Um9zc2V0dGksIFphY2hhcnk8L2F1dGhvcj48YXV0aG9yPkxlaHIs
IERvbm5hPC9hdXRob3I+PGF1dGhvcj5MZWRlcmVyLCBMZXNsaWU8L2F1dGhvcj48YXV0aG9yPlBl
bGVyaW4sIERhbmE8L2F1dGhvcj48YXV0aG9yPkh1YW5nLCBTaHVveGk8L2F1dGhvcj48L2F1dGhv
cnM+PC9jb250cmlidXRvcnM+PHRpdGxlcz48dGl0bGU+UGFyZW50IFBlcmNlcHRpb25zIG9mIFRp
bWUgU3BlbnQgTWVhbmluZ2Z1bGx5IGJ5IFlvdW5nIEFkdWx0cyB3aXRoIFBlcnZhc2l2ZSBTdXBw
b3J0IE5lZWRzPC90aXRsZT48c2Vjb25kYXJ5LXRpdGxlPlJlc2VhcmNoIGFuZCBQcmFjdGljZSBm
b3IgUGVyc29ucyB3aXRoIFNldmVyZSBEaXNhYmlsaXRpZXM8L3NlY29uZGFyeS10aXRsZT48L3Rp
dGxlcz48cGVyaW9kaWNhbD48ZnVsbC10aXRsZT5SZXNlYXJjaCBhbmQgUHJhY3RpY2UgZm9yIFBl
cnNvbnMgd2l0aCBTZXZlcmUgRGlzYWJpbGl0aWVzPC9mdWxsLXRpdGxlPjxhYmJyLTE+UmVzLiBQ
cmFjdC4gUGVycy4gU2V2LiBEaXNhYmlsLjwvYWJici0xPjwvcGVyaW9kaWNhbD48cGFnZXM+My0x
OTwvcGFnZXM+PHZvbHVtZT40MDwvdm9sdW1lPjxudW1iZXI+MTwvbnVtYmVyPjxkYXRlcz48eWVh
cj4yMDE1PC95ZWFyPjxwdWItZGF0ZXM+PGRhdGU+TWFyIDIwMTU8L2RhdGU+PC9wdWItZGF0ZXM+
PC9kYXRlcz48cHVibGlzaGVyPlNBR0UgUHVibGljYXRpb25zPC9wdWJsaXNoZXI+PGlzYm4+MTU0
MC03OTY5LCAxNTQwLTc5Njk8L2lzYm4+PGFjY2Vzc2lvbi1udW0+MTcyMDA2MTQ0ODsgRUoxMDY4
MTI1PC9hY2Nlc3Npb24tbnVtPjx1cmxzPjxyZWxhdGVkLXVybHM+PHVybD5odHRwczovL3d3dy5w
cm9xdWVzdC5jb20vc2Nob2xhcmx5LWpvdXJuYWxzL3BhcmVudC1wZXJjZXB0aW9ucy10aW1lLXNw
ZW50LW1lYW5pbmdmdWxseS15b3VuZy9kb2N2aWV3LzE3MjAwNjE0NDgvc2UtMj9hY2NvdW50aWQ9
MTA5MTA8L3VybD48dXJsPmh0dHBzOi8vbGlia2V5LmlvL2xpYnJhcmllcy8zNDU5L29wZW51cmw/
dXJsX3Zlcj1aMzkuODgtMjAwNCZhbXA7cmZ0X3ZhbF9mbXQ9aW5mbzpvZmkvZm10OmtldjptdHg6
am91cm5hbCZhbXA7Z2VucmU9YXJ0aWNsZSZhbXA7c2lkPVByb1E6UHJvUSUzQWVyaWMmYW1wO2F0
aXRsZT1QYXJlbnQrUGVyY2VwdGlvbnMrb2YrVGltZStTcGVudCtNZWFuaW5nZnVsbHkrYnkrWW91
bmcrQWR1bHRzK3dpdGgrUGVydmFzaXZlK1N1cHBvcnQrTmVlZHMmYW1wO3RpdGxlPVJlc2VhcmNo
K2FuZCtQcmFjdGljZStmb3IrUGVyc29ucyt3aXRoK1NldmVyZStEaXNhYmlsaXRpZXMmYW1wO2lz
c249MTU0MDc5NjkmYW1wO2RhdGU9MjAxNS0wMy0wMSZhbXA7dm9sdW1lPTQwJmFtcDtpc3N1ZT0x
JmFtcDtzcGFnZT0zJmFtcDthdT1Sb3NzZXR0aSUyQytaYWNoYXJ5JTNCTGVociUyQytEb25uYSUz
QkxlZGVyZXIlMkMrTGVzbGllJTNCUGVsZXJpbiUyQytEYW5hJTNCSHVhbmclMkMrU2h1b3hpJmFt
cDtpc2JuPSZhbXA7anRpdGxlPVJlc2VhcmNoK2FuZCtQcmFjdGljZStmb3IrUGVyc29ucyt3aXRo
K1NldmVyZStEaXNhYmlsaXRpZXMmYW1wO2J0aXRsZT0mYW1wO3JmdF9pZD1pbmZvOmVyaWMvRUox
MDY4MTI1JmFtcDtyZnRfaWQ9aW5mbzpkb2kvMTAuMTE3NyUyRjE1NDA3OTY5MTQ1NjY3MTQ8L3Vy
bD48L3JlbGF0ZWQtdXJscz48L3VybHM+PGVsZWN0cm9uaWMtcmVzb3VyY2UtbnVtPmh0dHBzOi8v
ZG9pLm9yZy8xMC4xMTc3LzE1NDA3OTY5MTQ1NjY3MTQ8L2VsZWN0cm9uaWMtcmVzb3VyY2UtbnVt
PjxyZW1vdGUtZGF0YWJhc2UtbmFtZT5FZHVjYXRpb24gUmVzZWFyY2ggSW5kZXg7IEVSSUM7IFNv
Y2lhbCBTY2llbmNlIFByZW1pdW0gQ29sbGVjdGlvbjwvcmVtb3RlLWRhdGFiYXNlLW5hbWU+PGxh
bmd1YWdlPkVuZ2xpc2g8L2xhbmd1YWdlPjwvcmVjb3JkPjwvQ2l0ZT48L0VuZE5vdGU+
</w:fldData>
        </w:fldChar>
      </w:r>
      <w:r w:rsidRPr="00556787">
        <w:instrText xml:space="preserve"> ADDIN EN.CITE </w:instrText>
      </w:r>
      <w:r w:rsidRPr="00556787">
        <w:fldChar w:fldCharType="begin">
          <w:fldData xml:space="preserve">PEVuZE5vdGU+PENpdGU+PEF1dGhvcj5Sb3NzZXR0aTwvQXV0aG9yPjxZZWFyPjIwMTU8L1llYXI+
PFJlY051bT4xMDU8L1JlY051bT48RGlzcGxheVRleHQ+KFJvc3NldHRpIGV0IGFsLiwgMjAxNSk8
L0Rpc3BsYXlUZXh0PjxyZWNvcmQ+PHJlYy1udW1iZXI+MTA1PC9yZWMtbnVtYmVyPjxmb3JlaWdu
LWtleXM+PGtleSBhcHA9IkVOIiBkYi1pZD0iOXIweGRzenZreHBkMHFlZTk5c3Zwd3Q3dGR2OXp6
ZWQ1ejJmIiB0aW1lc3RhbXA9IjE3NjA1MDQwNjAiPjEwNTwva2V5PjwvZm9yZWlnbi1rZXlzPjxy
ZWYtdHlwZSBuYW1lPSJKb3VybmFsIEFydGljbGUiPjE3PC9yZWYtdHlwZT48Y29udHJpYnV0b3Jz
PjxhdXRob3JzPjxhdXRob3I+Um9zc2V0dGksIFphY2hhcnk8L2F1dGhvcj48YXV0aG9yPkxlaHIs
IERvbm5hPC9hdXRob3I+PGF1dGhvcj5MZWRlcmVyLCBMZXNsaWU8L2F1dGhvcj48YXV0aG9yPlBl
bGVyaW4sIERhbmE8L2F1dGhvcj48YXV0aG9yPkh1YW5nLCBTaHVveGk8L2F1dGhvcj48L2F1dGhv
cnM+PC9jb250cmlidXRvcnM+PHRpdGxlcz48dGl0bGU+UGFyZW50IFBlcmNlcHRpb25zIG9mIFRp
bWUgU3BlbnQgTWVhbmluZ2Z1bGx5IGJ5IFlvdW5nIEFkdWx0cyB3aXRoIFBlcnZhc2l2ZSBTdXBw
b3J0IE5lZWRzPC90aXRsZT48c2Vjb25kYXJ5LXRpdGxlPlJlc2VhcmNoIGFuZCBQcmFjdGljZSBm
b3IgUGVyc29ucyB3aXRoIFNldmVyZSBEaXNhYmlsaXRpZXM8L3NlY29uZGFyeS10aXRsZT48L3Rp
dGxlcz48cGVyaW9kaWNhbD48ZnVsbC10aXRsZT5SZXNlYXJjaCBhbmQgUHJhY3RpY2UgZm9yIFBl
cnNvbnMgd2l0aCBTZXZlcmUgRGlzYWJpbGl0aWVzPC9mdWxsLXRpdGxlPjxhYmJyLTE+UmVzLiBQ
cmFjdC4gUGVycy4gU2V2LiBEaXNhYmlsLjwvYWJici0xPjwvcGVyaW9kaWNhbD48cGFnZXM+My0x
OTwvcGFnZXM+PHZvbHVtZT40MDwvdm9sdW1lPjxudW1iZXI+MTwvbnVtYmVyPjxkYXRlcz48eWVh
cj4yMDE1PC95ZWFyPjxwdWItZGF0ZXM+PGRhdGU+TWFyIDIwMTU8L2RhdGU+PC9wdWItZGF0ZXM+
PC9kYXRlcz48cHVibGlzaGVyPlNBR0UgUHVibGljYXRpb25zPC9wdWJsaXNoZXI+PGlzYm4+MTU0
MC03OTY5LCAxNTQwLTc5Njk8L2lzYm4+PGFjY2Vzc2lvbi1udW0+MTcyMDA2MTQ0ODsgRUoxMDY4
MTI1PC9hY2Nlc3Npb24tbnVtPjx1cmxzPjxyZWxhdGVkLXVybHM+PHVybD5odHRwczovL3d3dy5w
cm9xdWVzdC5jb20vc2Nob2xhcmx5LWpvdXJuYWxzL3BhcmVudC1wZXJjZXB0aW9ucy10aW1lLXNw
ZW50LW1lYW5pbmdmdWxseS15b3VuZy9kb2N2aWV3LzE3MjAwNjE0NDgvc2UtMj9hY2NvdW50aWQ9
MTA5MTA8L3VybD48dXJsPmh0dHBzOi8vbGlia2V5LmlvL2xpYnJhcmllcy8zNDU5L29wZW51cmw/
dXJsX3Zlcj1aMzkuODgtMjAwNCZhbXA7cmZ0X3ZhbF9mbXQ9aW5mbzpvZmkvZm10OmtldjptdHg6
am91cm5hbCZhbXA7Z2VucmU9YXJ0aWNsZSZhbXA7c2lkPVByb1E6UHJvUSUzQWVyaWMmYW1wO2F0
aXRsZT1QYXJlbnQrUGVyY2VwdGlvbnMrb2YrVGltZStTcGVudCtNZWFuaW5nZnVsbHkrYnkrWW91
bmcrQWR1bHRzK3dpdGgrUGVydmFzaXZlK1N1cHBvcnQrTmVlZHMmYW1wO3RpdGxlPVJlc2VhcmNo
K2FuZCtQcmFjdGljZStmb3IrUGVyc29ucyt3aXRoK1NldmVyZStEaXNhYmlsaXRpZXMmYW1wO2lz
c249MTU0MDc5NjkmYW1wO2RhdGU9MjAxNS0wMy0wMSZhbXA7dm9sdW1lPTQwJmFtcDtpc3N1ZT0x
JmFtcDtzcGFnZT0zJmFtcDthdT1Sb3NzZXR0aSUyQytaYWNoYXJ5JTNCTGVociUyQytEb25uYSUz
QkxlZGVyZXIlMkMrTGVzbGllJTNCUGVsZXJpbiUyQytEYW5hJTNCSHVhbmclMkMrU2h1b3hpJmFt
cDtpc2JuPSZhbXA7anRpdGxlPVJlc2VhcmNoK2FuZCtQcmFjdGljZStmb3IrUGVyc29ucyt3aXRo
K1NldmVyZStEaXNhYmlsaXRpZXMmYW1wO2J0aXRsZT0mYW1wO3JmdF9pZD1pbmZvOmVyaWMvRUox
MDY4MTI1JmFtcDtyZnRfaWQ9aW5mbzpkb2kvMTAuMTE3NyUyRjE1NDA3OTY5MTQ1NjY3MTQ8L3Vy
bD48L3JlbGF0ZWQtdXJscz48L3VybHM+PGVsZWN0cm9uaWMtcmVzb3VyY2UtbnVtPmh0dHBzOi8v
ZG9pLm9yZy8xMC4xMTc3LzE1NDA3OTY5MTQ1NjY3MTQ8L2VsZWN0cm9uaWMtcmVzb3VyY2UtbnVt
PjxyZW1vdGUtZGF0YWJhc2UtbmFtZT5FZHVjYXRpb24gUmVzZWFyY2ggSW5kZXg7IEVSSUM7IFNv
Y2lhbCBTY2llbmNlIFByZW1pdW0gQ29sbGVjdGlvbjwvcmVtb3RlLWRhdGFiYXNlLW5hbWU+PGxh
bmd1YWdlPkVuZ2xpc2g8L2xhbmd1YWdlPjwvcmVjb3JkPjwvQ2l0ZT48L0VuZE5vdGU+
</w:fldData>
        </w:fldChar>
      </w:r>
      <w:r w:rsidRPr="00556787">
        <w:instrText xml:space="preserve"> ADDIN EN.CITE.DATA </w:instrText>
      </w:r>
      <w:r w:rsidRPr="00556787">
        <w:fldChar w:fldCharType="end"/>
      </w:r>
      <w:r w:rsidRPr="00556787">
        <w:fldChar w:fldCharType="separate"/>
      </w:r>
      <w:r w:rsidRPr="00556787">
        <w:t>(Rossetti et al., 2015)</w:t>
      </w:r>
      <w:r w:rsidRPr="00556787">
        <w:fldChar w:fldCharType="end"/>
      </w:r>
      <w:r w:rsidRPr="00556787">
        <w:t xml:space="preserve">; and implementation outcomes are reported using the Proctor taxonomy (e.g., adoption, feasibility, fidelity, penetration, sustainability) </w:t>
      </w:r>
      <w:r w:rsidRPr="00556787">
        <w:fldChar w:fldCharType="begin"/>
      </w:r>
      <w:r w:rsidRPr="00556787">
        <w:instrText xml:space="preserve"> ADDIN EN.CITE &lt;EndNote&gt;&lt;Cite&gt;&lt;Author&gt;Proctor&lt;/Author&gt;&lt;Year&gt;2011&lt;/Year&gt;&lt;RecNum&gt;161&lt;/RecNum&gt;&lt;DisplayText&gt;(Proctor et al., 2011)&lt;/DisplayText&gt;&lt;record&gt;&lt;rec-number&gt;161&lt;/rec-number&gt;&lt;foreign-keys&gt;&lt;key app="EN" db-id="9r0xdszvkxpd0qee99svpwt7tdv9zzed5z2f" timestamp="1769672629"&gt;161&lt;/key&gt;&lt;/foreign-keys&gt;&lt;ref-type name="Journal Article"&gt;17&lt;/ref-type&gt;&lt;contributors&gt;&lt;authors&gt;&lt;author&gt;Proctor, E.&lt;/author&gt;&lt;author&gt;Silmere, H.&lt;/author&gt;&lt;author&gt;Raghavan, R.&lt;/author&gt;&lt;author&gt;Hovmand, P.&lt;/author&gt;&lt;author&gt;Aarons, G.&lt;/author&gt;&lt;author&gt;Bunger, A.&lt;/author&gt;&lt;author&gt;Griffey, R.&lt;/author&gt;&lt;author&gt;Hensley, M.&lt;/author&gt;&lt;/authors&gt;&lt;/contributors&gt;&lt;auth-address&gt;George Warren Brown School of Social Work, Washington University in St. Louis, One Brookings Drive, St. Louis, MO 63130, USA. ekp@wustl.edu&lt;/auth-address&gt;&lt;titles&gt;&lt;title&gt;Outcomes for implementation research: conceptual distinctions, measurement challenges, and research agenda&lt;/title&gt;&lt;secondary-title&gt;Adm Policy Ment Health&lt;/secondary-title&gt;&lt;/titles&gt;&lt;periodical&gt;&lt;full-title&gt;Adm Policy Ment Health&lt;/full-title&gt;&lt;/periodical&gt;&lt;pages&gt;65-76&lt;/pages&gt;&lt;volume&gt;38&lt;/volume&gt;&lt;number&gt;2&lt;/number&gt;&lt;keywords&gt;&lt;keyword&gt;Biomedical Research/*methods/*organization &amp;amp; administration&lt;/keyword&gt;&lt;keyword&gt;*Diffusion of Innovation&lt;/keyword&gt;&lt;keyword&gt;Humans&lt;/keyword&gt;&lt;keyword&gt;Mental Health Services/*organization &amp;amp; administration&lt;/keyword&gt;&lt;keyword&gt;Outcome and Process Assessment, Health Care/methods/organization &amp;amp; administration&lt;/keyword&gt;&lt;/keywords&gt;&lt;dates&gt;&lt;year&gt;2011&lt;/year&gt;&lt;pub-dates&gt;&lt;date&gt;Mar&lt;/date&gt;&lt;/pub-dates&gt;&lt;/dates&gt;&lt;isbn&gt;0894-587X (Print)&amp;#xD;0894-587x&lt;/isbn&gt;&lt;accession-num&gt;20957426&lt;/accession-num&gt;&lt;urls&gt;&lt;/urls&gt;&lt;custom2&gt;PMC3068522&lt;/custom2&gt;&lt;electronic-resource-num&gt;10.1007/s10488-010-0319-7&lt;/electronic-resource-num&gt;&lt;remote-database-provider&gt;NLM&lt;/remote-database-provider&gt;&lt;language&gt;eng&lt;/language&gt;&lt;/record&gt;&lt;/Cite&gt;&lt;/EndNote&gt;</w:instrText>
      </w:r>
      <w:r w:rsidRPr="00556787">
        <w:fldChar w:fldCharType="separate"/>
      </w:r>
      <w:r w:rsidRPr="00556787">
        <w:t>(Proctor et al., 2011)</w:t>
      </w:r>
      <w:r w:rsidRPr="00556787">
        <w:fldChar w:fldCharType="end"/>
      </w:r>
      <w:r w:rsidRPr="00556787">
        <w:t xml:space="preserve">. </w:t>
      </w:r>
    </w:p>
    <w:p w14:paraId="19DCAE79" w14:textId="77777777" w:rsidR="00D0002F" w:rsidRDefault="00D0002F" w:rsidP="00D0002F">
      <w:r w:rsidRPr="00556787">
        <w:lastRenderedPageBreak/>
        <w:t xml:space="preserve">In the Australian context, three interfaces are treated as particularly consequential for implementability and scale: </w:t>
      </w:r>
    </w:p>
    <w:p w14:paraId="421E07C3" w14:textId="77777777" w:rsidR="00D0002F" w:rsidRPr="00556787" w:rsidRDefault="00D0002F" w:rsidP="00D0002F">
      <w:pPr>
        <w:pStyle w:val="NumberedBullet"/>
      </w:pPr>
      <w:r w:rsidRPr="00556787">
        <w:rPr>
          <w:b/>
          <w:bCs/>
        </w:rPr>
        <w:t>Specialist employment programme platform</w:t>
      </w:r>
      <w:r w:rsidRPr="00556787">
        <w:t xml:space="preserve"> (</w:t>
      </w:r>
      <w:r w:rsidRPr="00FE5AA7">
        <w:t>Inclusive</w:t>
      </w:r>
      <w:r w:rsidRPr="00556787">
        <w:t xml:space="preserve"> Employment Australia and its predecessor DES)</w:t>
      </w:r>
    </w:p>
    <w:p w14:paraId="151C9956" w14:textId="77777777" w:rsidR="00D0002F" w:rsidRPr="00556787" w:rsidRDefault="00D0002F" w:rsidP="00D0002F">
      <w:pPr>
        <w:pStyle w:val="NumberedBullet"/>
      </w:pPr>
      <w:r w:rsidRPr="00556787">
        <w:rPr>
          <w:b/>
          <w:bCs/>
        </w:rPr>
        <w:t>NDIS-funded employment-related supports</w:t>
      </w:r>
      <w:r w:rsidRPr="00556787">
        <w:t xml:space="preserve"> including Employment Readiness Programmes, and</w:t>
      </w:r>
    </w:p>
    <w:p w14:paraId="05333563" w14:textId="77777777" w:rsidR="00D0002F" w:rsidRPr="00556787" w:rsidRDefault="00D0002F" w:rsidP="00D0002F">
      <w:pPr>
        <w:pStyle w:val="NumberedBullet"/>
      </w:pPr>
      <w:r w:rsidRPr="00556787">
        <w:rPr>
          <w:b/>
          <w:bCs/>
        </w:rPr>
        <w:t>Open-supported employment boundary</w:t>
      </w:r>
      <w:r w:rsidRPr="00556787">
        <w:t xml:space="preserve"> (including wage</w:t>
      </w:r>
      <w:r>
        <w:t>-</w:t>
      </w:r>
      <w:r w:rsidRPr="00556787">
        <w:t>setting arrangements and transitions from segregated settings).</w:t>
      </w:r>
    </w:p>
    <w:p w14:paraId="1893D2D6" w14:textId="668F63FA" w:rsidR="00D0002F" w:rsidRPr="00ED411B" w:rsidRDefault="00D0002F" w:rsidP="00807628">
      <w:pPr>
        <w:pStyle w:val="Numberedheading2"/>
      </w:pPr>
      <w:bookmarkStart w:id="27" w:name="_Toc231220041"/>
      <w:r w:rsidRPr="00ED411B">
        <w:t xml:space="preserve">Programme </w:t>
      </w:r>
      <w:r>
        <w:t>t</w:t>
      </w:r>
      <w:r w:rsidRPr="00ED411B">
        <w:t xml:space="preserve">heory in </w:t>
      </w:r>
      <w:r>
        <w:t>p</w:t>
      </w:r>
      <w:r w:rsidRPr="00ED411B">
        <w:t xml:space="preserve">ractice: </w:t>
      </w:r>
      <w:r>
        <w:t>d</w:t>
      </w:r>
      <w:r w:rsidRPr="00ED411B">
        <w:t xml:space="preserve">esign </w:t>
      </w:r>
      <w:r>
        <w:t>i</w:t>
      </w:r>
      <w:r w:rsidRPr="00ED411B">
        <w:t xml:space="preserve">mplications </w:t>
      </w:r>
      <w:r>
        <w:t>m</w:t>
      </w:r>
      <w:r w:rsidRPr="00ED411B">
        <w:t>atrix</w:t>
      </w:r>
      <w:bookmarkEnd w:id="27"/>
    </w:p>
    <w:p w14:paraId="7A0C143C" w14:textId="77777777" w:rsidR="00D0002F" w:rsidRPr="00556787" w:rsidRDefault="00D0002F" w:rsidP="00D0002F">
      <w:r w:rsidRPr="00556787">
        <w:t>This synthesis operationalises the programme theory as the Mismatch</w:t>
      </w:r>
      <w:r>
        <w:t>-</w:t>
      </w:r>
      <w:r w:rsidRPr="00556787">
        <w:t>Informed Programme Theory for CIE for people with intellectual disability (MIP</w:t>
      </w:r>
      <w:r>
        <w:t>-</w:t>
      </w:r>
      <w:r w:rsidRPr="00556787">
        <w:t>CIE). It treats ‘support needs’ as a context</w:t>
      </w:r>
      <w:r>
        <w:t>-</w:t>
      </w:r>
      <w:r w:rsidRPr="00556787">
        <w:t>sensitive person</w:t>
      </w:r>
      <w:r>
        <w:t>-</w:t>
      </w:r>
      <w:r w:rsidRPr="00556787">
        <w:t>environment interaction: mismatch occurs when the load profile of work (task and information demands, sensory and physical conditions, social/relational expectations, and administrative complexity) exceeds the person’s available capabilities and supports, and CIE supports function by improving capability</w:t>
      </w:r>
      <w:r>
        <w:t>-</w:t>
      </w:r>
      <w:r w:rsidRPr="00556787">
        <w:t>load fit and stabilising performance over time.</w:t>
      </w:r>
    </w:p>
    <w:p w14:paraId="3C71405A" w14:textId="77777777" w:rsidR="00D0002F" w:rsidRPr="00B968F0" w:rsidRDefault="00D0002F" w:rsidP="00D0002F">
      <w:r w:rsidRPr="004D339E">
        <w:t>The design implications presented below translate the MIP-CIE framework as an interpretive synthesis of evidence, not as a fixed implementation model. They indicate conditions and design considerations suggested by the evidence, rather than prescriptive requirements.</w:t>
      </w:r>
    </w:p>
    <w:p w14:paraId="5FBE8E97" w14:textId="2F4AB13E" w:rsidR="00D0002F" w:rsidRDefault="00D0002F" w:rsidP="00D0002F">
      <w:pPr>
        <w:pStyle w:val="TableCaption"/>
      </w:pPr>
      <w:r w:rsidRPr="00556787">
        <w:t xml:space="preserve">Table </w:t>
      </w:r>
      <w:r w:rsidR="00F96F05">
        <w:t>3.</w:t>
      </w:r>
      <w:r w:rsidR="005E601E">
        <w:t>1</w:t>
      </w:r>
      <w:r w:rsidRPr="00556787">
        <w:t xml:space="preserve">. </w:t>
      </w:r>
      <w:r w:rsidRPr="007B2023">
        <w:t>MIP-CIE framework</w:t>
      </w:r>
      <w:r w:rsidRPr="00556787">
        <w:t xml:space="preserve"> matrix: challenges, mechanisms &amp; design requirements </w:t>
      </w:r>
    </w:p>
    <w:tbl>
      <w:tblPr>
        <w:tblStyle w:val="CIETable"/>
        <w:tblW w:w="9776" w:type="dxa"/>
        <w:tblLayout w:type="fixed"/>
        <w:tblLook w:val="04A0" w:firstRow="1" w:lastRow="0" w:firstColumn="1" w:lastColumn="0" w:noHBand="0" w:noVBand="1"/>
      </w:tblPr>
      <w:tblGrid>
        <w:gridCol w:w="1900"/>
        <w:gridCol w:w="2480"/>
        <w:gridCol w:w="2561"/>
        <w:gridCol w:w="2835"/>
      </w:tblGrid>
      <w:tr w:rsidR="002B78A3" w:rsidRPr="00556787" w14:paraId="58AF7F25" w14:textId="77777777" w:rsidTr="003C44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00" w:type="dxa"/>
            <w:hideMark/>
          </w:tcPr>
          <w:p w14:paraId="26021E90" w14:textId="77777777" w:rsidR="002B78A3" w:rsidRPr="00556787" w:rsidRDefault="002B78A3" w:rsidP="00D975C3">
            <w:pPr>
              <w:pStyle w:val="TableHeading"/>
            </w:pPr>
            <w:r w:rsidRPr="00556787">
              <w:t>Level</w:t>
            </w:r>
          </w:p>
        </w:tc>
        <w:tc>
          <w:tcPr>
            <w:tcW w:w="2480" w:type="dxa"/>
            <w:hideMark/>
          </w:tcPr>
          <w:p w14:paraId="3A5B332F" w14:textId="77777777" w:rsidR="002B78A3" w:rsidRPr="00556787" w:rsidRDefault="002B78A3" w:rsidP="00D975C3">
            <w:pPr>
              <w:pStyle w:val="TableHeading"/>
              <w:cnfStyle w:val="100000000000" w:firstRow="1" w:lastRow="0" w:firstColumn="0" w:lastColumn="0" w:oddVBand="0" w:evenVBand="0" w:oddHBand="0" w:evenHBand="0" w:firstRowFirstColumn="0" w:firstRowLastColumn="0" w:lastRowFirstColumn="0" w:lastRowLastColumn="0"/>
            </w:pPr>
            <w:r w:rsidRPr="00556787">
              <w:t>Challenge / Determinant</w:t>
            </w:r>
          </w:p>
        </w:tc>
        <w:tc>
          <w:tcPr>
            <w:tcW w:w="2561" w:type="dxa"/>
            <w:hideMark/>
          </w:tcPr>
          <w:p w14:paraId="57C766BE" w14:textId="77777777" w:rsidR="002B78A3" w:rsidRPr="00556787" w:rsidRDefault="002B78A3" w:rsidP="00D975C3">
            <w:pPr>
              <w:pStyle w:val="TableHeading"/>
              <w:cnfStyle w:val="100000000000" w:firstRow="1" w:lastRow="0" w:firstColumn="0" w:lastColumn="0" w:oddVBand="0" w:evenVBand="0" w:oddHBand="0" w:evenHBand="0" w:firstRowFirstColumn="0" w:firstRowLastColumn="0" w:lastRowFirstColumn="0" w:lastRowLastColumn="0"/>
            </w:pPr>
            <w:r w:rsidRPr="00556787">
              <w:t>Mechanism (How the Challenge Blocks CIE)</w:t>
            </w:r>
          </w:p>
        </w:tc>
        <w:tc>
          <w:tcPr>
            <w:tcW w:w="2835" w:type="dxa"/>
            <w:hideMark/>
          </w:tcPr>
          <w:p w14:paraId="17BD6A9B" w14:textId="77777777" w:rsidR="002B78A3" w:rsidRPr="00556787" w:rsidRDefault="002B78A3" w:rsidP="00D975C3">
            <w:pPr>
              <w:pStyle w:val="TableHeading"/>
              <w:cnfStyle w:val="100000000000" w:firstRow="1" w:lastRow="0" w:firstColumn="0" w:lastColumn="0" w:oddVBand="0" w:evenVBand="0" w:oddHBand="0" w:evenHBand="0" w:firstRowFirstColumn="0" w:firstRowLastColumn="0" w:lastRowFirstColumn="0" w:lastRowLastColumn="0"/>
            </w:pPr>
            <w:r w:rsidRPr="00556787">
              <w:t>Design Requirement for CIE Supports (</w:t>
            </w:r>
            <w:r w:rsidRPr="007B2023">
              <w:t>MIP-CIE framework</w:t>
            </w:r>
            <w:r w:rsidRPr="00556787">
              <w:t>)</w:t>
            </w:r>
          </w:p>
        </w:tc>
      </w:tr>
      <w:tr w:rsidR="002B78A3" w:rsidRPr="00556787" w14:paraId="4B5FA1E8" w14:textId="77777777" w:rsidTr="00D97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hideMark/>
          </w:tcPr>
          <w:p w14:paraId="5FAD892E" w14:textId="77777777" w:rsidR="002B78A3" w:rsidRPr="00556787" w:rsidRDefault="002B78A3" w:rsidP="00D975C3">
            <w:pPr>
              <w:pStyle w:val="TableText"/>
            </w:pPr>
            <w:r w:rsidRPr="00556787">
              <w:t>Macro / Structural Pathways</w:t>
            </w:r>
          </w:p>
        </w:tc>
        <w:tc>
          <w:tcPr>
            <w:tcW w:w="2480" w:type="dxa"/>
            <w:hideMark/>
          </w:tcPr>
          <w:p w14:paraId="1F748247"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Persistence of segregated pathways with weak transition to open employment</w:t>
            </w:r>
          </w:p>
        </w:tc>
        <w:tc>
          <w:tcPr>
            <w:tcW w:w="2561" w:type="dxa"/>
            <w:hideMark/>
          </w:tcPr>
          <w:p w14:paraId="53B6AC18"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Path dependency narrows opportunities and expectations, reducing transition rates to open employment</w:t>
            </w:r>
          </w:p>
        </w:tc>
        <w:tc>
          <w:tcPr>
            <w:tcW w:w="2835" w:type="dxa"/>
            <w:hideMark/>
          </w:tcPr>
          <w:p w14:paraId="21F4E771"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Treat de-segregation and transition pathways as system preconditions; specify transition mechanisms</w:t>
            </w:r>
          </w:p>
        </w:tc>
      </w:tr>
      <w:tr w:rsidR="002B78A3" w:rsidRPr="00556787" w14:paraId="362A359D" w14:textId="77777777" w:rsidTr="00D975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hideMark/>
          </w:tcPr>
          <w:p w14:paraId="2ED3228A" w14:textId="77777777" w:rsidR="002B78A3" w:rsidRPr="00556787" w:rsidRDefault="002B78A3" w:rsidP="00D975C3">
            <w:pPr>
              <w:pStyle w:val="TableText"/>
            </w:pPr>
            <w:r w:rsidRPr="00556787">
              <w:t>Macro / Service-System</w:t>
            </w:r>
          </w:p>
        </w:tc>
        <w:tc>
          <w:tcPr>
            <w:tcW w:w="2480" w:type="dxa"/>
            <w:hideMark/>
          </w:tcPr>
          <w:p w14:paraId="74E0D921"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Programme settings shape service ‘dose’ and continuity</w:t>
            </w:r>
          </w:p>
        </w:tc>
        <w:tc>
          <w:tcPr>
            <w:tcW w:w="2561" w:type="dxa"/>
            <w:hideMark/>
          </w:tcPr>
          <w:p w14:paraId="70F6AE63"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Incentives and rules affect intensity and duration of support; reforms may disrupt continuity</w:t>
            </w:r>
          </w:p>
        </w:tc>
        <w:tc>
          <w:tcPr>
            <w:tcW w:w="2835" w:type="dxa"/>
            <w:hideMark/>
          </w:tcPr>
          <w:p w14:paraId="428CFF48"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Make platform assumptions explicit; include safeguards for continuity and workforce capability</w:t>
            </w:r>
          </w:p>
        </w:tc>
      </w:tr>
      <w:tr w:rsidR="002B78A3" w:rsidRPr="00556787" w14:paraId="724850C8" w14:textId="77777777" w:rsidTr="00D97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hideMark/>
          </w:tcPr>
          <w:p w14:paraId="0C579451" w14:textId="77777777" w:rsidR="002B78A3" w:rsidRPr="00556787" w:rsidRDefault="002B78A3" w:rsidP="00D975C3">
            <w:pPr>
              <w:pStyle w:val="TableText"/>
            </w:pPr>
            <w:r w:rsidRPr="00556787">
              <w:lastRenderedPageBreak/>
              <w:t>Meso / School-to-Work</w:t>
            </w:r>
          </w:p>
        </w:tc>
        <w:tc>
          <w:tcPr>
            <w:tcW w:w="2480" w:type="dxa"/>
            <w:hideMark/>
          </w:tcPr>
          <w:p w14:paraId="16E19775"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Insufficient work-based learning and transition planning</w:t>
            </w:r>
          </w:p>
        </w:tc>
        <w:tc>
          <w:tcPr>
            <w:tcW w:w="2561" w:type="dxa"/>
            <w:hideMark/>
          </w:tcPr>
          <w:p w14:paraId="677C2789"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Weak vocational identity and limited networks reduce job</w:t>
            </w:r>
            <w:r>
              <w:t>-</w:t>
            </w:r>
            <w:r w:rsidRPr="00556787">
              <w:t>person fit</w:t>
            </w:r>
          </w:p>
        </w:tc>
        <w:tc>
          <w:tcPr>
            <w:tcW w:w="2835" w:type="dxa"/>
            <w:hideMark/>
          </w:tcPr>
          <w:p w14:paraId="2105B047"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Specify early transition components: work experience, employer engagement, and pathway coordination</w:t>
            </w:r>
          </w:p>
        </w:tc>
      </w:tr>
      <w:tr w:rsidR="002B78A3" w:rsidRPr="00556787" w14:paraId="7CC98F4B" w14:textId="77777777" w:rsidTr="00D975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hideMark/>
          </w:tcPr>
          <w:p w14:paraId="5B500350" w14:textId="77777777" w:rsidR="002B78A3" w:rsidRDefault="002B78A3" w:rsidP="00D975C3">
            <w:pPr>
              <w:pStyle w:val="TableText"/>
              <w:rPr>
                <w:b w:val="0"/>
                <w:bCs/>
              </w:rPr>
            </w:pPr>
            <w:r w:rsidRPr="00556787">
              <w:t>Meso / Provider Model</w:t>
            </w:r>
          </w:p>
          <w:p w14:paraId="279BFB3E" w14:textId="77777777" w:rsidR="002B78A3" w:rsidRDefault="002B78A3" w:rsidP="00D975C3">
            <w:pPr>
              <w:pStyle w:val="TableText"/>
            </w:pPr>
          </w:p>
          <w:p w14:paraId="26023192" w14:textId="77777777" w:rsidR="002B78A3" w:rsidRDefault="002B78A3" w:rsidP="00D975C3">
            <w:pPr>
              <w:pStyle w:val="TableText"/>
            </w:pPr>
          </w:p>
          <w:p w14:paraId="3D3482C9" w14:textId="77777777" w:rsidR="002B78A3" w:rsidRPr="00556787" w:rsidRDefault="002B78A3" w:rsidP="00D975C3">
            <w:pPr>
              <w:pStyle w:val="TableText"/>
            </w:pPr>
          </w:p>
        </w:tc>
        <w:tc>
          <w:tcPr>
            <w:tcW w:w="2480" w:type="dxa"/>
            <w:hideMark/>
          </w:tcPr>
          <w:p w14:paraId="228A1D35"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Inconsistent implementation and support intensity (‘dose’)</w:t>
            </w:r>
          </w:p>
        </w:tc>
        <w:tc>
          <w:tcPr>
            <w:tcW w:w="2561" w:type="dxa"/>
            <w:hideMark/>
          </w:tcPr>
          <w:p w14:paraId="278F38F9"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Low contact frequency and weak sequencing reduce skill acquisition and job fit</w:t>
            </w:r>
          </w:p>
        </w:tc>
        <w:tc>
          <w:tcPr>
            <w:tcW w:w="2835" w:type="dxa"/>
            <w:hideMark/>
          </w:tcPr>
          <w:p w14:paraId="3C895D35"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Treat dose as a causal moderator; specify sequencing, frequency, and re-intensification triggers</w:t>
            </w:r>
          </w:p>
        </w:tc>
      </w:tr>
      <w:tr w:rsidR="002B78A3" w:rsidRPr="00556787" w14:paraId="137AF537" w14:textId="77777777" w:rsidTr="00D97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hideMark/>
          </w:tcPr>
          <w:p w14:paraId="5B8B36AB" w14:textId="77777777" w:rsidR="002B78A3" w:rsidRPr="00556787" w:rsidRDefault="002B78A3" w:rsidP="00D975C3">
            <w:pPr>
              <w:pStyle w:val="TableText"/>
            </w:pPr>
            <w:r w:rsidRPr="00556787">
              <w:t>Workplace / Employer Demand</w:t>
            </w:r>
          </w:p>
        </w:tc>
        <w:tc>
          <w:tcPr>
            <w:tcW w:w="2480" w:type="dxa"/>
            <w:hideMark/>
          </w:tcPr>
          <w:p w14:paraId="06BD12B8"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Employer risk aversion and low expectations</w:t>
            </w:r>
          </w:p>
        </w:tc>
        <w:tc>
          <w:tcPr>
            <w:tcW w:w="2561" w:type="dxa"/>
            <w:hideMark/>
          </w:tcPr>
          <w:p w14:paraId="1E83D318"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Stigma and uncertainty suppress hiring and advancement opportunities</w:t>
            </w:r>
          </w:p>
        </w:tc>
        <w:tc>
          <w:tcPr>
            <w:tcW w:w="2835" w:type="dxa"/>
            <w:hideMark/>
          </w:tcPr>
          <w:p w14:paraId="424606AD"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Position employer engagement as a core component; include coaching and natural supports</w:t>
            </w:r>
          </w:p>
        </w:tc>
      </w:tr>
      <w:tr w:rsidR="002B78A3" w:rsidRPr="00556787" w14:paraId="2C507029" w14:textId="77777777" w:rsidTr="00D975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hideMark/>
          </w:tcPr>
          <w:p w14:paraId="6F1DF4B4" w14:textId="77777777" w:rsidR="002B78A3" w:rsidRPr="00556787" w:rsidRDefault="002B78A3" w:rsidP="00D975C3">
            <w:pPr>
              <w:pStyle w:val="TableText"/>
            </w:pPr>
            <w:r w:rsidRPr="00556787">
              <w:t>Workplace / Job Design</w:t>
            </w:r>
          </w:p>
        </w:tc>
        <w:tc>
          <w:tcPr>
            <w:tcW w:w="2480" w:type="dxa"/>
            <w:hideMark/>
          </w:tcPr>
          <w:p w14:paraId="6B41804B" w14:textId="3C7BABDD"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High cognitive</w:t>
            </w:r>
            <w:r w:rsidR="00ED48F8">
              <w:t xml:space="preserve"> / </w:t>
            </w:r>
            <w:r w:rsidRPr="00556787">
              <w:t>communicative load relative to processing affordances</w:t>
            </w:r>
          </w:p>
        </w:tc>
        <w:tc>
          <w:tcPr>
            <w:tcW w:w="2561" w:type="dxa"/>
            <w:hideMark/>
          </w:tcPr>
          <w:p w14:paraId="4AE3B475"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Mismatch leads to errors and exclusion; performance issues misattributed to the person</w:t>
            </w:r>
          </w:p>
        </w:tc>
        <w:tc>
          <w:tcPr>
            <w:tcW w:w="2835" w:type="dxa"/>
            <w:hideMark/>
          </w:tcPr>
          <w:p w14:paraId="1C8EC60C"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Make mismatch assessable and modifiable; include job redesign, visual supports, and adjustments</w:t>
            </w:r>
          </w:p>
        </w:tc>
      </w:tr>
      <w:tr w:rsidR="002B78A3" w:rsidRPr="00556787" w14:paraId="3653C62B" w14:textId="77777777" w:rsidTr="00FE2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tcBorders>
              <w:bottom w:val="single" w:sz="4" w:space="0" w:color="C0C0C0" w:themeColor="accent5"/>
            </w:tcBorders>
            <w:hideMark/>
          </w:tcPr>
          <w:p w14:paraId="24EB9868" w14:textId="77777777" w:rsidR="002B78A3" w:rsidRPr="00556787" w:rsidRDefault="002B78A3" w:rsidP="00D975C3">
            <w:pPr>
              <w:pStyle w:val="TableText"/>
            </w:pPr>
            <w:r w:rsidRPr="00556787">
              <w:t>Workplace / Retention</w:t>
            </w:r>
          </w:p>
        </w:tc>
        <w:tc>
          <w:tcPr>
            <w:tcW w:w="2480" w:type="dxa"/>
            <w:tcBorders>
              <w:bottom w:val="single" w:sz="4" w:space="0" w:color="C0C0C0" w:themeColor="accent5"/>
            </w:tcBorders>
            <w:hideMark/>
          </w:tcPr>
          <w:p w14:paraId="7D429A81"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Lack of follow-along support and slow response to workplace changes</w:t>
            </w:r>
          </w:p>
        </w:tc>
        <w:tc>
          <w:tcPr>
            <w:tcW w:w="2561" w:type="dxa"/>
            <w:tcBorders>
              <w:bottom w:val="single" w:sz="4" w:space="0" w:color="C0C0C0" w:themeColor="accent5"/>
            </w:tcBorders>
            <w:hideMark/>
          </w:tcPr>
          <w:p w14:paraId="7F2E4710"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Accumulated issues lead to preventable job exits</w:t>
            </w:r>
          </w:p>
        </w:tc>
        <w:tc>
          <w:tcPr>
            <w:tcW w:w="2835" w:type="dxa"/>
            <w:tcBorders>
              <w:bottom w:val="single" w:sz="4" w:space="0" w:color="C0C0C0" w:themeColor="accent5"/>
            </w:tcBorders>
            <w:hideMark/>
          </w:tcPr>
          <w:p w14:paraId="2D6928ED" w14:textId="77777777" w:rsidR="002B78A3" w:rsidRPr="00556787" w:rsidRDefault="002B78A3" w:rsidP="00D975C3">
            <w:pPr>
              <w:pStyle w:val="TableText"/>
              <w:cnfStyle w:val="000000100000" w:firstRow="0" w:lastRow="0" w:firstColumn="0" w:lastColumn="0" w:oddVBand="0" w:evenVBand="0" w:oddHBand="1" w:evenHBand="0" w:firstRowFirstColumn="0" w:firstRowLastColumn="0" w:lastRowFirstColumn="0" w:lastRowLastColumn="0"/>
            </w:pPr>
            <w:r w:rsidRPr="00556787">
              <w:t>Specify maintenance architecture; include early warning systems and re-intensification protocols</w:t>
            </w:r>
          </w:p>
        </w:tc>
      </w:tr>
      <w:tr w:rsidR="002B78A3" w:rsidRPr="00556787" w14:paraId="15A543DD" w14:textId="77777777" w:rsidTr="00FE28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tcBorders>
              <w:bottom w:val="single" w:sz="4" w:space="0" w:color="C0C0C0" w:themeColor="accent5"/>
            </w:tcBorders>
            <w:hideMark/>
          </w:tcPr>
          <w:p w14:paraId="46E630B2" w14:textId="77777777" w:rsidR="002B78A3" w:rsidRPr="00556787" w:rsidRDefault="002B78A3" w:rsidP="00D975C3">
            <w:pPr>
              <w:pStyle w:val="TableText"/>
            </w:pPr>
            <w:r w:rsidRPr="00556787">
              <w:t>Contextual Determinants</w:t>
            </w:r>
          </w:p>
        </w:tc>
        <w:tc>
          <w:tcPr>
            <w:tcW w:w="2480" w:type="dxa"/>
            <w:tcBorders>
              <w:bottom w:val="single" w:sz="4" w:space="0" w:color="C0C0C0" w:themeColor="accent5"/>
            </w:tcBorders>
            <w:hideMark/>
          </w:tcPr>
          <w:p w14:paraId="07E6E4AD"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Income support and wage-setting interfaces</w:t>
            </w:r>
          </w:p>
        </w:tc>
        <w:tc>
          <w:tcPr>
            <w:tcW w:w="2561" w:type="dxa"/>
            <w:tcBorders>
              <w:bottom w:val="single" w:sz="4" w:space="0" w:color="C0C0C0" w:themeColor="accent5"/>
            </w:tcBorders>
            <w:hideMark/>
          </w:tcPr>
          <w:p w14:paraId="3FDF6351"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Financial risk and complexity bias decisions toward minimal hours or segregated options</w:t>
            </w:r>
          </w:p>
        </w:tc>
        <w:tc>
          <w:tcPr>
            <w:tcW w:w="2835" w:type="dxa"/>
            <w:tcBorders>
              <w:bottom w:val="single" w:sz="4" w:space="0" w:color="C0C0C0" w:themeColor="accent5"/>
            </w:tcBorders>
            <w:hideMark/>
          </w:tcPr>
          <w:p w14:paraId="77F1E32E" w14:textId="77777777" w:rsidR="002B78A3" w:rsidRPr="00556787" w:rsidRDefault="002B78A3" w:rsidP="00D975C3">
            <w:pPr>
              <w:pStyle w:val="TableText"/>
              <w:cnfStyle w:val="000000010000" w:firstRow="0" w:lastRow="0" w:firstColumn="0" w:lastColumn="0" w:oddVBand="0" w:evenVBand="0" w:oddHBand="0" w:evenHBand="1" w:firstRowFirstColumn="0" w:firstRowLastColumn="0" w:lastRowFirstColumn="0" w:lastRowLastColumn="0"/>
            </w:pPr>
            <w:r w:rsidRPr="00556787">
              <w:t>Treat as contextual determinants: include navigation supports where embedded in service models</w:t>
            </w:r>
          </w:p>
        </w:tc>
      </w:tr>
    </w:tbl>
    <w:p w14:paraId="2C712527" w14:textId="77777777" w:rsidR="00D0002F" w:rsidRPr="00556787" w:rsidRDefault="00D0002F" w:rsidP="00D0002F">
      <w:pPr>
        <w:pStyle w:val="TableCaption"/>
      </w:pPr>
    </w:p>
    <w:p w14:paraId="7D884CF7" w14:textId="77777777" w:rsidR="00FE28DF" w:rsidRDefault="00FE28DF" w:rsidP="0068699F">
      <w:pPr>
        <w:pStyle w:val="Numberedheading1"/>
        <w:sectPr w:rsidR="00FE28DF" w:rsidSect="00BF481A">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134" w:right="1134" w:bottom="1134" w:left="1134" w:header="454" w:footer="0" w:gutter="0"/>
          <w:cols w:space="708"/>
          <w:titlePg/>
          <w:docGrid w:linePitch="360"/>
        </w:sectPr>
      </w:pPr>
    </w:p>
    <w:p w14:paraId="4C37755D" w14:textId="1E81B5DF" w:rsidR="5D409A01" w:rsidRDefault="002B78A3" w:rsidP="0068699F">
      <w:pPr>
        <w:pStyle w:val="Numberedheading1"/>
      </w:pPr>
      <w:bookmarkStart w:id="28" w:name="_Toc231220042"/>
      <w:r>
        <w:lastRenderedPageBreak/>
        <w:t>Methods</w:t>
      </w:r>
      <w:bookmarkEnd w:id="28"/>
    </w:p>
    <w:p w14:paraId="32366202" w14:textId="0DF12CEE" w:rsidR="00D0002F" w:rsidRPr="00ED411B" w:rsidRDefault="00D0002F" w:rsidP="00807628">
      <w:pPr>
        <w:pStyle w:val="Numberedheading2"/>
      </w:pPr>
      <w:bookmarkStart w:id="29" w:name="_Toc231220043"/>
      <w:r w:rsidRPr="00ED411B">
        <w:t xml:space="preserve">Study </w:t>
      </w:r>
      <w:r>
        <w:t>r</w:t>
      </w:r>
      <w:r w:rsidRPr="00ED411B">
        <w:t>ationale</w:t>
      </w:r>
      <w:bookmarkEnd w:id="29"/>
    </w:p>
    <w:p w14:paraId="6B5AC13D" w14:textId="12412B20" w:rsidR="00D0002F" w:rsidRPr="00A407AF" w:rsidRDefault="00D0002F" w:rsidP="00D0002F">
      <w:r w:rsidRPr="00A407AF">
        <w:t>People with intellectual disability remain substantially under-represented in competitive integrated employment in Australia. This evidence synthesis was commissioned to identify and summarise evidence</w:t>
      </w:r>
      <w:r>
        <w:t>-</w:t>
      </w:r>
      <w:r w:rsidRPr="00A407AF">
        <w:t>informed service and workplace practice components that facilitate high</w:t>
      </w:r>
      <w:r>
        <w:t>-</w:t>
      </w:r>
      <w:r w:rsidRPr="00A407AF">
        <w:t>quality mainstream employment for people with intellectual disability.</w:t>
      </w:r>
    </w:p>
    <w:p w14:paraId="13B42B30" w14:textId="77777777" w:rsidR="00D0002F" w:rsidRPr="00A407AF" w:rsidRDefault="00D0002F" w:rsidP="00D0002F">
      <w:r w:rsidRPr="00A407AF">
        <w:t>The synthesis is intended to support the Centre’s purposes by:</w:t>
      </w:r>
    </w:p>
    <w:p w14:paraId="01E984D1" w14:textId="77777777" w:rsidR="00D0002F" w:rsidRPr="00A407AF" w:rsidRDefault="00D0002F" w:rsidP="001D6551">
      <w:pPr>
        <w:pStyle w:val="ListBullet"/>
      </w:pPr>
      <w:r w:rsidRPr="00A407AF">
        <w:rPr>
          <w:b/>
          <w:bCs/>
        </w:rPr>
        <w:t>providing an accessible summary of evidence</w:t>
      </w:r>
      <w:r w:rsidRPr="00A407AF">
        <w:t xml:space="preserve"> to guide employment service design and delivery and inform policy development; and</w:t>
      </w:r>
    </w:p>
    <w:p w14:paraId="7698F820" w14:textId="77777777" w:rsidR="00D0002F" w:rsidRPr="00A407AF" w:rsidRDefault="00D0002F" w:rsidP="001D6551">
      <w:pPr>
        <w:pStyle w:val="ListBullet"/>
      </w:pPr>
      <w:r w:rsidRPr="00A407AF">
        <w:rPr>
          <w:b/>
          <w:bCs/>
        </w:rPr>
        <w:t>informing the development</w:t>
      </w:r>
      <w:r w:rsidRPr="00A407AF">
        <w:t xml:space="preserve"> of training packages, resources, toolkits and other collateral to underpin more effective disability employment practice.</w:t>
      </w:r>
    </w:p>
    <w:p w14:paraId="6573D84A" w14:textId="20E2A697" w:rsidR="00D0002F" w:rsidRPr="00A407AF" w:rsidRDefault="00D0002F" w:rsidP="00807628">
      <w:pPr>
        <w:pStyle w:val="Numberedheading2"/>
      </w:pPr>
      <w:bookmarkStart w:id="30" w:name="_Toc231220044"/>
      <w:r w:rsidRPr="00A407AF">
        <w:t xml:space="preserve">Eligibility </w:t>
      </w:r>
      <w:r>
        <w:t>c</w:t>
      </w:r>
      <w:r w:rsidRPr="00A407AF">
        <w:t xml:space="preserve">riteria and </w:t>
      </w:r>
      <w:r>
        <w:t>s</w:t>
      </w:r>
      <w:r w:rsidRPr="00A407AF">
        <w:t>cope</w:t>
      </w:r>
      <w:bookmarkEnd w:id="30"/>
    </w:p>
    <w:p w14:paraId="283D789C" w14:textId="77777777" w:rsidR="00D0002F" w:rsidRPr="00A407AF" w:rsidRDefault="00D0002F" w:rsidP="00D0002F">
      <w:r w:rsidRPr="00A407AF">
        <w:t>This work was conducted as a rapid evidence synthesis guided by an a priori protocol and adapted to meet applied translation needs (service design and workforce development). The approach integrates research evidence (quantitative, qualitative and mixed methods), systematic reviews (where eligible), and grey literature (e.g., government and NGO reports, programme evaluations) reporting appraisable empirical findings, as well as a scan of existing tools and resources relevant to inclusive employment practice.</w:t>
      </w:r>
    </w:p>
    <w:p w14:paraId="5948B776" w14:textId="6FA1E41A" w:rsidR="00D0002F" w:rsidRPr="00ED411B" w:rsidRDefault="00D0002F" w:rsidP="00D26F52">
      <w:pPr>
        <w:pStyle w:val="Numberedheading3"/>
      </w:pPr>
      <w:bookmarkStart w:id="31" w:name="_Toc231220045"/>
      <w:r w:rsidRPr="00ED411B">
        <w:t>Language</w:t>
      </w:r>
      <w:bookmarkEnd w:id="31"/>
    </w:p>
    <w:p w14:paraId="55B30BF3" w14:textId="77777777" w:rsidR="00D0002F" w:rsidRPr="00A407AF" w:rsidRDefault="00D0002F" w:rsidP="00D0002F">
      <w:r w:rsidRPr="00A407AF">
        <w:t>All searches were restricted to English-language materials due to time constraints.</w:t>
      </w:r>
    </w:p>
    <w:p w14:paraId="50DE3A33" w14:textId="241E95DB" w:rsidR="00D0002F" w:rsidRPr="00ED411B" w:rsidRDefault="00D0002F" w:rsidP="00D26F52">
      <w:pPr>
        <w:pStyle w:val="Numberedheading3"/>
      </w:pPr>
      <w:bookmarkStart w:id="32" w:name="_Toc231220046"/>
      <w:r w:rsidRPr="00ED411B">
        <w:t>Publication date limits and handling of older evidence within systematic reviews</w:t>
      </w:r>
      <w:bookmarkEnd w:id="32"/>
    </w:p>
    <w:p w14:paraId="786B96F5" w14:textId="77777777" w:rsidR="00D0002F" w:rsidRPr="00A407AF" w:rsidRDefault="00D0002F" w:rsidP="00D0002F">
      <w:r w:rsidRPr="00A407AF">
        <w:t>Database searching was limited to records published from 1 January 2015 to present. This date restriction applied to primary studies, evaluations, and grey literature retrieved through database searching and supplementary searches.</w:t>
      </w:r>
    </w:p>
    <w:p w14:paraId="528B2C70" w14:textId="77777777" w:rsidR="00D0002F" w:rsidRPr="00A407AF" w:rsidRDefault="00D0002F" w:rsidP="00D0002F">
      <w:r w:rsidRPr="00A407AF">
        <w:t>Systematic reviews published from 1 January 2015 onward were eligible even when they included primary studies published prior to 2015. In these cases, pre-2015 primary studies were treated as legacy evidence contributing to the review-level findings. Legacy studies were not added as stand-alone included studies unless they were also retrieved as eligible 2015</w:t>
      </w:r>
      <w:r>
        <w:t>+</w:t>
      </w:r>
      <w:r w:rsidRPr="00A407AF">
        <w:t xml:space="preserve"> records through our </w:t>
      </w:r>
      <w:r w:rsidRPr="00A407AF">
        <w:lastRenderedPageBreak/>
        <w:t>searching. This approach preserves access to foundational evidence captured by contemporary reviews while maintaining the rapid review boundary for newly identified records.</w:t>
      </w:r>
    </w:p>
    <w:p w14:paraId="4034B30F" w14:textId="4467CA13" w:rsidR="00D0002F" w:rsidRPr="00ED411B" w:rsidRDefault="00D0002F" w:rsidP="00D26F52">
      <w:pPr>
        <w:pStyle w:val="Numberedheading3"/>
      </w:pPr>
      <w:bookmarkStart w:id="33" w:name="_Toc231220047"/>
      <w:r w:rsidRPr="00ED411B">
        <w:t>Eligibility criteria</w:t>
      </w:r>
      <w:bookmarkEnd w:id="33"/>
    </w:p>
    <w:p w14:paraId="40C60F48" w14:textId="77777777" w:rsidR="00D0002F" w:rsidRPr="00A407AF" w:rsidRDefault="00D0002F" w:rsidP="00D0002F">
      <w:r w:rsidRPr="00A407AF">
        <w:t xml:space="preserve">Eligibility criteria were specified a priori and are summarised in </w:t>
      </w:r>
      <w:r w:rsidRPr="00A407AF">
        <w:rPr>
          <w:b/>
          <w:bCs/>
        </w:rPr>
        <w:t>Appendix A</w:t>
      </w:r>
      <w:r w:rsidRPr="00A407AF">
        <w:t>. Table A: Eligibility Criteria (PICOS).</w:t>
      </w:r>
    </w:p>
    <w:p w14:paraId="094505EA" w14:textId="64CB2B0C" w:rsidR="00D0002F" w:rsidRPr="00ED411B" w:rsidRDefault="00D0002F" w:rsidP="00D26F52">
      <w:pPr>
        <w:pStyle w:val="Numberedheading3"/>
      </w:pPr>
      <w:bookmarkStart w:id="34" w:name="_Toc231220048"/>
      <w:r w:rsidRPr="00ED411B">
        <w:t>Scope refinement (service and practice focus; policy levers out of scope)</w:t>
      </w:r>
      <w:bookmarkEnd w:id="34"/>
    </w:p>
    <w:p w14:paraId="3800A3CC" w14:textId="77777777" w:rsidR="00D0002F" w:rsidRPr="00A407AF" w:rsidRDefault="00D0002F" w:rsidP="00D0002F">
      <w:r w:rsidRPr="00A407AF">
        <w:t>This synthesis treats employment support as primarily service and workplace practice components (for example, vocational profiling and discovery, job matching, job carving and customisation, systematic instruction, employer engagement, workplace adjustments, natural supports, and ongoing support).</w:t>
      </w:r>
    </w:p>
    <w:p w14:paraId="0B988F05" w14:textId="77777777" w:rsidR="00D0002F" w:rsidRPr="00A407AF" w:rsidRDefault="00D0002F" w:rsidP="00D0002F">
      <w:r w:rsidRPr="00A407AF">
        <w:t>Macro policy levers (for example, wage subsidies or employer incentives as stand</w:t>
      </w:r>
      <w:r>
        <w:t>-</w:t>
      </w:r>
      <w:r w:rsidRPr="00A407AF">
        <w:t>alone instruments, income support settings, and guardianship or decision</w:t>
      </w:r>
      <w:r>
        <w:t>-</w:t>
      </w:r>
      <w:r w:rsidRPr="00A407AF">
        <w:t>support interfaces) were out of scope and were not systematically searched. Where such levers appeared embedded within eligible programmes, they were recorded descriptively as contextual features (enablers or constraints) but were not synthesised as intervention categories nor used as primary bases for recommendations.</w:t>
      </w:r>
    </w:p>
    <w:p w14:paraId="76B37859" w14:textId="3335B67B" w:rsidR="00D0002F" w:rsidRPr="00ED411B" w:rsidRDefault="00D0002F" w:rsidP="00807628">
      <w:pPr>
        <w:pStyle w:val="Numberedheading2"/>
      </w:pPr>
      <w:bookmarkStart w:id="35" w:name="_Toc231220049"/>
      <w:r w:rsidRPr="00ED411B">
        <w:t xml:space="preserve">Search </w:t>
      </w:r>
      <w:r>
        <w:t>s</w:t>
      </w:r>
      <w:r w:rsidRPr="00ED411B">
        <w:t>trategy</w:t>
      </w:r>
      <w:bookmarkEnd w:id="35"/>
    </w:p>
    <w:p w14:paraId="5E1CDDC0" w14:textId="4CEB8326" w:rsidR="00D0002F" w:rsidRPr="00ED411B" w:rsidRDefault="00D0002F" w:rsidP="00222835">
      <w:pPr>
        <w:pStyle w:val="Numberedheading3"/>
      </w:pPr>
      <w:bookmarkStart w:id="36" w:name="_Toc231220050"/>
      <w:r w:rsidRPr="00ED411B">
        <w:t>Scope and databases</w:t>
      </w:r>
      <w:bookmarkEnd w:id="36"/>
    </w:p>
    <w:p w14:paraId="1473EC7D" w14:textId="77777777" w:rsidR="00D0002F" w:rsidRPr="00A407AF" w:rsidRDefault="00D0002F" w:rsidP="00D0002F">
      <w:r w:rsidRPr="00A407AF">
        <w:t xml:space="preserve">Searches were conducted across the following bibliographic databases (as per the protocol and search documentation </w:t>
      </w:r>
      <w:r w:rsidRPr="00A407AF">
        <w:rPr>
          <w:b/>
          <w:bCs/>
        </w:rPr>
        <w:t>Appendix B</w:t>
      </w:r>
      <w:r w:rsidRPr="00A407AF">
        <w:t xml:space="preserve"> and </w:t>
      </w:r>
      <w:r w:rsidRPr="00A407AF">
        <w:rPr>
          <w:b/>
          <w:bCs/>
        </w:rPr>
        <w:t>Appendix C</w:t>
      </w:r>
      <w:r w:rsidRPr="00A407AF">
        <w:t>):</w:t>
      </w:r>
    </w:p>
    <w:p w14:paraId="3E4433CE" w14:textId="77777777" w:rsidR="00D0002F" w:rsidRPr="00A407AF" w:rsidRDefault="00D0002F" w:rsidP="00222835">
      <w:pPr>
        <w:pStyle w:val="ListBullet"/>
      </w:pPr>
      <w:r w:rsidRPr="00A407AF">
        <w:t>APA PsycInfo (via Ovid)</w:t>
      </w:r>
    </w:p>
    <w:p w14:paraId="598428BF" w14:textId="77777777" w:rsidR="00D0002F" w:rsidRPr="00A407AF" w:rsidRDefault="00D0002F" w:rsidP="00222835">
      <w:pPr>
        <w:pStyle w:val="ListBullet"/>
      </w:pPr>
      <w:r w:rsidRPr="00A407AF">
        <w:t>CINAHL</w:t>
      </w:r>
    </w:p>
    <w:p w14:paraId="3E1C0918" w14:textId="77777777" w:rsidR="00D0002F" w:rsidRPr="00A407AF" w:rsidRDefault="00D0002F" w:rsidP="00222835">
      <w:pPr>
        <w:pStyle w:val="ListBullet"/>
      </w:pPr>
      <w:r w:rsidRPr="00A407AF">
        <w:t>Scopus</w:t>
      </w:r>
    </w:p>
    <w:p w14:paraId="5495B229" w14:textId="77777777" w:rsidR="00D0002F" w:rsidRPr="00A407AF" w:rsidRDefault="00D0002F" w:rsidP="00222835">
      <w:pPr>
        <w:pStyle w:val="ListBullet"/>
      </w:pPr>
      <w:r w:rsidRPr="00A407AF">
        <w:t>Web of Science Core Collection</w:t>
      </w:r>
    </w:p>
    <w:p w14:paraId="0DE0C3F0" w14:textId="77777777" w:rsidR="00D0002F" w:rsidRPr="00A407AF" w:rsidRDefault="00D0002F" w:rsidP="00222835">
      <w:pPr>
        <w:pStyle w:val="ListBullet"/>
      </w:pPr>
      <w:r w:rsidRPr="00A407AF">
        <w:t>ProQuest Social Science Premium (including ERIC and APAIS)</w:t>
      </w:r>
    </w:p>
    <w:p w14:paraId="02C97707" w14:textId="77777777" w:rsidR="00D0002F" w:rsidRPr="00A407AF" w:rsidRDefault="00D0002F" w:rsidP="00222835">
      <w:pPr>
        <w:pStyle w:val="ListBullet"/>
      </w:pPr>
      <w:r w:rsidRPr="00A407AF">
        <w:t>ProQuest Dissertations &amp; Theses Global (screened for citation-chasing/context only; theses/dissertations were not included as evidence sources)</w:t>
      </w:r>
    </w:p>
    <w:p w14:paraId="05E7FACC" w14:textId="2D0F9E3C" w:rsidR="00D0002F" w:rsidRPr="00ED411B" w:rsidRDefault="00D0002F" w:rsidP="00222835">
      <w:pPr>
        <w:pStyle w:val="Numberedheading3"/>
      </w:pPr>
      <w:bookmarkStart w:id="37" w:name="_Toc231220051"/>
      <w:r w:rsidRPr="00ED411B">
        <w:lastRenderedPageBreak/>
        <w:t>Search strategy</w:t>
      </w:r>
      <w:bookmarkEnd w:id="37"/>
    </w:p>
    <w:p w14:paraId="2F8D20E1" w14:textId="77777777" w:rsidR="00D0002F" w:rsidRPr="00A407AF" w:rsidRDefault="00D0002F" w:rsidP="00D0002F">
      <w:r w:rsidRPr="00A407AF">
        <w:t xml:space="preserve">A three-step search strategy was used: (i) an initial limited search to identify key terms and indexing; (ii) a full search using refined terms across all databases; and (iii) reference list screening of included systematic reviews and key sources to identify additional eligible records. Details of the initial scoping search conducted in August-October 2025 are provided in </w:t>
      </w:r>
      <w:r w:rsidRPr="00A407AF">
        <w:rPr>
          <w:b/>
          <w:bCs/>
        </w:rPr>
        <w:t>Appendix B</w:t>
      </w:r>
      <w:r w:rsidRPr="00A407AF">
        <w:t xml:space="preserve">. A supplementary search focused on vocational education and training pathways is outlined in </w:t>
      </w:r>
      <w:r w:rsidRPr="00A407AF">
        <w:rPr>
          <w:b/>
          <w:bCs/>
        </w:rPr>
        <w:t>Appendix C</w:t>
      </w:r>
      <w:r w:rsidRPr="00A407AF">
        <w:t>.</w:t>
      </w:r>
    </w:p>
    <w:p w14:paraId="54332E20" w14:textId="227E7514" w:rsidR="00D0002F" w:rsidRPr="00ED411B" w:rsidRDefault="00D0002F" w:rsidP="00222835">
      <w:pPr>
        <w:pStyle w:val="Numberedheading3"/>
      </w:pPr>
      <w:bookmarkStart w:id="38" w:name="_Toc231220052"/>
      <w:r w:rsidRPr="00ED411B">
        <w:t>Grey literature, tools and resource scan</w:t>
      </w:r>
      <w:bookmarkEnd w:id="38"/>
    </w:p>
    <w:p w14:paraId="4A7D6461" w14:textId="77777777" w:rsidR="00D0002F" w:rsidRPr="00A407AF" w:rsidRDefault="00D0002F" w:rsidP="00D0002F">
      <w:r w:rsidRPr="00A407AF">
        <w:t>To support downstream training and toolkit development, a structured scan of grey literature, tools, resources, and training materials was undertaken. This included targeted searching using Google Advanced Search (targeted keywords, operators, and filetype or domain filters), targeted searches of relevant organisational and government portals, bounded Google Scholar screening as specified in the protocol, Disabled People’s Organisations websites and lived-experience authored materials, and reference list mining of included sources.</w:t>
      </w:r>
    </w:p>
    <w:p w14:paraId="4780C683" w14:textId="38A826CC" w:rsidR="00D0002F" w:rsidRPr="00ED411B" w:rsidRDefault="00D0002F" w:rsidP="00807628">
      <w:pPr>
        <w:pStyle w:val="Numberedheading2"/>
      </w:pPr>
      <w:bookmarkStart w:id="39" w:name="_Toc231220053"/>
      <w:r w:rsidRPr="00ED411B">
        <w:t xml:space="preserve">Study </w:t>
      </w:r>
      <w:r>
        <w:t>s</w:t>
      </w:r>
      <w:r w:rsidRPr="00ED411B">
        <w:t xml:space="preserve">election and </w:t>
      </w:r>
      <w:r>
        <w:t>d</w:t>
      </w:r>
      <w:r w:rsidRPr="00ED411B">
        <w:t xml:space="preserve">ata </w:t>
      </w:r>
      <w:r>
        <w:t>e</w:t>
      </w:r>
      <w:r w:rsidRPr="00ED411B">
        <w:t>xtraction</w:t>
      </w:r>
      <w:bookmarkEnd w:id="39"/>
    </w:p>
    <w:p w14:paraId="324C714C" w14:textId="77777777" w:rsidR="00D0002F" w:rsidRPr="00A407AF" w:rsidRDefault="00D0002F" w:rsidP="00D0002F">
      <w:r w:rsidRPr="00A407AF">
        <w:t xml:space="preserve">Records were managed in review software Covidence </w:t>
      </w:r>
      <w:r w:rsidRPr="00A407AF">
        <w:fldChar w:fldCharType="begin"/>
      </w:r>
      <w:r w:rsidRPr="00A407AF">
        <w:instrText xml:space="preserve"> ADDIN EN.CITE &lt;EndNote&gt;&lt;Cite&gt;&lt;Author&gt;Covidence&lt;/Author&gt;&lt;Year&gt;2025&lt;/Year&gt;&lt;RecNum&gt;173&lt;/RecNum&gt;&lt;DisplayText&gt;(Covidence, 2025)&lt;/DisplayText&gt;&lt;record&gt;&lt;rec-number&gt;173&lt;/rec-number&gt;&lt;foreign-keys&gt;&lt;key app="EN" db-id="9r0xdszvkxpd0qee99svpwt7tdv9zzed5z2f" timestamp="1769675506"&gt;173&lt;/key&gt;&lt;/foreign-keys&gt;&lt;ref-type name="Computer Program"&gt;9&lt;/ref-type&gt;&lt;contributors&gt;&lt;authors&gt;&lt;author&gt;Covidence,&lt;/author&gt;&lt;/authors&gt;&lt;/contributors&gt;&lt;titles&gt;&lt;title&gt;Covidence systematic review software&lt;/title&gt;&lt;/titles&gt;&lt;dates&gt;&lt;year&gt;2025&lt;/year&gt;&lt;/dates&gt;&lt;pub-location&gt;Melbourne, Australia&lt;/pub-location&gt;&lt;publisher&gt;Veritas Health Innovation&lt;/publisher&gt;&lt;urls&gt;&lt;related-urls&gt;&lt;url&gt;www.covidence.org&lt;/url&gt;&lt;/related-urls&gt;&lt;/urls&gt;&lt;access-date&gt;1 August 2025&lt;/access-date&gt;&lt;/record&gt;&lt;/Cite&gt;&lt;/EndNote&gt;</w:instrText>
      </w:r>
      <w:r w:rsidRPr="00A407AF">
        <w:fldChar w:fldCharType="separate"/>
      </w:r>
      <w:r w:rsidRPr="00A407AF">
        <w:t>(Covidence, 2025)</w:t>
      </w:r>
      <w:r w:rsidRPr="00A407AF">
        <w:fldChar w:fldCharType="end"/>
      </w:r>
      <w:r w:rsidRPr="00A407AF">
        <w:t xml:space="preserve"> with deduplication prior to screening. Study selection proceeded in two stages: title and abstract screening against eligibility criteria, followed by full-text screening with documented exclusion reasons. A calibration approach was used to ensure consistent application of criteria. </w:t>
      </w:r>
    </w:p>
    <w:p w14:paraId="39A3450E" w14:textId="77777777" w:rsidR="00D0002F" w:rsidRPr="00A407AF" w:rsidRDefault="00D0002F" w:rsidP="00D0002F">
      <w:r w:rsidRPr="00A407AF">
        <w:t xml:space="preserve">Selection results are summarised in a PRISMA 2020 flow diagram (see </w:t>
      </w:r>
      <w:r w:rsidRPr="00A407AF">
        <w:rPr>
          <w:b/>
          <w:bCs/>
        </w:rPr>
        <w:t>Appendix D</w:t>
      </w:r>
      <w:r w:rsidRPr="00A407AF">
        <w:t>), which outlines the identification, screening, and inclusion process. The final included studies derived from this process are detailed in Table 4.1 (Validation ledger for frozen evidence counts and sources).</w:t>
      </w:r>
    </w:p>
    <w:p w14:paraId="479CF8C3" w14:textId="77777777" w:rsidR="00D0002F" w:rsidRPr="00A407AF" w:rsidRDefault="00D0002F" w:rsidP="00D0002F">
      <w:r w:rsidRPr="00A407AF">
        <w:t xml:space="preserve">A standardised extraction template was used to capture study characteristics, participant details, intervention components and delivery features, outcomes, implementation determinants, equity considerations, embedded policy levers (descriptive only), transferability to Australia, and information required for critical appraisal and certainty assessment. Extraction domains and template fields are listed in </w:t>
      </w:r>
      <w:r w:rsidRPr="00A407AF">
        <w:rPr>
          <w:b/>
          <w:bCs/>
        </w:rPr>
        <w:t>Appendix E</w:t>
      </w:r>
      <w:r w:rsidRPr="00A407AF">
        <w:t>. Coding decisions for transition</w:t>
      </w:r>
      <w:r>
        <w:t>-</w:t>
      </w:r>
      <w:r w:rsidRPr="00A407AF">
        <w:t xml:space="preserve">to-work studies were guided by structured rules (see </w:t>
      </w:r>
      <w:r w:rsidRPr="00A407AF">
        <w:rPr>
          <w:b/>
          <w:bCs/>
        </w:rPr>
        <w:t>Appendix I</w:t>
      </w:r>
      <w:r w:rsidRPr="00A407AF">
        <w:t>).</w:t>
      </w:r>
    </w:p>
    <w:p w14:paraId="6C002009" w14:textId="0B8D3659" w:rsidR="00D0002F" w:rsidRPr="00ED411B" w:rsidRDefault="00D0002F" w:rsidP="00807628">
      <w:pPr>
        <w:pStyle w:val="Numberedheading2"/>
      </w:pPr>
      <w:bookmarkStart w:id="40" w:name="_Toc231220054"/>
      <w:r w:rsidRPr="00ED411B">
        <w:t xml:space="preserve">Data </w:t>
      </w:r>
      <w:r>
        <w:t>a</w:t>
      </w:r>
      <w:r w:rsidRPr="00ED411B">
        <w:t xml:space="preserve">nalysis and </w:t>
      </w:r>
      <w:r>
        <w:t>s</w:t>
      </w:r>
      <w:r w:rsidRPr="00ED411B">
        <w:t>ynthesis</w:t>
      </w:r>
      <w:bookmarkEnd w:id="40"/>
    </w:p>
    <w:p w14:paraId="5BD9F93F" w14:textId="77777777" w:rsidR="00D0002F" w:rsidRPr="00C17C32" w:rsidRDefault="00D0002F" w:rsidP="00D0002F">
      <w:r w:rsidRPr="00C17C32">
        <w:lastRenderedPageBreak/>
        <w:t>Evidence base freeze and version control. All evidence-source counts, overlap handling, and analysis-set definitions in this report are frozen to the master register and master mapping as follows: Master register v1.2 (23 January 2026) and master mapping v4.6 (23 January 2026).</w:t>
      </w:r>
    </w:p>
    <w:p w14:paraId="543BC904" w14:textId="77777777" w:rsidR="00D0002F" w:rsidRPr="00C17C32" w:rsidRDefault="00D0002F" w:rsidP="00D0002F">
      <w:r w:rsidRPr="00C17C32">
        <w:t>The synthesis pipeline comprises 8 included systematic reviews (extracted and synthesised at review level) and 28 post-systematic-review primary studies (extracted at primary-study level). Primary studies contained within included systematic reviews are tracked for audit and citation mapping as a within</w:t>
      </w:r>
      <w:r w:rsidRPr="00C17C32">
        <w:noBreakHyphen/>
        <w:t>SR inventory (n = 100 unique studies) and are not double-extracted at primary-study level.</w:t>
      </w:r>
    </w:p>
    <w:p w14:paraId="149B8435" w14:textId="77777777" w:rsidR="00D0002F" w:rsidRPr="00C17C32" w:rsidRDefault="00D0002F" w:rsidP="00D0002F">
      <w:r w:rsidRPr="00C17C32">
        <w:t>Within the post</w:t>
      </w:r>
      <w:r w:rsidRPr="00C17C32">
        <w:noBreakHyphen/>
        <w:t>SR set, 6 studies also appear in the within</w:t>
      </w:r>
      <w:r w:rsidRPr="00C17C32">
        <w:noBreakHyphen/>
        <w:t>SR inventory (overlap) and are retained as provenance records and (where relevant) for the lived experience/perspectives reporting stream but are excluded from the incremental post</w:t>
      </w:r>
      <w:r w:rsidRPr="00C17C32">
        <w:noBreakHyphen/>
        <w:t>SR effectiveness analysis to avoid double counting. This leaves 22 post</w:t>
      </w:r>
      <w:r w:rsidRPr="00C17C32">
        <w:noBreakHyphen/>
        <w:t>SR studies unique to the post</w:t>
      </w:r>
      <w:r w:rsidRPr="00C17C32">
        <w:noBreakHyphen/>
        <w:t>SR stream; of these, 11 meet the agreed Post</w:t>
      </w:r>
      <w:r w:rsidRPr="00C17C32">
        <w:noBreakHyphen/>
        <w:t>SR effectiveness analysis-set criteria (AERO ≥3; quantitative/mixed-methods designs; in-scope primary outcomes; and not overlapped with within</w:t>
      </w:r>
      <w:r w:rsidRPr="00C17C32">
        <w:noBreakHyphen/>
        <w:t>SR evidence).</w:t>
      </w:r>
    </w:p>
    <w:p w14:paraId="2D2BB25B" w14:textId="77777777" w:rsidR="00D0002F" w:rsidRPr="00C17C32" w:rsidRDefault="00D0002F" w:rsidP="00D0002F">
      <w:r w:rsidRPr="00C17C32">
        <w:t>The lived experience and stakeholder perspectives sub</w:t>
      </w:r>
      <w:r w:rsidRPr="00C17C32">
        <w:noBreakHyphen/>
        <w:t>stream is indexed via a dedicated citation list (n = 16) and synthesised separately (Section 6).</w:t>
      </w:r>
    </w:p>
    <w:p w14:paraId="00662361" w14:textId="77777777" w:rsidR="00D0002F" w:rsidRPr="00C17C32" w:rsidRDefault="00D0002F" w:rsidP="00D0002F">
      <w:r w:rsidRPr="00C17C32">
        <w:t xml:space="preserve">The PRISMA 2020 flow diagram (see </w:t>
      </w:r>
      <w:r w:rsidRPr="00C17C32">
        <w:rPr>
          <w:b/>
          <w:bCs/>
        </w:rPr>
        <w:t>Appendix D</w:t>
      </w:r>
      <w:r w:rsidRPr="00C17C32">
        <w:t>) visually reconciles the study selection process with the frozen evidence base and complements Table 4.1.</w:t>
      </w:r>
    </w:p>
    <w:p w14:paraId="6967FD4D" w14:textId="77777777" w:rsidR="00D0002F" w:rsidRPr="00C17C32" w:rsidRDefault="00D0002F" w:rsidP="00F01FFC">
      <w:pPr>
        <w:pStyle w:val="TableCaption"/>
      </w:pPr>
      <w:r w:rsidRPr="00C17C32">
        <w:t>Table 4.1. Validation ledger for frozen evidence counts and sources</w:t>
      </w:r>
    </w:p>
    <w:p w14:paraId="556D7499" w14:textId="77777777" w:rsidR="00D0002F" w:rsidRPr="00C17C32" w:rsidRDefault="00D0002F" w:rsidP="00D0002F">
      <w:r w:rsidRPr="00C17C32">
        <w:t xml:space="preserve">This table documents the final included evidence sources as derived from the PRISMA 2020 study selection process (see </w:t>
      </w:r>
      <w:r w:rsidRPr="00C17C32">
        <w:rPr>
          <w:b/>
          <w:bCs/>
        </w:rPr>
        <w:t>Appendix D</w:t>
      </w:r>
      <w:r w:rsidRPr="00C17C32">
        <w:t>), cross-referenced to the master register and citation mapping files.</w:t>
      </w:r>
    </w:p>
    <w:tbl>
      <w:tblPr>
        <w:tblStyle w:val="CIETable"/>
        <w:tblW w:w="0" w:type="auto"/>
        <w:tblLayout w:type="fixed"/>
        <w:tblLook w:val="04A0" w:firstRow="1" w:lastRow="0" w:firstColumn="1" w:lastColumn="0" w:noHBand="0" w:noVBand="1"/>
      </w:tblPr>
      <w:tblGrid>
        <w:gridCol w:w="4810"/>
        <w:gridCol w:w="4811"/>
      </w:tblGrid>
      <w:tr w:rsidR="00D0002F" w:rsidRPr="00ED411B" w14:paraId="00DC0258" w14:textId="77777777" w:rsidTr="00F01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0" w:type="dxa"/>
          </w:tcPr>
          <w:p w14:paraId="631F02F2" w14:textId="77777777" w:rsidR="00D0002F" w:rsidRPr="00C17C32" w:rsidRDefault="00D0002F" w:rsidP="00F01FFC">
            <w:pPr>
              <w:pStyle w:val="TableHeading"/>
            </w:pPr>
            <w:r w:rsidRPr="00C17C32">
              <w:t>Item</w:t>
            </w:r>
          </w:p>
        </w:tc>
        <w:tc>
          <w:tcPr>
            <w:tcW w:w="4811" w:type="dxa"/>
          </w:tcPr>
          <w:p w14:paraId="37C0F74C" w14:textId="77777777" w:rsidR="00D0002F" w:rsidRPr="00C17C32" w:rsidRDefault="00D0002F" w:rsidP="00F01FFC">
            <w:pPr>
              <w:pStyle w:val="TableHeading"/>
              <w:cnfStyle w:val="100000000000" w:firstRow="1" w:lastRow="0" w:firstColumn="0" w:lastColumn="0" w:oddVBand="0" w:evenVBand="0" w:oddHBand="0" w:evenHBand="0" w:firstRowFirstColumn="0" w:firstRowLastColumn="0" w:lastRowFirstColumn="0" w:lastRowLastColumn="0"/>
            </w:pPr>
            <w:r w:rsidRPr="00C17C32">
              <w:t>Frozen reference</w:t>
            </w:r>
          </w:p>
        </w:tc>
      </w:tr>
      <w:tr w:rsidR="00D0002F" w:rsidRPr="00ED411B" w14:paraId="12B5541E" w14:textId="77777777" w:rsidTr="00F01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14:paraId="13529462" w14:textId="77777777" w:rsidR="00D0002F" w:rsidRPr="00C17C32" w:rsidRDefault="00D0002F" w:rsidP="00F01FFC">
            <w:pPr>
              <w:pStyle w:val="TableText"/>
            </w:pPr>
            <w:r w:rsidRPr="00C17C32">
              <w:t>Master register</w:t>
            </w:r>
          </w:p>
        </w:tc>
        <w:tc>
          <w:tcPr>
            <w:tcW w:w="4811" w:type="dxa"/>
          </w:tcPr>
          <w:p w14:paraId="62131FBC" w14:textId="77777777" w:rsidR="00D0002F" w:rsidRPr="00C17C32" w:rsidRDefault="00D0002F" w:rsidP="00F01FFC">
            <w:pPr>
              <w:pStyle w:val="TableText"/>
              <w:cnfStyle w:val="000000100000" w:firstRow="0" w:lastRow="0" w:firstColumn="0" w:lastColumn="0" w:oddVBand="0" w:evenVBand="0" w:oddHBand="1" w:evenHBand="0" w:firstRowFirstColumn="0" w:firstRowLastColumn="0" w:lastRowFirstColumn="0" w:lastRowLastColumn="0"/>
            </w:pPr>
            <w:r w:rsidRPr="00C17C32">
              <w:t>V_CIE_SR_Quan_MM_AZ_MASTER_REGISTER_WORKING_v1_2_20260123.xlsx</w:t>
            </w:r>
          </w:p>
        </w:tc>
      </w:tr>
      <w:tr w:rsidR="00D0002F" w:rsidRPr="00ED411B" w14:paraId="1B031BF0" w14:textId="77777777" w:rsidTr="00F01F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14:paraId="5168B27A" w14:textId="77777777" w:rsidR="00D0002F" w:rsidRPr="00C17C32" w:rsidRDefault="00D0002F" w:rsidP="00F01FFC">
            <w:pPr>
              <w:pStyle w:val="TableText"/>
            </w:pPr>
            <w:r w:rsidRPr="00C17C32">
              <w:t>Master mapping</w:t>
            </w:r>
          </w:p>
        </w:tc>
        <w:tc>
          <w:tcPr>
            <w:tcW w:w="4811" w:type="dxa"/>
          </w:tcPr>
          <w:p w14:paraId="3893D946" w14:textId="77777777" w:rsidR="00D0002F" w:rsidRPr="00C17C32" w:rsidRDefault="00D0002F" w:rsidP="00F01FFC">
            <w:pPr>
              <w:pStyle w:val="TableText"/>
              <w:cnfStyle w:val="000000010000" w:firstRow="0" w:lastRow="0" w:firstColumn="0" w:lastColumn="0" w:oddVBand="0" w:evenVBand="0" w:oddHBand="0" w:evenHBand="1" w:firstRowFirstColumn="0" w:firstRowLastColumn="0" w:lastRowFirstColumn="0" w:lastRowLastColumn="0"/>
            </w:pPr>
            <w:r w:rsidRPr="00C17C32">
              <w:t>V_Current_CIE_Citation_Matrix_AZ_21012026_ALIGNED_TO_REGISTER_v4_6_20260123.xlsx</w:t>
            </w:r>
          </w:p>
        </w:tc>
      </w:tr>
      <w:tr w:rsidR="00D0002F" w:rsidRPr="00ED411B" w14:paraId="41B5B4BF" w14:textId="77777777" w:rsidTr="00F01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14:paraId="615380EE" w14:textId="77777777" w:rsidR="00D0002F" w:rsidRPr="00C17C32" w:rsidRDefault="00D0002F" w:rsidP="00F01FFC">
            <w:pPr>
              <w:pStyle w:val="TableText"/>
            </w:pPr>
            <w:r w:rsidRPr="00C17C32">
              <w:t>Included systematic reviews (SR level)</w:t>
            </w:r>
          </w:p>
        </w:tc>
        <w:tc>
          <w:tcPr>
            <w:tcW w:w="4811" w:type="dxa"/>
          </w:tcPr>
          <w:p w14:paraId="5B8613E2" w14:textId="77777777" w:rsidR="00D0002F" w:rsidRPr="00C17C32" w:rsidRDefault="00D0002F" w:rsidP="00F01FFC">
            <w:pPr>
              <w:pStyle w:val="TableText"/>
              <w:cnfStyle w:val="000000100000" w:firstRow="0" w:lastRow="0" w:firstColumn="0" w:lastColumn="0" w:oddVBand="0" w:evenVBand="0" w:oddHBand="1" w:evenHBand="0" w:firstRowFirstColumn="0" w:firstRowLastColumn="0" w:lastRowFirstColumn="0" w:lastRowLastColumn="0"/>
            </w:pPr>
            <w:r w:rsidRPr="00C17C32">
              <w:t>n = 8</w:t>
            </w:r>
          </w:p>
        </w:tc>
      </w:tr>
      <w:tr w:rsidR="00D0002F" w:rsidRPr="00ED411B" w14:paraId="0F47C951" w14:textId="77777777" w:rsidTr="00F01F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14:paraId="72E3CF96" w14:textId="77777777" w:rsidR="00D0002F" w:rsidRPr="00C17C32" w:rsidRDefault="00D0002F" w:rsidP="00F01FFC">
            <w:pPr>
              <w:pStyle w:val="TableText"/>
            </w:pPr>
            <w:r w:rsidRPr="00C17C32">
              <w:t>Within-SR primary study inventory (unique)</w:t>
            </w:r>
          </w:p>
        </w:tc>
        <w:tc>
          <w:tcPr>
            <w:tcW w:w="4811" w:type="dxa"/>
          </w:tcPr>
          <w:p w14:paraId="289FA348" w14:textId="77777777" w:rsidR="00D0002F" w:rsidRPr="00C17C32" w:rsidRDefault="00D0002F" w:rsidP="00F01FFC">
            <w:pPr>
              <w:pStyle w:val="TableText"/>
              <w:cnfStyle w:val="000000010000" w:firstRow="0" w:lastRow="0" w:firstColumn="0" w:lastColumn="0" w:oddVBand="0" w:evenVBand="0" w:oddHBand="0" w:evenHBand="1" w:firstRowFirstColumn="0" w:firstRowLastColumn="0" w:lastRowFirstColumn="0" w:lastRowLastColumn="0"/>
            </w:pPr>
            <w:r w:rsidRPr="00C17C32">
              <w:t>n = 100</w:t>
            </w:r>
          </w:p>
        </w:tc>
      </w:tr>
      <w:tr w:rsidR="00D0002F" w:rsidRPr="00ED411B" w14:paraId="2F7ECABB" w14:textId="77777777" w:rsidTr="00F01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14:paraId="5002D8D4" w14:textId="77777777" w:rsidR="00D0002F" w:rsidRPr="00C17C32" w:rsidRDefault="00D0002F" w:rsidP="00F01FFC">
            <w:pPr>
              <w:pStyle w:val="TableText"/>
            </w:pPr>
            <w:r w:rsidRPr="00C17C32">
              <w:t>Post-SR primary studies (total)</w:t>
            </w:r>
          </w:p>
        </w:tc>
        <w:tc>
          <w:tcPr>
            <w:tcW w:w="4811" w:type="dxa"/>
          </w:tcPr>
          <w:p w14:paraId="184523E5" w14:textId="77777777" w:rsidR="00D0002F" w:rsidRPr="00C17C32" w:rsidRDefault="00D0002F" w:rsidP="00F01FFC">
            <w:pPr>
              <w:pStyle w:val="TableText"/>
              <w:cnfStyle w:val="000000100000" w:firstRow="0" w:lastRow="0" w:firstColumn="0" w:lastColumn="0" w:oddVBand="0" w:evenVBand="0" w:oddHBand="1" w:evenHBand="0" w:firstRowFirstColumn="0" w:firstRowLastColumn="0" w:lastRowFirstColumn="0" w:lastRowLastColumn="0"/>
            </w:pPr>
            <w:r w:rsidRPr="00C17C32">
              <w:t>n = 28 (incl. n = 6 overlaps retained for provenance)</w:t>
            </w:r>
          </w:p>
        </w:tc>
      </w:tr>
      <w:tr w:rsidR="00D0002F" w:rsidRPr="00ED411B" w14:paraId="0F2076B3" w14:textId="77777777" w:rsidTr="00F01F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14:paraId="2E3426CD" w14:textId="77777777" w:rsidR="00D0002F" w:rsidRPr="00C17C32" w:rsidRDefault="00D0002F" w:rsidP="00F01FFC">
            <w:pPr>
              <w:pStyle w:val="TableText"/>
            </w:pPr>
            <w:r w:rsidRPr="00C17C32">
              <w:lastRenderedPageBreak/>
              <w:t>Post-SR effectiveness analysis set</w:t>
            </w:r>
          </w:p>
        </w:tc>
        <w:tc>
          <w:tcPr>
            <w:tcW w:w="4811" w:type="dxa"/>
          </w:tcPr>
          <w:p w14:paraId="21C14929" w14:textId="77777777" w:rsidR="00D0002F" w:rsidRPr="00C17C32" w:rsidRDefault="00D0002F" w:rsidP="00F01FFC">
            <w:pPr>
              <w:pStyle w:val="TableText"/>
              <w:cnfStyle w:val="000000010000" w:firstRow="0" w:lastRow="0" w:firstColumn="0" w:lastColumn="0" w:oddVBand="0" w:evenVBand="0" w:oddHBand="0" w:evenHBand="1" w:firstRowFirstColumn="0" w:firstRowLastColumn="0" w:lastRowFirstColumn="0" w:lastRowLastColumn="0"/>
            </w:pPr>
            <w:r w:rsidRPr="00C17C32">
              <w:t>n = 11 (AERO ≥3; quant/mixed; non-overlapping)</w:t>
            </w:r>
          </w:p>
        </w:tc>
      </w:tr>
      <w:tr w:rsidR="00D0002F" w:rsidRPr="00ED411B" w14:paraId="2ED02B11" w14:textId="77777777" w:rsidTr="00F01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Borders>
              <w:bottom w:val="single" w:sz="4" w:space="0" w:color="C0C0C0" w:themeColor="accent5"/>
            </w:tcBorders>
          </w:tcPr>
          <w:p w14:paraId="6B766B78" w14:textId="77777777" w:rsidR="00D0002F" w:rsidRPr="00C17C32" w:rsidRDefault="00D0002F" w:rsidP="00F01FFC">
            <w:pPr>
              <w:pStyle w:val="TableText"/>
            </w:pPr>
            <w:r w:rsidRPr="00C17C32">
              <w:t>Lived experience/stakeholder perspectives stream</w:t>
            </w:r>
          </w:p>
        </w:tc>
        <w:tc>
          <w:tcPr>
            <w:tcW w:w="4811" w:type="dxa"/>
            <w:tcBorders>
              <w:bottom w:val="single" w:sz="4" w:space="0" w:color="C0C0C0" w:themeColor="accent5"/>
            </w:tcBorders>
          </w:tcPr>
          <w:p w14:paraId="3905CE82" w14:textId="77777777" w:rsidR="00D0002F" w:rsidRPr="00C17C32" w:rsidRDefault="00D0002F" w:rsidP="00F01FFC">
            <w:pPr>
              <w:pStyle w:val="TableText"/>
              <w:cnfStyle w:val="000000100000" w:firstRow="0" w:lastRow="0" w:firstColumn="0" w:lastColumn="0" w:oddVBand="0" w:evenVBand="0" w:oddHBand="1" w:evenHBand="0" w:firstRowFirstColumn="0" w:firstRowLastColumn="0" w:lastRowFirstColumn="0" w:lastRowLastColumn="0"/>
            </w:pPr>
            <w:r w:rsidRPr="00C17C32">
              <w:t>n = 16 (synthesised separately)</w:t>
            </w:r>
          </w:p>
        </w:tc>
      </w:tr>
      <w:tr w:rsidR="00D0002F" w:rsidRPr="00ED411B" w14:paraId="2CE65AF0" w14:textId="77777777" w:rsidTr="00F01F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Borders>
              <w:bottom w:val="single" w:sz="4" w:space="0" w:color="C0C0C0" w:themeColor="accent5"/>
            </w:tcBorders>
          </w:tcPr>
          <w:p w14:paraId="0310FCDA" w14:textId="77777777" w:rsidR="00D0002F" w:rsidRPr="00C17C32" w:rsidRDefault="00D0002F" w:rsidP="00F01FFC">
            <w:pPr>
              <w:pStyle w:val="TableText"/>
            </w:pPr>
            <w:r w:rsidRPr="00C17C32">
              <w:t>Freeze date for counts in report</w:t>
            </w:r>
          </w:p>
        </w:tc>
        <w:tc>
          <w:tcPr>
            <w:tcW w:w="4811" w:type="dxa"/>
            <w:tcBorders>
              <w:bottom w:val="single" w:sz="4" w:space="0" w:color="C0C0C0" w:themeColor="accent5"/>
            </w:tcBorders>
          </w:tcPr>
          <w:p w14:paraId="3DC0EA39" w14:textId="77777777" w:rsidR="00D0002F" w:rsidRPr="00C17C32" w:rsidRDefault="00D0002F" w:rsidP="00F01FFC">
            <w:pPr>
              <w:pStyle w:val="TableText"/>
              <w:cnfStyle w:val="000000010000" w:firstRow="0" w:lastRow="0" w:firstColumn="0" w:lastColumn="0" w:oddVBand="0" w:evenVBand="0" w:oddHBand="0" w:evenHBand="1" w:firstRowFirstColumn="0" w:firstRowLastColumn="0" w:lastRowFirstColumn="0" w:lastRowLastColumn="0"/>
            </w:pPr>
            <w:r w:rsidRPr="00C17C32">
              <w:t>23 January 2026 (register v1.2)</w:t>
            </w:r>
          </w:p>
        </w:tc>
      </w:tr>
    </w:tbl>
    <w:p w14:paraId="1C3B6595" w14:textId="77777777" w:rsidR="00D0002F" w:rsidRDefault="00D0002F" w:rsidP="00D0002F">
      <w:r w:rsidRPr="00C17C32">
        <w:t xml:space="preserve">Given expected heterogeneity in interventions, contexts, and outcome measures, the primary approach was structured narrative synthesis organised by three interacting intervention families: </w:t>
      </w:r>
    </w:p>
    <w:p w14:paraId="2DB4C80B" w14:textId="77777777" w:rsidR="00D0002F" w:rsidRPr="00C17C32" w:rsidRDefault="00D0002F" w:rsidP="00F01FFC">
      <w:pPr>
        <w:pStyle w:val="ListBullet"/>
      </w:pPr>
      <w:r w:rsidRPr="00F01FFC">
        <w:t>jobseeker</w:t>
      </w:r>
      <w:r w:rsidRPr="00C17C32">
        <w:t>-facing supports (capability building)</w:t>
      </w:r>
      <w:r>
        <w:t>;</w:t>
      </w:r>
      <w:r w:rsidRPr="00C17C32">
        <w:t xml:space="preserve"> </w:t>
      </w:r>
    </w:p>
    <w:p w14:paraId="0B6B0958" w14:textId="77777777" w:rsidR="00D0002F" w:rsidRPr="00C17C32" w:rsidRDefault="00D0002F" w:rsidP="00F01FFC">
      <w:pPr>
        <w:pStyle w:val="ListBullet"/>
      </w:pPr>
      <w:r w:rsidRPr="00C17C32">
        <w:rPr>
          <w:b/>
          <w:bCs/>
        </w:rPr>
        <w:t>employer and workplace-facing supports</w:t>
      </w:r>
      <w:r w:rsidRPr="00C17C32">
        <w:t xml:space="preserve"> (demand shaping and workplace design); and </w:t>
      </w:r>
    </w:p>
    <w:p w14:paraId="2452230D" w14:textId="77777777" w:rsidR="00D0002F" w:rsidRPr="00C17C32" w:rsidRDefault="00D0002F" w:rsidP="00F01FFC">
      <w:pPr>
        <w:pStyle w:val="ListBullet"/>
      </w:pPr>
      <w:r w:rsidRPr="00C17C32">
        <w:rPr>
          <w:b/>
          <w:bCs/>
        </w:rPr>
        <w:t>bridging and continuity supports</w:t>
      </w:r>
      <w:r w:rsidRPr="00C17C32">
        <w:t xml:space="preserve"> (matching, on-the-job training, and retention supports).</w:t>
      </w:r>
    </w:p>
    <w:p w14:paraId="7E177865" w14:textId="77777777" w:rsidR="00D0002F" w:rsidRPr="00C17C32" w:rsidRDefault="00D0002F" w:rsidP="00D0002F">
      <w:r w:rsidRPr="00C17C32">
        <w:t>Where pooling was not appropriate, quantitative findings were summarised using direction and consistency of effects and evidence density. Qualitative evidence was synthesised thematically and integrated with quantitative findings using a convergence approach to align what works, for whom, and under what implementation conditions.</w:t>
      </w:r>
    </w:p>
    <w:p w14:paraId="6572B040" w14:textId="77777777" w:rsidR="00D0002F" w:rsidRPr="00C17C32" w:rsidRDefault="00D0002F" w:rsidP="00D0002F">
      <w:r w:rsidRPr="00C17C32">
        <w:t>Because interventions, contexts, and outcome measures were insufficiently homogeneous to support meta</w:t>
      </w:r>
      <w:r>
        <w:t>-</w:t>
      </w:r>
      <w:r w:rsidRPr="00C17C32">
        <w:t xml:space="preserve">analysis, quantitative findings were synthesised using structured narrative methods consistent with the Synthesis Without Meta-analysis (SWiM) reporting guideline </w:t>
      </w:r>
      <w:r w:rsidRPr="00C17C32">
        <w:fldChar w:fldCharType="begin"/>
      </w:r>
      <w:r w:rsidRPr="00C17C32">
        <w:instrText xml:space="preserve"> ADDIN EN.CITE &lt;EndNote&gt;&lt;Cite&gt;&lt;Author&gt;Campbell&lt;/Author&gt;&lt;Year&gt;2020&lt;/Year&gt;&lt;RecNum&gt;172&lt;/RecNum&gt;&lt;DisplayText&gt;(Campbell et al., 2020)&lt;/DisplayText&gt;&lt;record&gt;&lt;rec-number&gt;172&lt;/rec-number&gt;&lt;foreign-keys&gt;&lt;key app="EN" db-id="9r0xdszvkxpd0qee99svpwt7tdv9zzed5z2f" timestamp="1769675506"&gt;172&lt;/key&gt;&lt;/foreign-keys&gt;&lt;ref-type name="Journal Article"&gt;17&lt;/ref-type&gt;&lt;contributors&gt;&lt;authors&gt;&lt;author&gt;Campbell, Mhairi&lt;/author&gt;&lt;author&gt;McKenzie, Joanne E&lt;/author&gt;&lt;author&gt;Sowden, Amanda&lt;/author&gt;&lt;author&gt;Katikireddi, Srinivasa Vittal&lt;/author&gt;&lt;author&gt;Brennan, Sue E&lt;/author&gt;&lt;author&gt;Ellis, Simon&lt;/author&gt;&lt;author&gt;Hartmann-Boyce, Jamie&lt;/author&gt;&lt;author&gt;Ryan, Rebecca&lt;/author&gt;&lt;author&gt;Shepperd, Sasha&lt;/author&gt;&lt;author&gt;Thomas, James&lt;/author&gt;&lt;author&gt;Welch, Vivian&lt;/author&gt;&lt;author&gt;Thomson, Hilary&lt;/author&gt;&lt;/authors&gt;&lt;/contributors&gt;&lt;titles&gt;&lt;title&gt;Synthesis without meta-analysis (SWiM) in systematic reviews: reporting guideline&lt;/title&gt;&lt;secondary-title&gt;BMJ&lt;/secondary-title&gt;&lt;/titles&gt;&lt;periodical&gt;&lt;full-title&gt;BMJ&lt;/full-title&gt;&lt;/periodical&gt;&lt;pages&gt;l6890&lt;/pages&gt;&lt;volume&gt;368&lt;/volume&gt;&lt;dates&gt;&lt;year&gt;2020&lt;/year&gt;&lt;/dates&gt;&lt;urls&gt;&lt;related-urls&gt;&lt;url&gt;https://www.bmj.com/content/bmj/368/bmj.l6890.full.pdf&lt;/url&gt;&lt;/related-urls&gt;&lt;/urls&gt;&lt;electronic-resource-num&gt;10.1136/bmj.l6890&lt;/electronic-resource-num&gt;&lt;/record&gt;&lt;/Cite&gt;&lt;/EndNote&gt;</w:instrText>
      </w:r>
      <w:r w:rsidRPr="00C17C32">
        <w:fldChar w:fldCharType="separate"/>
      </w:r>
      <w:r w:rsidRPr="00C17C32">
        <w:t>(Campbell et al., 2020)</w:t>
      </w:r>
      <w:r w:rsidRPr="00C17C32">
        <w:fldChar w:fldCharType="end"/>
      </w:r>
      <w:r w:rsidRPr="00C17C32">
        <w:t>. Studies were grouped a priori by intervention themes and primary outcome domain (attainment; tenure/durability; job quality, including earnings/hours), and findings were summarised using transparent rules for direction and consistency of effects and evidence density. We report the grouping strategy, synthesis approach, handling of heterogeneous outcome data, and limitations of the synthesis to support appraisal and reproducibility in the absence of pooled effect estimates.</w:t>
      </w:r>
    </w:p>
    <w:p w14:paraId="7BE0874D" w14:textId="779BBC7E" w:rsidR="00D0002F" w:rsidRPr="00ED411B" w:rsidRDefault="00D0002F" w:rsidP="00807628">
      <w:pPr>
        <w:pStyle w:val="Numberedheading2"/>
      </w:pPr>
      <w:bookmarkStart w:id="41" w:name="_Toc231220055"/>
      <w:r w:rsidRPr="00ED411B">
        <w:t xml:space="preserve">Critical </w:t>
      </w:r>
      <w:r>
        <w:t>a</w:t>
      </w:r>
      <w:r w:rsidRPr="00ED411B">
        <w:t xml:space="preserve">ppraisal and </w:t>
      </w:r>
      <w:r>
        <w:t>c</w:t>
      </w:r>
      <w:r w:rsidRPr="00ED411B">
        <w:t xml:space="preserve">ertainty </w:t>
      </w:r>
      <w:r>
        <w:t>a</w:t>
      </w:r>
      <w:r w:rsidRPr="00ED411B">
        <w:t>ssessment</w:t>
      </w:r>
      <w:bookmarkEnd w:id="41"/>
    </w:p>
    <w:p w14:paraId="6FB37F12" w14:textId="77777777" w:rsidR="00D0002F" w:rsidRPr="00C17C32" w:rsidRDefault="00D0002F" w:rsidP="00D0002F">
      <w:r w:rsidRPr="00C17C32">
        <w:t>Risk of bias and methodological quality were assessed using design-appropriate critical appraisal tools. Practice-level certainty and confidence were summarised using GRADE for quantitative outcomes (where feasible), GRADE</w:t>
      </w:r>
      <w:r>
        <w:t>-</w:t>
      </w:r>
      <w:r w:rsidRPr="00C17C32">
        <w:t xml:space="preserve">CERQual for qualitative findings (where synthesised as themes), and the AERO Standards of Evidence </w:t>
      </w:r>
      <w:r w:rsidRPr="00C17C32">
        <w:fldChar w:fldCharType="begin"/>
      </w:r>
      <w:r w:rsidRPr="00C17C32">
        <w:instrText xml:space="preserve"> ADDIN EN.CITE &lt;EndNote&gt;&lt;Cite&gt;&lt;Author&gt;Australian Education Research Organisation&lt;/Author&gt;&lt;Year&gt;2022&lt;/Year&gt;&lt;RecNum&gt;169&lt;/RecNum&gt;&lt;DisplayText&gt;(Australian Education Research Organisation, 2022)&lt;/DisplayText&gt;&lt;record&gt;&lt;rec-number&gt;169&lt;/rec-number&gt;&lt;foreign-keys&gt;&lt;key app="EN" db-id="9r0xdszvkxpd0qee99svpwt7tdv9zzed5z2f" timestamp="1769675506"&gt;169&lt;/key&gt;&lt;/foreign-keys&gt;&lt;ref-type name="Electronic Article"&gt;43&lt;/ref-type&gt;&lt;contributors&gt;&lt;authors&gt;&lt;author&gt;Australian Education Research Organisation,&lt;/author&gt;&lt;/authors&gt;&lt;/contributors&gt;&lt;titles&gt;&lt;title&gt;Standards of Evidence&lt;/title&gt;&lt;/titles&gt;&lt;dates&gt;&lt;year&gt;2022&lt;/year&gt;&lt;pub-dates&gt;&lt;date&gt;1 August 2025&lt;/date&gt;&lt;/pub-dates&gt;&lt;/dates&gt;&lt;urls&gt;&lt;related-urls&gt;&lt;url&gt;https://www.edresearch.edu.au/sites/default/files/2021-02/AERO-Standards-of-evidence.pdf?utm_source=chatgpt.com&lt;/url&gt;&lt;/related-urls&gt;&lt;/urls&gt;&lt;/record&gt;&lt;/Cite&gt;&lt;/EndNote&gt;</w:instrText>
      </w:r>
      <w:r w:rsidRPr="00C17C32">
        <w:fldChar w:fldCharType="separate"/>
      </w:r>
      <w:r w:rsidRPr="00C17C32">
        <w:t>(Australian Education Research Organisation, 2022)</w:t>
      </w:r>
      <w:r w:rsidRPr="00C17C32">
        <w:fldChar w:fldCharType="end"/>
      </w:r>
      <w:r w:rsidRPr="00C17C32">
        <w:t xml:space="preserve"> as an </w:t>
      </w:r>
      <w:r w:rsidRPr="00C17C32">
        <w:lastRenderedPageBreak/>
        <w:t xml:space="preserve">overarching rigour by relevance classification to support practice translation (including for grey literature (e.g., government and NGO reports, programme evaluations)). Appraisal tools and certainty reporting rules are provided in </w:t>
      </w:r>
      <w:r w:rsidRPr="00C17C32">
        <w:rPr>
          <w:b/>
          <w:bCs/>
        </w:rPr>
        <w:t>Appendix G</w:t>
      </w:r>
      <w:r w:rsidRPr="00C17C32">
        <w:t>.</w:t>
      </w:r>
    </w:p>
    <w:p w14:paraId="541EB72B" w14:textId="77777777" w:rsidR="00D0002F" w:rsidRPr="00C17C32" w:rsidRDefault="00D0002F" w:rsidP="00D0002F">
      <w:r w:rsidRPr="00C17C32">
        <w:t>Inclusion and use of theses (including AERO Level 1 and 2)</w:t>
      </w:r>
    </w:p>
    <w:p w14:paraId="3965E089" w14:textId="77777777" w:rsidR="00D0002F" w:rsidRPr="00C17C32" w:rsidRDefault="00D0002F" w:rsidP="00D0002F">
      <w:r w:rsidRPr="00C17C32">
        <w:t>Theses and dissertations were excluded as primary evidence sources but were used for citation</w:t>
      </w:r>
      <w:r>
        <w:t>-</w:t>
      </w:r>
      <w:r w:rsidRPr="00C17C32">
        <w:t>chasing and contextual understanding.</w:t>
      </w:r>
    </w:p>
    <w:p w14:paraId="1463C189" w14:textId="6FF41E64" w:rsidR="00D0002F" w:rsidRPr="00ED411B" w:rsidRDefault="00D0002F" w:rsidP="00807628">
      <w:pPr>
        <w:pStyle w:val="Numberedheading2"/>
      </w:pPr>
      <w:bookmarkStart w:id="42" w:name="_Toc231220056"/>
      <w:r w:rsidRPr="00ED411B">
        <w:t xml:space="preserve">Transferability and </w:t>
      </w:r>
      <w:r>
        <w:t>a</w:t>
      </w:r>
      <w:r w:rsidRPr="00ED411B">
        <w:t>ccessibility</w:t>
      </w:r>
      <w:bookmarkEnd w:id="42"/>
    </w:p>
    <w:p w14:paraId="52046F79" w14:textId="77777777" w:rsidR="00D0002F" w:rsidRPr="00C17C32" w:rsidRDefault="00D0002F" w:rsidP="00D0002F">
      <w:r w:rsidRPr="00C17C32">
        <w:t xml:space="preserve">Transferability to the Australian context was assessed using an explicit rubric (see </w:t>
      </w:r>
      <w:r w:rsidRPr="00C17C32">
        <w:rPr>
          <w:b/>
          <w:bCs/>
        </w:rPr>
        <w:t>Appendix H</w:t>
      </w:r>
      <w:r w:rsidRPr="00C17C32">
        <w:t xml:space="preserve">) and a </w:t>
      </w:r>
      <w:r w:rsidRPr="00C17C32">
        <w:rPr>
          <w:b/>
          <w:bCs/>
        </w:rPr>
        <w:t>two-stage approach</w:t>
      </w:r>
      <w:r w:rsidRPr="00C17C32">
        <w:t>: (i) a priori criteria were applied to identify evidence likely to be implementable within the Australian service ecosystem, and (ii) case-by-case judgement with explicit rationale was applied for borderline cases, focusing on contextual enablers and constraints.</w:t>
      </w:r>
    </w:p>
    <w:p w14:paraId="0F355279" w14:textId="77777777" w:rsidR="00D0002F" w:rsidRPr="00C17C32" w:rsidRDefault="00D0002F" w:rsidP="00D0002F">
      <w:r w:rsidRPr="00C17C32">
        <w:t>Lived experience perspectives and accessibility commitments</w:t>
      </w:r>
    </w:p>
    <w:p w14:paraId="0BA99373" w14:textId="77777777" w:rsidR="00D0002F" w:rsidRPr="00C17C32" w:rsidRDefault="00D0002F" w:rsidP="00D0002F">
      <w:r w:rsidRPr="00C17C32">
        <w:t>Web-based materials authored by people with disability and Disabled People’s Organisations were reviewed to capture lived experience perspectives relevant to practice design and delivery. Outputs were designed to support translation, including plain-language summaries and practice-facing artefacts (for example, checklists), with accessibility considerations documented (for example, plain language and Easy Read where feasible).</w:t>
      </w:r>
    </w:p>
    <w:p w14:paraId="038A4BB1" w14:textId="6A83F851" w:rsidR="00D0002F" w:rsidRPr="00ED411B" w:rsidRDefault="00D0002F" w:rsidP="00807628">
      <w:pPr>
        <w:pStyle w:val="Numberedheading2"/>
      </w:pPr>
      <w:bookmarkStart w:id="43" w:name="_Toc231220057"/>
      <w:r w:rsidRPr="00ED411B">
        <w:t>Limitations</w:t>
      </w:r>
      <w:bookmarkEnd w:id="43"/>
    </w:p>
    <w:p w14:paraId="6B867F85" w14:textId="77777777" w:rsidR="00D0002F" w:rsidRPr="00C17C32" w:rsidRDefault="00D0002F" w:rsidP="00D0002F">
      <w:r w:rsidRPr="00C17C32">
        <w:t>Key limitations include the English-only search, the 2015+ publication window, and heterogeneity in interventions and outcomes. These were mitigated through structured synthesis methods, inclusion of legacy evidence via systematic reviews, and transparent reporting of scope boundaries.</w:t>
      </w:r>
    </w:p>
    <w:p w14:paraId="21D6F054" w14:textId="77777777" w:rsidR="00D0002F" w:rsidRDefault="00D0002F" w:rsidP="00D0002F">
      <w:r>
        <w:br w:type="page"/>
      </w:r>
    </w:p>
    <w:p w14:paraId="4DCE8647" w14:textId="1E961B91" w:rsidR="00D0002F" w:rsidRPr="00ED411B" w:rsidRDefault="00D0002F" w:rsidP="0068699F">
      <w:pPr>
        <w:pStyle w:val="Numberedheading1"/>
      </w:pPr>
      <w:bookmarkStart w:id="44" w:name="_Toc231220058"/>
      <w:r w:rsidRPr="00ED411B">
        <w:lastRenderedPageBreak/>
        <w:t xml:space="preserve">Effectiveness </w:t>
      </w:r>
      <w:r>
        <w:t>f</w:t>
      </w:r>
      <w:r w:rsidRPr="00ED411B">
        <w:t xml:space="preserve">indings by </w:t>
      </w:r>
      <w:r>
        <w:t>i</w:t>
      </w:r>
      <w:r w:rsidRPr="00ED411B">
        <w:t xml:space="preserve">ntervention </w:t>
      </w:r>
      <w:r>
        <w:t>t</w:t>
      </w:r>
      <w:r w:rsidRPr="00ED411B">
        <w:t>hemes</w:t>
      </w:r>
      <w:bookmarkEnd w:id="44"/>
    </w:p>
    <w:p w14:paraId="070241BD" w14:textId="15412DC2" w:rsidR="00D0002F" w:rsidRPr="00ED411B" w:rsidRDefault="00D0002F" w:rsidP="00807628">
      <w:pPr>
        <w:pStyle w:val="Numberedheading2"/>
      </w:pPr>
      <w:bookmarkStart w:id="45" w:name="_Toc231220059"/>
      <w:r w:rsidRPr="00ED411B">
        <w:t xml:space="preserve">Evidence </w:t>
      </w:r>
      <w:r w:rsidR="00E44A87" w:rsidRPr="00ED411B">
        <w:t>base overview</w:t>
      </w:r>
      <w:bookmarkEnd w:id="45"/>
    </w:p>
    <w:p w14:paraId="7CA0B15E" w14:textId="77777777" w:rsidR="00D0002F" w:rsidRPr="00554180" w:rsidRDefault="00D0002F" w:rsidP="00D0002F">
      <w:r w:rsidRPr="00554180">
        <w:t>This synthesis reports effectiveness evidence using a two-stream approach: (i) systematic reviews (SRs) synthesised at the SR level to avoid double counting; and (ii) an incremental Post-SR primary study set (AERO 3</w:t>
      </w:r>
      <w:r>
        <w:t>-</w:t>
      </w:r>
      <w:r w:rsidRPr="00554180">
        <w:t>4) to update the evidence base with newer or non-SR-captured studies. Table 5.1 summarises the evidence streams and their role in the synthesis.</w:t>
      </w:r>
    </w:p>
    <w:p w14:paraId="3BC16ED1" w14:textId="77777777" w:rsidR="00D0002F" w:rsidRPr="006E5499" w:rsidRDefault="00D0002F" w:rsidP="000A0AF1">
      <w:pPr>
        <w:pStyle w:val="TableCaption"/>
      </w:pPr>
      <w:r w:rsidRPr="006E5499">
        <w:t>Table 5.1. Evidence Streams and Analysis Sets Used in This Synthesis</w:t>
      </w:r>
    </w:p>
    <w:tbl>
      <w:tblPr>
        <w:tblStyle w:val="CIETable"/>
        <w:tblW w:w="10100" w:type="dxa"/>
        <w:tblLayout w:type="fixed"/>
        <w:tblLook w:val="04A0" w:firstRow="1" w:lastRow="0" w:firstColumn="1" w:lastColumn="0" w:noHBand="0" w:noVBand="1"/>
      </w:tblPr>
      <w:tblGrid>
        <w:gridCol w:w="1793"/>
        <w:gridCol w:w="2313"/>
        <w:gridCol w:w="851"/>
        <w:gridCol w:w="2793"/>
        <w:gridCol w:w="2350"/>
      </w:tblGrid>
      <w:tr w:rsidR="00D0002F" w:rsidRPr="006E5499" w14:paraId="0797B3AC" w14:textId="77777777" w:rsidTr="000A0A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93" w:type="dxa"/>
          </w:tcPr>
          <w:p w14:paraId="06C51196" w14:textId="77777777" w:rsidR="00D0002F" w:rsidRPr="006E5499" w:rsidRDefault="00D0002F" w:rsidP="000A0AF1">
            <w:pPr>
              <w:pStyle w:val="TableHeading"/>
            </w:pPr>
            <w:r w:rsidRPr="006E5499">
              <w:t>Evidence stream / set</w:t>
            </w:r>
          </w:p>
        </w:tc>
        <w:tc>
          <w:tcPr>
            <w:tcW w:w="2313" w:type="dxa"/>
          </w:tcPr>
          <w:p w14:paraId="514049CF" w14:textId="77777777" w:rsidR="00D0002F" w:rsidRPr="006E5499" w:rsidRDefault="00D0002F" w:rsidP="000A0AF1">
            <w:pPr>
              <w:pStyle w:val="TableHeading"/>
              <w:cnfStyle w:val="100000000000" w:firstRow="1" w:lastRow="0" w:firstColumn="0" w:lastColumn="0" w:oddVBand="0" w:evenVBand="0" w:oddHBand="0" w:evenHBand="0" w:firstRowFirstColumn="0" w:firstRowLastColumn="0" w:lastRowFirstColumn="0" w:lastRowLastColumn="0"/>
            </w:pPr>
            <w:r w:rsidRPr="006E5499">
              <w:t>Register source</w:t>
            </w:r>
          </w:p>
        </w:tc>
        <w:tc>
          <w:tcPr>
            <w:tcW w:w="851" w:type="dxa"/>
          </w:tcPr>
          <w:p w14:paraId="2A5C6B62" w14:textId="77777777" w:rsidR="00D0002F" w:rsidRPr="006E5499" w:rsidRDefault="00D0002F" w:rsidP="000A0AF1">
            <w:pPr>
              <w:pStyle w:val="TableHeading"/>
              <w:cnfStyle w:val="100000000000" w:firstRow="1" w:lastRow="0" w:firstColumn="0" w:lastColumn="0" w:oddVBand="0" w:evenVBand="0" w:oddHBand="0" w:evenHBand="0" w:firstRowFirstColumn="0" w:firstRowLastColumn="0" w:lastRowFirstColumn="0" w:lastRowLastColumn="0"/>
            </w:pPr>
            <w:r w:rsidRPr="006E5499">
              <w:t>n</w:t>
            </w:r>
          </w:p>
        </w:tc>
        <w:tc>
          <w:tcPr>
            <w:tcW w:w="2793" w:type="dxa"/>
          </w:tcPr>
          <w:p w14:paraId="369058A2" w14:textId="77777777" w:rsidR="00D0002F" w:rsidRPr="006E5499" w:rsidRDefault="00D0002F" w:rsidP="000A0AF1">
            <w:pPr>
              <w:pStyle w:val="TableHeading"/>
              <w:cnfStyle w:val="100000000000" w:firstRow="1" w:lastRow="0" w:firstColumn="0" w:lastColumn="0" w:oddVBand="0" w:evenVBand="0" w:oddHBand="0" w:evenHBand="0" w:firstRowFirstColumn="0" w:firstRowLastColumn="0" w:lastRowFirstColumn="0" w:lastRowLastColumn="0"/>
            </w:pPr>
            <w:r w:rsidRPr="006E5499">
              <w:t>Role in synthesis</w:t>
            </w:r>
          </w:p>
        </w:tc>
        <w:tc>
          <w:tcPr>
            <w:tcW w:w="2350" w:type="dxa"/>
          </w:tcPr>
          <w:p w14:paraId="5AA50402" w14:textId="77777777" w:rsidR="00D0002F" w:rsidRPr="006E5499" w:rsidRDefault="00D0002F" w:rsidP="000A0AF1">
            <w:pPr>
              <w:pStyle w:val="TableHeading"/>
              <w:cnfStyle w:val="100000000000" w:firstRow="1" w:lastRow="0" w:firstColumn="0" w:lastColumn="0" w:oddVBand="0" w:evenVBand="0" w:oddHBand="0" w:evenHBand="0" w:firstRowFirstColumn="0" w:firstRowLastColumn="0" w:lastRowFirstColumn="0" w:lastRowLastColumn="0"/>
            </w:pPr>
            <w:r w:rsidRPr="006E5499">
              <w:t>Overlap rule (double</w:t>
            </w:r>
            <w:r>
              <w:t>-</w:t>
            </w:r>
            <w:r w:rsidRPr="006E5499">
              <w:t>counting control)</w:t>
            </w:r>
          </w:p>
        </w:tc>
      </w:tr>
      <w:tr w:rsidR="00D0002F" w:rsidRPr="006E5499" w14:paraId="00B36427" w14:textId="77777777" w:rsidTr="000A0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dxa"/>
          </w:tcPr>
          <w:p w14:paraId="61D47306" w14:textId="77777777" w:rsidR="00D0002F" w:rsidRPr="006E5499" w:rsidRDefault="00D0002F" w:rsidP="000A0AF1">
            <w:pPr>
              <w:pStyle w:val="TableText"/>
            </w:pPr>
            <w:r w:rsidRPr="006E5499">
              <w:t>Systematic reviews (SR</w:t>
            </w:r>
            <w:r>
              <w:t>-</w:t>
            </w:r>
            <w:r w:rsidRPr="006E5499">
              <w:t>level synthesis)</w:t>
            </w:r>
          </w:p>
        </w:tc>
        <w:tc>
          <w:tcPr>
            <w:tcW w:w="2313" w:type="dxa"/>
          </w:tcPr>
          <w:p w14:paraId="2E4D8718"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Sheet A: Systematic review extraction</w:t>
            </w:r>
          </w:p>
        </w:tc>
        <w:tc>
          <w:tcPr>
            <w:tcW w:w="851" w:type="dxa"/>
          </w:tcPr>
          <w:p w14:paraId="6F447C5B"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8</w:t>
            </w:r>
          </w:p>
        </w:tc>
        <w:tc>
          <w:tcPr>
            <w:tcW w:w="2793" w:type="dxa"/>
          </w:tcPr>
          <w:p w14:paraId="3163AAB1"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Primary source for effectiveness conclusions; narrative synthesis; certainty signalled in tables.</w:t>
            </w:r>
          </w:p>
        </w:tc>
        <w:tc>
          <w:tcPr>
            <w:tcW w:w="2350" w:type="dxa"/>
          </w:tcPr>
          <w:p w14:paraId="579816E6"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Not applicable (SR</w:t>
            </w:r>
            <w:r>
              <w:t>-</w:t>
            </w:r>
            <w:r w:rsidRPr="006E5499">
              <w:t>level synthesis is the base layer).</w:t>
            </w:r>
          </w:p>
        </w:tc>
      </w:tr>
      <w:tr w:rsidR="00D0002F" w:rsidRPr="006E5499" w14:paraId="52AD031E" w14:textId="77777777" w:rsidTr="000A0A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dxa"/>
          </w:tcPr>
          <w:p w14:paraId="7D15E389" w14:textId="77777777" w:rsidR="00D0002F" w:rsidRPr="006E5499" w:rsidRDefault="00D0002F" w:rsidP="000A0AF1">
            <w:pPr>
              <w:pStyle w:val="TableText"/>
            </w:pPr>
            <w:r w:rsidRPr="006E5499">
              <w:t>Within</w:t>
            </w:r>
            <w:r>
              <w:t>-</w:t>
            </w:r>
            <w:r w:rsidRPr="006E5499">
              <w:t>SR primary study inventory</w:t>
            </w:r>
          </w:p>
        </w:tc>
        <w:tc>
          <w:tcPr>
            <w:tcW w:w="2313" w:type="dxa"/>
          </w:tcPr>
          <w:p w14:paraId="4BC707E4"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Sheet B: Primary Study Within</w:t>
            </w:r>
            <w:r>
              <w:t>-</w:t>
            </w:r>
            <w:r w:rsidRPr="006E5499">
              <w:t>SR</w:t>
            </w:r>
          </w:p>
        </w:tc>
        <w:tc>
          <w:tcPr>
            <w:tcW w:w="851" w:type="dxa"/>
          </w:tcPr>
          <w:p w14:paraId="2D868448"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100</w:t>
            </w:r>
          </w:p>
        </w:tc>
        <w:tc>
          <w:tcPr>
            <w:tcW w:w="2793" w:type="dxa"/>
          </w:tcPr>
          <w:p w14:paraId="1C8D7874"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Mapped to domains and intervention families; used to inform implementation and lived</w:t>
            </w:r>
            <w:r w:rsidRPr="006E5499">
              <w:rPr>
                <w:rFonts w:ascii="Cambria Math" w:hAnsi="Cambria Math" w:cs="Cambria Math"/>
              </w:rPr>
              <w:t>‑</w:t>
            </w:r>
            <w:r w:rsidRPr="006E5499">
              <w:t>experience interpretation; not re</w:t>
            </w:r>
            <w:r w:rsidRPr="006E5499">
              <w:rPr>
                <w:rFonts w:ascii="Cambria Math" w:hAnsi="Cambria Math" w:cs="Cambria Math"/>
              </w:rPr>
              <w:t>‑</w:t>
            </w:r>
            <w:r w:rsidRPr="006E5499">
              <w:t>synthesised quantitatively.</w:t>
            </w:r>
          </w:p>
        </w:tc>
        <w:tc>
          <w:tcPr>
            <w:tcW w:w="2350" w:type="dxa"/>
          </w:tcPr>
          <w:p w14:paraId="7A52B9C0"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Primary studies within SRs are not counted again as Post</w:t>
            </w:r>
            <w:r>
              <w:t>-</w:t>
            </w:r>
            <w:r w:rsidRPr="006E5499">
              <w:t>SR effectiveness evidence.</w:t>
            </w:r>
          </w:p>
        </w:tc>
      </w:tr>
      <w:tr w:rsidR="00D0002F" w:rsidRPr="006E5499" w14:paraId="03379AEA" w14:textId="77777777" w:rsidTr="000A0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dxa"/>
          </w:tcPr>
          <w:p w14:paraId="525D8637" w14:textId="77777777" w:rsidR="00D0002F" w:rsidRPr="006E5499" w:rsidRDefault="00D0002F" w:rsidP="000A0AF1">
            <w:pPr>
              <w:pStyle w:val="TableText"/>
            </w:pPr>
            <w:r w:rsidRPr="006E5499">
              <w:t>Post</w:t>
            </w:r>
            <w:r>
              <w:t>-</w:t>
            </w:r>
            <w:r w:rsidRPr="006E5499">
              <w:t>SR primary studies (full set)</w:t>
            </w:r>
          </w:p>
        </w:tc>
        <w:tc>
          <w:tcPr>
            <w:tcW w:w="2313" w:type="dxa"/>
          </w:tcPr>
          <w:p w14:paraId="68F2D088"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Sheet C: Primary Study Post</w:t>
            </w:r>
            <w:r>
              <w:t>-</w:t>
            </w:r>
            <w:r w:rsidRPr="006E5499">
              <w:t>SR</w:t>
            </w:r>
          </w:p>
        </w:tc>
        <w:tc>
          <w:tcPr>
            <w:tcW w:w="851" w:type="dxa"/>
          </w:tcPr>
          <w:p w14:paraId="4636E878"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28</w:t>
            </w:r>
          </w:p>
        </w:tc>
        <w:tc>
          <w:tcPr>
            <w:tcW w:w="2793" w:type="dxa"/>
          </w:tcPr>
          <w:p w14:paraId="43810F1F"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Evidence identified outside included SRs (e.g., not covered by SRs, or published after SR search end dates); includes qualitative and quantitative studies.</w:t>
            </w:r>
          </w:p>
        </w:tc>
        <w:tc>
          <w:tcPr>
            <w:tcW w:w="2350" w:type="dxa"/>
          </w:tcPr>
          <w:p w14:paraId="492DF5B2"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6 overlapping studies are treated as Within</w:t>
            </w:r>
            <w:r>
              <w:t>-</w:t>
            </w:r>
            <w:r w:rsidRPr="006E5499">
              <w:t>SR for effectiveness but may contribute qualitative insights.</w:t>
            </w:r>
          </w:p>
        </w:tc>
      </w:tr>
      <w:tr w:rsidR="00D0002F" w:rsidRPr="006E5499" w14:paraId="76767C0D" w14:textId="77777777" w:rsidTr="000A0A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dxa"/>
          </w:tcPr>
          <w:p w14:paraId="073EB00B" w14:textId="77777777" w:rsidR="00D0002F" w:rsidRPr="006E5499" w:rsidRDefault="00D0002F" w:rsidP="000A0AF1">
            <w:pPr>
              <w:pStyle w:val="TableText"/>
            </w:pPr>
            <w:r w:rsidRPr="006E5499">
              <w:t>Post</w:t>
            </w:r>
            <w:r>
              <w:t>-</w:t>
            </w:r>
            <w:r w:rsidRPr="006E5499">
              <w:t>SR incremental effectiveness analysis set</w:t>
            </w:r>
          </w:p>
        </w:tc>
        <w:tc>
          <w:tcPr>
            <w:tcW w:w="2313" w:type="dxa"/>
          </w:tcPr>
          <w:p w14:paraId="0AF44FD9"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C_PostSR_Effectiveness_Set view; Sheet C (flag PostSR_effectiveness_set = Yes)</w:t>
            </w:r>
          </w:p>
        </w:tc>
        <w:tc>
          <w:tcPr>
            <w:tcW w:w="851" w:type="dxa"/>
          </w:tcPr>
          <w:p w14:paraId="59A7E4A1"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11</w:t>
            </w:r>
          </w:p>
        </w:tc>
        <w:tc>
          <w:tcPr>
            <w:tcW w:w="2793" w:type="dxa"/>
          </w:tcPr>
          <w:p w14:paraId="18FAD6E6"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Incremental quantitative/mixed evidence (AERO 3</w:t>
            </w:r>
            <w:r>
              <w:t>-</w:t>
            </w:r>
            <w:r w:rsidRPr="006E5499">
              <w:t>4) summarised using SWiM</w:t>
            </w:r>
            <w:r>
              <w:t>-</w:t>
            </w:r>
            <w:r w:rsidRPr="006E5499">
              <w:t>style structured narrative to update SR findings.</w:t>
            </w:r>
          </w:p>
        </w:tc>
        <w:tc>
          <w:tcPr>
            <w:tcW w:w="2350" w:type="dxa"/>
          </w:tcPr>
          <w:p w14:paraId="6A130367"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Restricted to Post</w:t>
            </w:r>
            <w:r>
              <w:t>-</w:t>
            </w:r>
            <w:r w:rsidRPr="006E5499">
              <w:t>SR unique studies meeting AERO 3</w:t>
            </w:r>
            <w:r>
              <w:t>-</w:t>
            </w:r>
            <w:r w:rsidRPr="006E5499">
              <w:t>4; excludes overlaps and qualitative</w:t>
            </w:r>
            <w:r>
              <w:t>-</w:t>
            </w:r>
            <w:r w:rsidRPr="006E5499">
              <w:t>only studies.</w:t>
            </w:r>
          </w:p>
        </w:tc>
      </w:tr>
      <w:tr w:rsidR="00D0002F" w:rsidRPr="006E5499" w14:paraId="6B955F5C" w14:textId="77777777" w:rsidTr="000A0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3" w:type="dxa"/>
          </w:tcPr>
          <w:p w14:paraId="3A8205AB" w14:textId="77777777" w:rsidR="00D0002F" w:rsidRPr="006E5499" w:rsidRDefault="00D0002F" w:rsidP="000A0AF1">
            <w:pPr>
              <w:pStyle w:val="TableText"/>
            </w:pPr>
            <w:r w:rsidRPr="006E5499">
              <w:t xml:space="preserve">Lived experience and stakeholder </w:t>
            </w:r>
            <w:r w:rsidRPr="006E5499">
              <w:lastRenderedPageBreak/>
              <w:t>perspectives set</w:t>
            </w:r>
          </w:p>
        </w:tc>
        <w:tc>
          <w:tcPr>
            <w:tcW w:w="2313" w:type="dxa"/>
          </w:tcPr>
          <w:p w14:paraId="29205035"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lastRenderedPageBreak/>
              <w:t xml:space="preserve">Subset of Sheet C (plus any overlapping qualitative studies) </w:t>
            </w:r>
            <w:r w:rsidRPr="006E5499">
              <w:lastRenderedPageBreak/>
              <w:t>coded to JOBQUAL/IMPL perspectives</w:t>
            </w:r>
          </w:p>
        </w:tc>
        <w:tc>
          <w:tcPr>
            <w:tcW w:w="851" w:type="dxa"/>
          </w:tcPr>
          <w:p w14:paraId="57B1C7FC"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lastRenderedPageBreak/>
              <w:t>17</w:t>
            </w:r>
          </w:p>
        </w:tc>
        <w:tc>
          <w:tcPr>
            <w:tcW w:w="2793" w:type="dxa"/>
          </w:tcPr>
          <w:p w14:paraId="5A51FA5E"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 xml:space="preserve">Synthesised thematically to clarify acceptability, mechanisms, and implementation; reported </w:t>
            </w:r>
            <w:r w:rsidRPr="006E5499">
              <w:lastRenderedPageBreak/>
              <w:t>separately from effectiveness matrices.</w:t>
            </w:r>
          </w:p>
        </w:tc>
        <w:tc>
          <w:tcPr>
            <w:tcW w:w="2350" w:type="dxa"/>
          </w:tcPr>
          <w:p w14:paraId="15FED09A"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lastRenderedPageBreak/>
              <w:t xml:space="preserve">May include overlaps; overlaps are retained here for qualitative insight without </w:t>
            </w:r>
            <w:r w:rsidRPr="006E5499">
              <w:lastRenderedPageBreak/>
              <w:t>inflating effectiveness counts.</w:t>
            </w:r>
          </w:p>
        </w:tc>
      </w:tr>
    </w:tbl>
    <w:p w14:paraId="5C784E32" w14:textId="62CFC16B" w:rsidR="00D0002F" w:rsidRPr="006E5499" w:rsidRDefault="00D0002F" w:rsidP="00807628">
      <w:pPr>
        <w:pStyle w:val="Numberedheading2"/>
      </w:pPr>
      <w:bookmarkStart w:id="46" w:name="_Toc231220060"/>
      <w:r w:rsidRPr="006E5499">
        <w:lastRenderedPageBreak/>
        <w:t xml:space="preserve">Summary of </w:t>
      </w:r>
      <w:r>
        <w:t>e</w:t>
      </w:r>
      <w:r w:rsidRPr="006E5499">
        <w:t xml:space="preserve">ffectiveness </w:t>
      </w:r>
      <w:r>
        <w:t>e</w:t>
      </w:r>
      <w:r w:rsidRPr="006E5499">
        <w:t>vidence</w:t>
      </w:r>
      <w:bookmarkEnd w:id="46"/>
    </w:p>
    <w:p w14:paraId="0E5CC516" w14:textId="77777777" w:rsidR="00D0002F" w:rsidRPr="006E5499" w:rsidRDefault="00D0002F" w:rsidP="00D0002F">
      <w:r w:rsidRPr="006E5499">
        <w:t>Effectiveness findings are organised by intervention themes and mapped to the primary outcome hierarchy: attainment, durability/tenure, and job quality. Table 5.2 summarises the direction and consistency of effects across SRs and Post-SR studies.</w:t>
      </w:r>
    </w:p>
    <w:p w14:paraId="18018635" w14:textId="77777777" w:rsidR="00D0002F" w:rsidRPr="000A0AF1" w:rsidRDefault="00D0002F" w:rsidP="000A0AF1">
      <w:pPr>
        <w:pStyle w:val="TableCaption"/>
      </w:pPr>
      <w:r w:rsidRPr="000A0AF1">
        <w:t>Table 5.2. Effectiveness Evidence by Intervention Theme and Outcome Domain</w:t>
      </w:r>
    </w:p>
    <w:tbl>
      <w:tblPr>
        <w:tblStyle w:val="CIETable"/>
        <w:tblW w:w="10060" w:type="dxa"/>
        <w:tblLayout w:type="fixed"/>
        <w:tblLook w:val="04A0" w:firstRow="1" w:lastRow="0" w:firstColumn="1" w:lastColumn="0" w:noHBand="0" w:noVBand="1"/>
      </w:tblPr>
      <w:tblGrid>
        <w:gridCol w:w="1838"/>
        <w:gridCol w:w="2552"/>
        <w:gridCol w:w="2126"/>
        <w:gridCol w:w="3544"/>
      </w:tblGrid>
      <w:tr w:rsidR="00D0002F" w:rsidRPr="000A0AF1" w14:paraId="27BFE5DD" w14:textId="77777777" w:rsidTr="000A0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D864EFD" w14:textId="77777777" w:rsidR="00D0002F" w:rsidRPr="000A0AF1" w:rsidRDefault="00D0002F" w:rsidP="000A0AF1">
            <w:pPr>
              <w:pStyle w:val="TableHeading"/>
            </w:pPr>
            <w:r w:rsidRPr="000A0AF1">
              <w:t>Intervention theme</w:t>
            </w:r>
          </w:p>
        </w:tc>
        <w:tc>
          <w:tcPr>
            <w:tcW w:w="2552" w:type="dxa"/>
          </w:tcPr>
          <w:p w14:paraId="7490E812" w14:textId="77777777" w:rsidR="00D0002F" w:rsidRPr="000A0AF1" w:rsidRDefault="00D0002F" w:rsidP="000A0AF1">
            <w:pPr>
              <w:pStyle w:val="TableHeading"/>
              <w:cnfStyle w:val="100000000000" w:firstRow="1" w:lastRow="0" w:firstColumn="0" w:lastColumn="0" w:oddVBand="0" w:evenVBand="0" w:oddHBand="0" w:evenHBand="0" w:firstRowFirstColumn="0" w:firstRowLastColumn="0" w:lastRowFirstColumn="0" w:lastRowLastColumn="0"/>
            </w:pPr>
            <w:r w:rsidRPr="000A0AF1">
              <w:t>Attainment (placement/entry)</w:t>
            </w:r>
          </w:p>
        </w:tc>
        <w:tc>
          <w:tcPr>
            <w:tcW w:w="2126" w:type="dxa"/>
          </w:tcPr>
          <w:p w14:paraId="7623E229" w14:textId="77777777" w:rsidR="00D0002F" w:rsidRPr="000A0AF1" w:rsidRDefault="00D0002F" w:rsidP="000A0AF1">
            <w:pPr>
              <w:pStyle w:val="TableHeading"/>
              <w:cnfStyle w:val="100000000000" w:firstRow="1" w:lastRow="0" w:firstColumn="0" w:lastColumn="0" w:oddVBand="0" w:evenVBand="0" w:oddHBand="0" w:evenHBand="0" w:firstRowFirstColumn="0" w:firstRowLastColumn="0" w:lastRowFirstColumn="0" w:lastRowLastColumn="0"/>
            </w:pPr>
            <w:r w:rsidRPr="000A0AF1">
              <w:t>Durability/tenure (sustainment)</w:t>
            </w:r>
          </w:p>
        </w:tc>
        <w:tc>
          <w:tcPr>
            <w:tcW w:w="3544" w:type="dxa"/>
          </w:tcPr>
          <w:p w14:paraId="59A84730" w14:textId="77777777" w:rsidR="00D0002F" w:rsidRPr="000A0AF1" w:rsidRDefault="00D0002F" w:rsidP="000A0AF1">
            <w:pPr>
              <w:pStyle w:val="TableHeading"/>
              <w:cnfStyle w:val="100000000000" w:firstRow="1" w:lastRow="0" w:firstColumn="0" w:lastColumn="0" w:oddVBand="0" w:evenVBand="0" w:oddHBand="0" w:evenHBand="0" w:firstRowFirstColumn="0" w:firstRowLastColumn="0" w:lastRowFirstColumn="0" w:lastRowLastColumn="0"/>
            </w:pPr>
            <w:r w:rsidRPr="000A0AF1">
              <w:t>Job quality (wages/hours, inclusion, wellbeing)</w:t>
            </w:r>
          </w:p>
        </w:tc>
      </w:tr>
      <w:tr w:rsidR="00D0002F" w:rsidRPr="006E5499" w14:paraId="09A9D547" w14:textId="77777777" w:rsidTr="000A0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7E21892" w14:textId="77777777" w:rsidR="00D0002F" w:rsidRPr="006E5499" w:rsidRDefault="00D0002F" w:rsidP="000A0AF1">
            <w:pPr>
              <w:pStyle w:val="TableText"/>
            </w:pPr>
            <w:r w:rsidRPr="006E5499">
              <w:t>Jobseeker</w:t>
            </w:r>
            <w:r>
              <w:t>-</w:t>
            </w:r>
            <w:r w:rsidRPr="006E5499">
              <w:t>facing supports</w:t>
            </w:r>
          </w:p>
        </w:tc>
        <w:tc>
          <w:tcPr>
            <w:tcW w:w="2552" w:type="dxa"/>
          </w:tcPr>
          <w:p w14:paraId="07D53EE2"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Generally positive when embedded in integrated pathways (SRs 68, Enticott &amp; Dew, 2025). Post</w:t>
            </w:r>
            <w:r>
              <w:t>-</w:t>
            </w:r>
            <w:r w:rsidRPr="006E5499">
              <w:t>SR effectiveness studies: n=3.</w:t>
            </w:r>
          </w:p>
        </w:tc>
        <w:tc>
          <w:tcPr>
            <w:tcW w:w="2126" w:type="dxa"/>
          </w:tcPr>
          <w:p w14:paraId="1ADA0D2A"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Limited reporting; follow</w:t>
            </w:r>
            <w:r>
              <w:t>-</w:t>
            </w:r>
            <w:r w:rsidRPr="006E5499">
              <w:t>up often short or inferred (SR Taubner et al., 2022). Post</w:t>
            </w:r>
            <w:r w:rsidRPr="006E5499">
              <w:rPr>
                <w:rFonts w:ascii="Cambria Math" w:hAnsi="Cambria Math" w:cs="Cambria Math"/>
              </w:rPr>
              <w:t>‑</w:t>
            </w:r>
            <w:r w:rsidRPr="006E5499">
              <w:t>SR: n=2.</w:t>
            </w:r>
          </w:p>
        </w:tc>
        <w:tc>
          <w:tcPr>
            <w:tcW w:w="3544" w:type="dxa"/>
          </w:tcPr>
          <w:p w14:paraId="3A37CC6A"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Positive but heterogeneous; functioning and psychosocial benefits reported, but measures vary (SRs Morash</w:t>
            </w:r>
            <w:r>
              <w:t>-</w:t>
            </w:r>
            <w:r w:rsidRPr="006E5499">
              <w:t>Macneil et al., 2018, Taylor et al., 2022; comparative evidence in SR Taylor et al., 2023). Post</w:t>
            </w:r>
            <w:r w:rsidRPr="006E5499">
              <w:rPr>
                <w:rFonts w:ascii="Cambria Math" w:hAnsi="Cambria Math" w:cs="Cambria Math"/>
              </w:rPr>
              <w:t>‑</w:t>
            </w:r>
            <w:r w:rsidRPr="006E5499">
              <w:t>SR: n=3.</w:t>
            </w:r>
          </w:p>
        </w:tc>
      </w:tr>
      <w:tr w:rsidR="00D0002F" w:rsidRPr="006E5499" w14:paraId="1797E43D" w14:textId="77777777" w:rsidTr="000A0A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367C54E" w14:textId="77777777" w:rsidR="00D0002F" w:rsidRPr="006E5499" w:rsidRDefault="00D0002F" w:rsidP="000A0AF1">
            <w:pPr>
              <w:pStyle w:val="TableText"/>
            </w:pPr>
            <w:r w:rsidRPr="006E5499">
              <w:t>Employer/workplace</w:t>
            </w:r>
            <w:r>
              <w:t>-</w:t>
            </w:r>
            <w:r w:rsidRPr="006E5499">
              <w:t>facing supports</w:t>
            </w:r>
          </w:p>
        </w:tc>
        <w:tc>
          <w:tcPr>
            <w:tcW w:w="2552" w:type="dxa"/>
          </w:tcPr>
          <w:p w14:paraId="4F092A3C"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Indirect and less frequently evaluated; evidence suggests workplace practices can enable entry when linked to placement/support models (SR Carlson et al., 2020). Post</w:t>
            </w:r>
            <w:r>
              <w:t>-</w:t>
            </w:r>
            <w:r w:rsidRPr="006E5499">
              <w:t>SR: n=2.</w:t>
            </w:r>
          </w:p>
        </w:tc>
        <w:tc>
          <w:tcPr>
            <w:tcW w:w="2126" w:type="dxa"/>
          </w:tcPr>
          <w:p w14:paraId="2DA62507"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Some evidence for improved retention and integration through workplace supports and natural supports (SR Carlson et al., 2020). Post</w:t>
            </w:r>
            <w:r>
              <w:t>-</w:t>
            </w:r>
            <w:r w:rsidRPr="006E5499">
              <w:t>SR: n=1.</w:t>
            </w:r>
          </w:p>
        </w:tc>
        <w:tc>
          <w:tcPr>
            <w:tcW w:w="3544" w:type="dxa"/>
          </w:tcPr>
          <w:p w14:paraId="59E7403A" w14:textId="77777777" w:rsidR="00D0002F" w:rsidRPr="006E5499" w:rsidRDefault="00D0002F" w:rsidP="000A0AF1">
            <w:pPr>
              <w:pStyle w:val="TableText"/>
              <w:cnfStyle w:val="000000010000" w:firstRow="0" w:lastRow="0" w:firstColumn="0" w:lastColumn="0" w:oddVBand="0" w:evenVBand="0" w:oddHBand="0" w:evenHBand="1" w:firstRowFirstColumn="0" w:firstRowLastColumn="0" w:lastRowFirstColumn="0" w:lastRowLastColumn="0"/>
            </w:pPr>
            <w:r w:rsidRPr="006E5499">
              <w:t>Supports for inclusion, coworker engagement and supervisor practices appear beneficial; outcomes are variably measured (SR Carlson et al., 2020). Post</w:t>
            </w:r>
            <w:r>
              <w:t>-</w:t>
            </w:r>
            <w:r w:rsidRPr="006E5499">
              <w:t>SR: n=2.</w:t>
            </w:r>
          </w:p>
        </w:tc>
      </w:tr>
      <w:tr w:rsidR="00D0002F" w:rsidRPr="006E5499" w14:paraId="58484116" w14:textId="77777777" w:rsidTr="000A0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91BB29B" w14:textId="77777777" w:rsidR="00D0002F" w:rsidRPr="006E5499" w:rsidRDefault="00D0002F" w:rsidP="000A0AF1">
            <w:pPr>
              <w:pStyle w:val="TableText"/>
            </w:pPr>
            <w:r w:rsidRPr="006E5499">
              <w:t>Bridging and continuity supports</w:t>
            </w:r>
          </w:p>
        </w:tc>
        <w:tc>
          <w:tcPr>
            <w:tcW w:w="2552" w:type="dxa"/>
          </w:tcPr>
          <w:p w14:paraId="769FB1DB"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Most consistent positive evidence (SRs Enticott &amp; Dew, 2025; youth transition evidence also in SR Jetha et al., 2018). Post</w:t>
            </w:r>
            <w:r>
              <w:t>-</w:t>
            </w:r>
            <w:r w:rsidRPr="006E5499">
              <w:t>SR: n=4.</w:t>
            </w:r>
          </w:p>
        </w:tc>
        <w:tc>
          <w:tcPr>
            <w:tcW w:w="2126" w:type="dxa"/>
          </w:tcPr>
          <w:p w14:paraId="67771EAF"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Emerging but limited evidence; sustainment is less consistently measured than attainment (SR Taubner et al., 2022). Post</w:t>
            </w:r>
            <w:r>
              <w:t>-</w:t>
            </w:r>
            <w:r w:rsidRPr="006E5499">
              <w:t>SR: n=2.</w:t>
            </w:r>
          </w:p>
        </w:tc>
        <w:tc>
          <w:tcPr>
            <w:tcW w:w="3544" w:type="dxa"/>
          </w:tcPr>
          <w:p w14:paraId="5FE110A4" w14:textId="77777777" w:rsidR="00D0002F" w:rsidRPr="006E5499" w:rsidRDefault="00D0002F" w:rsidP="000A0AF1">
            <w:pPr>
              <w:pStyle w:val="TableText"/>
              <w:cnfStyle w:val="000000100000" w:firstRow="0" w:lastRow="0" w:firstColumn="0" w:lastColumn="0" w:oddVBand="0" w:evenVBand="0" w:oddHBand="1" w:evenHBand="0" w:firstRowFirstColumn="0" w:firstRowLastColumn="0" w:lastRowFirstColumn="0" w:lastRowLastColumn="0"/>
            </w:pPr>
            <w:r w:rsidRPr="006E5499">
              <w:t>Evidence suggests potential job quality benefits, but definitions and measures are inconsistent; comparative evidence favours CIE over segregated settings (SR Taylor et al., 2023; broader outcomes in SR Taylor et al., 2022). Post</w:t>
            </w:r>
            <w:r>
              <w:t>-</w:t>
            </w:r>
            <w:r w:rsidRPr="006E5499">
              <w:t>SR: n=3.</w:t>
            </w:r>
          </w:p>
        </w:tc>
      </w:tr>
    </w:tbl>
    <w:p w14:paraId="66F5DD34" w14:textId="77777777" w:rsidR="00D0002F" w:rsidRPr="00D84082" w:rsidRDefault="00D0002F" w:rsidP="00D0002F">
      <w:r w:rsidRPr="00D84082">
        <w:t xml:space="preserve">Attainment outcomes are most consistently reported. Durability and job quality are less frequently measured and more heterogeneous, limiting direct comparison. The synthesis prioritises direction-of-effect summaries and </w:t>
      </w:r>
      <w:r w:rsidRPr="00D84082">
        <w:lastRenderedPageBreak/>
        <w:t>identifies implementation conditions that shape real-world outcomes.</w:t>
      </w:r>
    </w:p>
    <w:p w14:paraId="01340988" w14:textId="43656829" w:rsidR="00D0002F" w:rsidRPr="00ED411B" w:rsidRDefault="00D0002F" w:rsidP="00807628">
      <w:pPr>
        <w:pStyle w:val="Numberedheading2"/>
      </w:pPr>
      <w:bookmarkStart w:id="47" w:name="_Toc231220061"/>
      <w:r w:rsidRPr="00ED411B">
        <w:t xml:space="preserve">Effectiveness by </w:t>
      </w:r>
      <w:r>
        <w:t>i</w:t>
      </w:r>
      <w:r w:rsidRPr="00ED411B">
        <w:t xml:space="preserve">ntervention </w:t>
      </w:r>
      <w:r>
        <w:t>t</w:t>
      </w:r>
      <w:r w:rsidRPr="00ED411B">
        <w:t>heme</w:t>
      </w:r>
      <w:bookmarkEnd w:id="47"/>
    </w:p>
    <w:p w14:paraId="445E60A0" w14:textId="77777777" w:rsidR="00D0002F" w:rsidRPr="00D84082" w:rsidRDefault="00D0002F" w:rsidP="00D0002F">
      <w:r w:rsidRPr="00D84082">
        <w:t>Each intervention theme is summarised below, with findings structured by outcome domain and implications for service design.</w:t>
      </w:r>
    </w:p>
    <w:p w14:paraId="73ADB922" w14:textId="29BEE085" w:rsidR="00D0002F" w:rsidRPr="00ED411B" w:rsidRDefault="00D0002F" w:rsidP="00246F62">
      <w:pPr>
        <w:pStyle w:val="Numberedheading3"/>
      </w:pPr>
      <w:bookmarkStart w:id="48" w:name="_Toc231220062"/>
      <w:r w:rsidRPr="00ED411B">
        <w:t>Jobseeker-</w:t>
      </w:r>
      <w:r>
        <w:t>f</w:t>
      </w:r>
      <w:r w:rsidRPr="00ED411B">
        <w:t xml:space="preserve">acing </w:t>
      </w:r>
      <w:r>
        <w:t>s</w:t>
      </w:r>
      <w:r w:rsidRPr="00ED411B">
        <w:t>upports</w:t>
      </w:r>
      <w:bookmarkEnd w:id="48"/>
    </w:p>
    <w:p w14:paraId="6AA43EF1" w14:textId="77777777" w:rsidR="00D0002F" w:rsidRPr="0018252F" w:rsidRDefault="00D0002F" w:rsidP="00D0002F">
      <w:r w:rsidRPr="00D84082">
        <w:t>Jobseeker</w:t>
      </w:r>
      <w:r>
        <w:t>-</w:t>
      </w:r>
      <w:r w:rsidRPr="00D84082">
        <w:t>facing supports comprise pre</w:t>
      </w:r>
      <w:r>
        <w:t>-</w:t>
      </w:r>
      <w:r w:rsidRPr="00D84082">
        <w:t>employment preparation and capability building (e.g., vocational profiling, skills training, self</w:t>
      </w:r>
      <w:r>
        <w:t>-</w:t>
      </w:r>
      <w:r w:rsidRPr="00D84082">
        <w:t xml:space="preserve">determination and career planning) delivered prior to, and sometimes alongside, </w:t>
      </w:r>
      <w:r w:rsidRPr="0018252F">
        <w:t>placement in competitive integrated employment. The evidence base indicates greatest benefit when these components are embedded within integrated pathways that include placement and continuity supports. Within this synthesis, jobseeker</w:t>
      </w:r>
      <w:r>
        <w:t>-</w:t>
      </w:r>
      <w:r w:rsidRPr="0018252F">
        <w:t>facing effectiveness conclusions draw primarily on SR evidence (notably Enticott &amp; Dew, 2025; Nevala et al., 2019; Morash</w:t>
      </w:r>
      <w:r>
        <w:t>-</w:t>
      </w:r>
      <w:r w:rsidRPr="0018252F">
        <w:t>Macneil et al., 2018) and 3 Post</w:t>
      </w:r>
      <w:r>
        <w:t>-</w:t>
      </w:r>
      <w:r w:rsidRPr="0018252F">
        <w:t>SR effectiveness studies for attainment.</w:t>
      </w:r>
    </w:p>
    <w:p w14:paraId="3A0F8B7A" w14:textId="77777777" w:rsidR="00D0002F" w:rsidRPr="0018252F" w:rsidRDefault="00D0002F" w:rsidP="00D0002F">
      <w:r w:rsidRPr="0018252F">
        <w:t>While mental health counselling (e.g. for anxiety or depression) was not a primary focus of the included interventions, one study (Gomes</w:t>
      </w:r>
      <w:r>
        <w:t>-</w:t>
      </w:r>
      <w:r w:rsidRPr="0018252F">
        <w:t>Machado et al., 2016) noted the involvement of a psychologist or counsellor as part of the interdisciplinary support team. However, the intervention description did not specify whether these roles included therapeutic counselling for mental health conditions.</w:t>
      </w:r>
    </w:p>
    <w:p w14:paraId="01669EB1" w14:textId="77777777" w:rsidR="00D0002F" w:rsidRPr="00EC543F" w:rsidRDefault="00D0002F" w:rsidP="00D0002F">
      <w:pPr>
        <w:rPr>
          <w:b/>
          <w:bCs/>
        </w:rPr>
      </w:pPr>
      <w:r w:rsidRPr="00EC543F">
        <w:rPr>
          <w:b/>
          <w:bCs/>
        </w:rPr>
        <w:t>Attainment</w:t>
      </w:r>
    </w:p>
    <w:p w14:paraId="58E297D5" w14:textId="77777777" w:rsidR="00D0002F" w:rsidRPr="00BA6EE6" w:rsidRDefault="00D0002F" w:rsidP="00246F62">
      <w:pPr>
        <w:pStyle w:val="ListBullet"/>
      </w:pPr>
      <w:r w:rsidRPr="00BA6EE6">
        <w:rPr>
          <w:b/>
          <w:bCs/>
        </w:rPr>
        <w:t>Across SRs of transition-to-work and rehabilitation interventions</w:t>
      </w:r>
      <w:r w:rsidRPr="00BA6EE6">
        <w:t xml:space="preserve">, exposure to real-world work (work experience, work trials, and structured school-to-work preparation) is consistently associated with higher likelihood of competitive employment for young people with ID (e.g., Enticott &amp; Dew, 2025; </w:t>
      </w:r>
      <w:r w:rsidRPr="00BA6EE6">
        <w:fldChar w:fldCharType="begin">
          <w:fldData xml:space="preserve">PEVuZE5vdGU+PENpdGUgQXV0aG9yWWVhcj0iMSI+PEF1dGhvcj5OZXZhbGE8L0F1dGhvcj48WWVh
cj4yMDE5PC9ZZWFyPjxSZWNOdW0+MTQ4PC9SZWNOdW0+PERpc3BsYXlUZXh0Pk5ldmFsYSBldCBh
bC4gKDIwMTkpPC9EaXNwbGF5VGV4dD48cmVjb3JkPjxyZWMtbnVtYmVyPjE0ODwvcmVjLW51bWJl
cj48Zm9yZWlnbi1rZXlzPjxrZXkgYXBwPSJFTiIgZGItaWQ9IjlyMHhkc3p2a3hwZDBxZWU5OXN2
cHd0N3Rkdjl6emVkNXoyZiIgdGltZXN0YW1wPSIxNzY5NjcyNTQ5Ij4xNDg8L2tleT48L2ZvcmVp
Z24ta2V5cz48cmVmLXR5cGUgbmFtZT0iSm91cm5hbCBBcnRpY2xlIj4xNzwvcmVmLXR5cGU+PGNv
bnRyaWJ1dG9ycz48YXV0aG9ycz48YXV0aG9yPk5ldmFsYSwgTi48L2F1dGhvcj48YXV0aG9yPlBl
aGtvbmVuLCBJLjwvYXV0aG9yPjxhdXRob3I+VGVpdHRpbmVuLCBBLjwvYXV0aG9yPjxhdXRob3I+
VmVzYWxhLCBILiBULjwvYXV0aG9yPjxhdXRob3I+UMO2cnRmb3JzLCBQLjwvYXV0aG9yPjxhdXRo
b3I+QW50dGlsYSwgSC48L2F1dGhvcj48L2F1dGhvcnM+PC9jb250cmlidXRvcnM+PGF1dGgtYWRk
cmVzcz5GaW5uaXNoIEluc3RpdHV0ZSBvZiBPY2N1cGF0aW9uYWwgSGVhbHRoLCBQTyBCb3ggNDAs
IDAwMDMyLCBUecO2dGVydmV5c2xhaXRvcywgRmlubGFuZC4gbmluYS5uZXZhbGFAdHRsLmZpLiYj
eEQ7RmlubmlzaCBJbnN0aXR1dGUgb2YgT2NjdXBhdGlvbmFsIEhlYWx0aCwgUE8gQm94IDQwLCAw
MDAzMiwgVHnDtnRlcnZleXNsYWl0b3MsIEZpbmxhbmQuJiN4RDtUaGUgRmlubmlzaCBBc3NvY2lh
dGlvbiBPbiBJbnRlbGxlY3R1YWwgYW5kIERldmVsb3BtZW50YWwgRGlzYWJpbGl0aWVzLCBWaWxq
YXRpZSA0IEEsIDAwNzAwNCwgSGVsc2lua2ksIEZpbmxhbmQuJiN4RDtOYXRpb25hbCBJbnN0aXR1
dGUgZm9yIEhlYWx0aCBhbmQgV2VsZmFyZSwgUE8gQm94IDMwLCAwMDI3MSwgSGVsc2lua2ksIEZp
bmxhbmQuPC9hdXRoLWFkZHJlc3M+PHRpdGxlcz48dGl0bGU+VGhlIEVmZmVjdGl2ZW5lc3Mgb2Yg
UmVoYWJpbGl0YXRpb24gSW50ZXJ2ZW50aW9ucyBvbiB0aGUgRW1wbG95bWVudCBhbmQgRnVuY3Rp
b25pbmcgb2YgUGVvcGxlIHdpdGggSW50ZWxsZWN0dWFsIERpc2FiaWxpdGllczogQSBTeXN0ZW1h
dGljIFJldmlldzwvdGl0bGU+PHNlY29uZGFyeS10aXRsZT5KIE9jY3VwIFJlaGFiaWw8L3NlY29u
ZGFyeS10aXRsZT48L3RpdGxlcz48cGVyaW9kaWNhbD48ZnVsbC10aXRsZT5KIE9jY3VwIFJlaGFi
aWw8L2Z1bGwtdGl0bGU+PC9wZXJpb2RpY2FsPjxwYWdlcz43NzMtODAyPC9wYWdlcz48dm9sdW1l
PjI5PC92b2x1bWU+PG51bWJlcj40PC9udW1iZXI+PGtleXdvcmRzPjxrZXl3b3JkPkFkb2xlc2Nl
bnQ8L2tleXdvcmQ+PGtleXdvcmQ+QWR1bHQ8L2tleXdvcmQ+PGtleXdvcmQ+UGVyc29ucyB3aXRo
IERpc2FiaWxpdGllcy8qcmVoYWJpbGl0YXRpb248L2tleXdvcmQ+PGtleXdvcmQ+RW1wbG95bWVu
dC8qbWV0aG9kczwva2V5d29yZD48a2V5d29yZD5FbXBsb3ltZW50LCBTdXBwb3J0ZWQvb3JnYW5p
emF0aW9uICZhbXA7IGFkbWluaXN0cmF0aW9uPC9rZXl3b3JkPjxrZXl3b3JkPkZlbWFsZTwva2V5
d29yZD48a2V5d29yZD5IdW1hbnM8L2tleXdvcmQ+PGtleXdvcmQ+SW50ZWxsZWN0dWFsIERpc2Fi
aWxpdHkvKnJlaGFiaWxpdGF0aW9uPC9rZXl3b3JkPjxrZXl3b3JkPk1hbGU8L2tleXdvcmQ+PGtl
eXdvcmQ+TWlkZGxlIEFnZWQ8L2tleXdvcmQ+PGtleXdvcmQ+UXVhbGl0YXRpdmUgUmVzZWFyY2g8
L2tleXdvcmQ+PGtleXdvcmQ+UmVoYWJpbGl0YXRpb24sIFZvY2F0aW9uYWwvbWV0aG9kczwva2V5
d29yZD48a2V5d29yZD5Zb3VuZyBBZHVsdDwva2V5d29yZD48a2V5d29yZD5CYXJyaWVyczwva2V5
d29yZD48a2V5d29yZD5EZXZlbG9wbWVudGFsIERpc2FiaWxpdHk8L2tleXdvcmQ+PGtleXdvcmQ+
RW1wbG95bWVudDwva2V5d29yZD48a2V5d29yZD5GYWNpbGl0YXRvcnM8L2tleXdvcmQ+PGtleXdv
cmQ+SW50ZWxsZWN0dWFsIERpc2FiaWxpdHk8L2tleXdvcmQ+PGtleXdvcmQ+TGVhcm5pbmcgRGlz
YWJpbGl0eTwva2V5d29yZD48a2V5d29yZD5SZWhhYmlsaXRhdGlvbjwva2V5d29yZD48a2V5d29y
ZD5TeXN0ZW1hdGljIHJldmlldzwva2V5d29yZD48L2tleXdvcmRzPjxkYXRlcz48eWVhcj4yMDE5
PC95ZWFyPjxwdWItZGF0ZXM+PGRhdGU+RGVjPC9kYXRlPjwvcHViLWRhdGVzPjwvZGF0ZXM+PGlz
Ym4+MTA1My0wNDg3IChQcmludCkmI3hEOzEwNTMtMDQ4NzwvaXNibj48YWNjZXNzaW9uLW51bT4z
MTA5ODg0NzwvYWNjZXNzaW9uLW51bT48dXJscz48L3VybHM+PGN1c3RvbTE+TmluYSBOZXZhbGEs
IElybWVsaSBQZWhrb25lbiwgQW50dGkgVGVpdHRpbmVuLCBIYW5udSBULiBWZXNhbGEsIFBpYSBQ
w7ZydGZvcnMsIGFuZCBIZWlkaSBBbnR0aWxhIGRlY2xhcmUgdGhhdCB0aGV5IGhhdmUgbm8gY29u
ZmxpY3RzIG9mIGludGVyZXN0LjwvY3VzdG9tMT48Y3VzdG9tMj5QTUM2ODM4MDQxPC9jdXN0b20y
PjxlbGVjdHJvbmljLXJlc291cmNlLW51bT4xMC4xMDA3L3MxMDkyNi0wMTktMDk4MzctMjwvZWxl
Y3Ryb25pYy1yZXNvdXJjZS1udW0+PHJlbW90ZS1kYXRhYmFzZS1wcm92aWRlcj5OTE08L3JlbW90
ZS1kYXRhYmFzZS1wcm92aWRlcj48bGFuZ3VhZ2U+ZW5nPC9sYW5ndWFnZT48L3JlY29yZD48L0Np
dGU+PC9FbmROb3RlPn==
</w:fldData>
        </w:fldChar>
      </w:r>
      <w:r w:rsidRPr="00BA6EE6">
        <w:instrText xml:space="preserve"> ADDIN EN.CITE </w:instrText>
      </w:r>
      <w:r w:rsidRPr="00BA6EE6">
        <w:fldChar w:fldCharType="begin">
          <w:fldData xml:space="preserve">PEVuZE5vdGU+PENpdGUgQXV0aG9yWWVhcj0iMSI+PEF1dGhvcj5OZXZhbGE8L0F1dGhvcj48WWVh
cj4yMDE5PC9ZZWFyPjxSZWNOdW0+MTQ4PC9SZWNOdW0+PERpc3BsYXlUZXh0Pk5ldmFsYSBldCBh
bC4gKDIwMTkpPC9EaXNwbGF5VGV4dD48cmVjb3JkPjxyZWMtbnVtYmVyPjE0ODwvcmVjLW51bWJl
cj48Zm9yZWlnbi1rZXlzPjxrZXkgYXBwPSJFTiIgZGItaWQ9IjlyMHhkc3p2a3hwZDBxZWU5OXN2
cHd0N3Rkdjl6emVkNXoyZiIgdGltZXN0YW1wPSIxNzY5NjcyNTQ5Ij4xNDg8L2tleT48L2ZvcmVp
Z24ta2V5cz48cmVmLXR5cGUgbmFtZT0iSm91cm5hbCBBcnRpY2xlIj4xNzwvcmVmLXR5cGU+PGNv
bnRyaWJ1dG9ycz48YXV0aG9ycz48YXV0aG9yPk5ldmFsYSwgTi48L2F1dGhvcj48YXV0aG9yPlBl
aGtvbmVuLCBJLjwvYXV0aG9yPjxhdXRob3I+VGVpdHRpbmVuLCBBLjwvYXV0aG9yPjxhdXRob3I+
VmVzYWxhLCBILiBULjwvYXV0aG9yPjxhdXRob3I+UMO2cnRmb3JzLCBQLjwvYXV0aG9yPjxhdXRo
b3I+QW50dGlsYSwgSC48L2F1dGhvcj48L2F1dGhvcnM+PC9jb250cmlidXRvcnM+PGF1dGgtYWRk
cmVzcz5GaW5uaXNoIEluc3RpdHV0ZSBvZiBPY2N1cGF0aW9uYWwgSGVhbHRoLCBQTyBCb3ggNDAs
IDAwMDMyLCBUecO2dGVydmV5c2xhaXRvcywgRmlubGFuZC4gbmluYS5uZXZhbGFAdHRsLmZpLiYj
eEQ7RmlubmlzaCBJbnN0aXR1dGUgb2YgT2NjdXBhdGlvbmFsIEhlYWx0aCwgUE8gQm94IDQwLCAw
MDAzMiwgVHnDtnRlcnZleXNsYWl0b3MsIEZpbmxhbmQuJiN4RDtUaGUgRmlubmlzaCBBc3NvY2lh
dGlvbiBPbiBJbnRlbGxlY3R1YWwgYW5kIERldmVsb3BtZW50YWwgRGlzYWJpbGl0aWVzLCBWaWxq
YXRpZSA0IEEsIDAwNzAwNCwgSGVsc2lua2ksIEZpbmxhbmQuJiN4RDtOYXRpb25hbCBJbnN0aXR1
dGUgZm9yIEhlYWx0aCBhbmQgV2VsZmFyZSwgUE8gQm94IDMwLCAwMDI3MSwgSGVsc2lua2ksIEZp
bmxhbmQuPC9hdXRoLWFkZHJlc3M+PHRpdGxlcz48dGl0bGU+VGhlIEVmZmVjdGl2ZW5lc3Mgb2Yg
UmVoYWJpbGl0YXRpb24gSW50ZXJ2ZW50aW9ucyBvbiB0aGUgRW1wbG95bWVudCBhbmQgRnVuY3Rp
b25pbmcgb2YgUGVvcGxlIHdpdGggSW50ZWxsZWN0dWFsIERpc2FiaWxpdGllczogQSBTeXN0ZW1h
dGljIFJldmlldzwvdGl0bGU+PHNlY29uZGFyeS10aXRsZT5KIE9jY3VwIFJlaGFiaWw8L3NlY29u
ZGFyeS10aXRsZT48L3RpdGxlcz48cGVyaW9kaWNhbD48ZnVsbC10aXRsZT5KIE9jY3VwIFJlaGFi
aWw8L2Z1bGwtdGl0bGU+PC9wZXJpb2RpY2FsPjxwYWdlcz43NzMtODAyPC9wYWdlcz48dm9sdW1l
PjI5PC92b2x1bWU+PG51bWJlcj40PC9udW1iZXI+PGtleXdvcmRzPjxrZXl3b3JkPkFkb2xlc2Nl
bnQ8L2tleXdvcmQ+PGtleXdvcmQ+QWR1bHQ8L2tleXdvcmQ+PGtleXdvcmQ+UGVyc29ucyB3aXRo
IERpc2FiaWxpdGllcy8qcmVoYWJpbGl0YXRpb248L2tleXdvcmQ+PGtleXdvcmQ+RW1wbG95bWVu
dC8qbWV0aG9kczwva2V5d29yZD48a2V5d29yZD5FbXBsb3ltZW50LCBTdXBwb3J0ZWQvb3JnYW5p
emF0aW9uICZhbXA7IGFkbWluaXN0cmF0aW9uPC9rZXl3b3JkPjxrZXl3b3JkPkZlbWFsZTwva2V5
d29yZD48a2V5d29yZD5IdW1hbnM8L2tleXdvcmQ+PGtleXdvcmQ+SW50ZWxsZWN0dWFsIERpc2Fi
aWxpdHkvKnJlaGFiaWxpdGF0aW9uPC9rZXl3b3JkPjxrZXl3b3JkPk1hbGU8L2tleXdvcmQ+PGtl
eXdvcmQ+TWlkZGxlIEFnZWQ8L2tleXdvcmQ+PGtleXdvcmQ+UXVhbGl0YXRpdmUgUmVzZWFyY2g8
L2tleXdvcmQ+PGtleXdvcmQ+UmVoYWJpbGl0YXRpb24sIFZvY2F0aW9uYWwvbWV0aG9kczwva2V5
d29yZD48a2V5d29yZD5Zb3VuZyBBZHVsdDwva2V5d29yZD48a2V5d29yZD5CYXJyaWVyczwva2V5
d29yZD48a2V5d29yZD5EZXZlbG9wbWVudGFsIERpc2FiaWxpdHk8L2tleXdvcmQ+PGtleXdvcmQ+
RW1wbG95bWVudDwva2V5d29yZD48a2V5d29yZD5GYWNpbGl0YXRvcnM8L2tleXdvcmQ+PGtleXdv
cmQ+SW50ZWxsZWN0dWFsIERpc2FiaWxpdHk8L2tleXdvcmQ+PGtleXdvcmQ+TGVhcm5pbmcgRGlz
YWJpbGl0eTwva2V5d29yZD48a2V5d29yZD5SZWhhYmlsaXRhdGlvbjwva2V5d29yZD48a2V5d29y
ZD5TeXN0ZW1hdGljIHJldmlldzwva2V5d29yZD48L2tleXdvcmRzPjxkYXRlcz48eWVhcj4yMDE5
PC95ZWFyPjxwdWItZGF0ZXM+PGRhdGU+RGVjPC9kYXRlPjwvcHViLWRhdGVzPjwvZGF0ZXM+PGlz
Ym4+MTA1My0wNDg3IChQcmludCkmI3hEOzEwNTMtMDQ4NzwvaXNibj48YWNjZXNzaW9uLW51bT4z
MTA5ODg0NzwvYWNjZXNzaW9uLW51bT48dXJscz48L3VybHM+PGN1c3RvbTE+TmluYSBOZXZhbGEs
IElybWVsaSBQZWhrb25lbiwgQW50dGkgVGVpdHRpbmVuLCBIYW5udSBULiBWZXNhbGEsIFBpYSBQ
w7ZydGZvcnMsIGFuZCBIZWlkaSBBbnR0aWxhIGRlY2xhcmUgdGhhdCB0aGV5IGhhdmUgbm8gY29u
ZmxpY3RzIG9mIGludGVyZXN0LjwvY3VzdG9tMT48Y3VzdG9tMj5QTUM2ODM4MDQxPC9jdXN0b20y
PjxlbGVjdHJvbmljLXJlc291cmNlLW51bT4xMC4xMDA3L3MxMDkyNi0wMTktMDk4MzctMjwvZWxl
Y3Ryb25pYy1yZXNvdXJjZS1udW0+PHJlbW90ZS1kYXRhYmFzZS1wcm92aWRlcj5OTE08L3JlbW90
ZS1kYXRhYmFzZS1wcm92aWRlcj48bGFuZ3VhZ2U+ZW5nPC9sYW5ndWFnZT48L3JlY29yZD48L0Np
dGU+PC9FbmROb3RlPn==
</w:fldData>
        </w:fldChar>
      </w:r>
      <w:r w:rsidRPr="00BA6EE6">
        <w:instrText xml:space="preserve"> ADDIN EN.CITE.DATA </w:instrText>
      </w:r>
      <w:r w:rsidRPr="00BA6EE6">
        <w:fldChar w:fldCharType="end"/>
      </w:r>
      <w:r w:rsidRPr="00BA6EE6">
        <w:fldChar w:fldCharType="separate"/>
      </w:r>
      <w:r w:rsidRPr="00BA6EE6">
        <w:t>Nevala et al. (2019)</w:t>
      </w:r>
      <w:r w:rsidRPr="00BA6EE6">
        <w:fldChar w:fldCharType="end"/>
      </w:r>
      <w:r w:rsidRPr="00BA6EE6">
        <w:t xml:space="preserve">; </w:t>
      </w:r>
      <w:r w:rsidRPr="00BA6EE6">
        <w:fldChar w:fldCharType="begin">
          <w:fldData xml:space="preserve">PEVuZE5vdGU+PENpdGUgQXV0aG9yWWVhcj0iMSI+PEF1dGhvcj5KZXRoYTwvQXV0aG9yPjxZZWFy
PjIwMTk8L1llYXI+PFJlY051bT4xNTA8L1JlY051bT48RGlzcGxheVRleHQ+SmV0aGEgZXQgYWwu
ICgyMDE5KTwvRGlzcGxheVRleHQ+PHJlY29yZD48cmVjLW51bWJlcj4xNTA8L3JlYy1udW1iZXI+
PGZvcmVpZ24ta2V5cz48a2V5IGFwcD0iRU4iIGRiLWlkPSI5cjB4ZHN6dmt4cGQwcWVlOTlzdnB3
dDd0ZHY5enplZDV6MmYiIHRpbWVzdGFtcD0iMTc2OTY3MjU2MCI+MTUwPC9rZXk+PC9mb3JlaWdu
LWtleXM+PHJlZi10eXBlIG5hbWU9IkpvdXJuYWwgQXJ0aWNsZSI+MTc8L3JlZi10eXBlPjxjb250
cmlidXRvcnM+PGF1dGhvcnM+PGF1dGhvcj5KZXRoYSwgQS48L2F1dGhvcj48YXV0aG9yPlNoYXcs
IFIuPC9hdXRob3I+PGF1dGhvcj5TaW5kZW4sIEEuIFIuPC9hdXRob3I+PGF1dGhvcj5NYWhvb2Qs
IFEuPC9hdXRob3I+PGF1dGhvcj5HaWduYWMsIE0uIEEuPC9hdXRob3I+PGF1dGhvcj5NY0NvbGws
IE0uIEEuPC9hdXRob3I+PGF1dGhvcj5NYXJ0aW4gR2luaXMsIEsuIEEuPC9hdXRob3I+PC9hdXRo
b3JzPjwvY29udHJpYnV0b3JzPjxhdXRoLWFkZHJlc3M+SW5zdGl0dXRlIGZvciBXb3JrIGFuZCBI
ZWFsdGgsIFRvcm9udG8sIE9udGFyaW8sIENhbmFkYS4mI3hEO0RhbGxhIExhbmEgU2Nob29sIG9m
IFB1YmxpYyBIZWFsdGgsIFVuaXZlcnNpdHkgb2YgVG9yb250bywgVG9yb250bywgT250YXJpbywg
Q2FuYWRhLiYjeEQ7U2Nob29sIG9mIEhlYWx0aCBhbmQgRXhlcmNpc2UgU2NpZW5jZXMsIFVuaXZl
cnNpdHkgb2YgQnJpdGlzaCBDb2x1bWJpYSwgS2Vsb3duYSwgQnJpdGlzaCBDb2x1bWJpYSwgQ2Fu
YWRhLiYjeEQ7TWNNYXN0ZXIgVW5pdmVyc2l0eSwgSGFtaWx0b24sIE9udGFyaW8sIENhbmFkYS4m
I3hEO0tyZW1iaWwgUmVzZWFyY2ggSW5zdGl0dXRlLCBUb3JvbnRvLCBPbnRhcmlvLCBDYW5hZGEu
JiN4RDtTY2hvb2wgb2YgUmVoYWJpbGl0YXRpb24gVGhlcmFweSwgUXVlZW4mYXBvcztzIFVuaXZl
cnNpdHksIEtpbmdzdG9uLCBPbnRhcmlvLCBDYW5hZGEuPC9hdXRoLWFkZHJlc3M+PHRpdGxlcz48
dGl0bGU+V29yay1mb2N1c2VkIGludGVydmVudGlvbnMgdGhhdCBwcm9tb3RlIHRoZSBsYWJvdXIg
bWFya2V0IHRyYW5zaXRpb24gb2YgeW91bmcgYWR1bHRzIHdpdGggY2hyb25pYyBkaXNhYmxpbmcg
aGVhbHRoIGNvbmRpdGlvbnM6IGEgc3lzdGVtYXRpYyByZXZpZXc8L3RpdGxlPjxzZWNvbmRhcnkt
dGl0bGU+T2NjdXAgRW52aXJvbiBNZWQ8L3NlY29uZGFyeS10aXRsZT48L3RpdGxlcz48cGVyaW9k
aWNhbD48ZnVsbC10aXRsZT5PY2N1cCBFbnZpcm9uIE1lZDwvZnVsbC10aXRsZT48L3BlcmlvZGlj
YWw+PHBhZ2VzPjE4OS0xOTg8L3BhZ2VzPjx2b2x1bWU+NzY8L3ZvbHVtZT48bnVtYmVyPjM8L251
bWJlcj48ZWRpdGlvbj4yMDE5MDExMTwvZWRpdGlvbj48a2V5d29yZHM+PGtleXdvcmQ+QWR1bHQ8
L2tleXdvcmQ+PGtleXdvcmQ+Q2hyb25pYyBEaXNlYXNlLypyZWhhYmlsaXRhdGlvbjwva2V5d29y
ZD48a2V5d29yZD5QZXJzb25zIHdpdGggRGlzYWJpbGl0aWVzLypyZWhhYmlsaXRhdGlvbjwva2V5
d29yZD48a2V5d29yZD5IdW1hbnM8L2tleXdvcmQ+PGtleXdvcmQ+UmFuZG9taXplZCBDb250cm9s
bGVkIFRyaWFscyBhcyBUb3BpYzwva2V5d29yZD48a2V5d29yZD5SZWhhYmlsaXRhdGlvbiwgVm9j
YXRpb25hbC8qbWV0aG9kcy9zdGF0aXN0aWNzICZhbXA7IG51bWVyaWNhbCBkYXRhPC9rZXl3b3Jk
PjxrZXl3b3JkPllvdW5nIEFkdWx0PC9rZXl3b3JkPjxrZXl3b3JkPmRpc2FiaWxpdHk8L2tleXdv
cmQ+PGtleXdvcmQ+c3lzdGVtYXRpYyByZXZpZXc8L2tleXdvcmQ+PGtleXdvcmQ+d29yayB0cmFu
c2l0aW9uPC9rZXl3b3JkPjxrZXl3b3JkPndvcmstZm9jdXNlZCBpbnRlcnZlbnRpb248L2tleXdv
cmQ+PC9rZXl3b3Jkcz48ZGF0ZXM+PHllYXI+MjAxOTwveWVhcj48cHViLWRhdGVzPjxkYXRlPk1h
cjwvZGF0ZT48L3B1Yi1kYXRlcz48L2RhdGVzPjxpc2JuPjEzNTEtMDcxMSAoUHJpbnQpJiN4RDsx
MzUxLTA3MTE8L2lzYm4+PGFjY2Vzc2lvbi1udW0+MzA2MzU0MzI8L2FjY2Vzc2lvbi1udW0+PHVy
bHM+PC91cmxzPjxjdXN0b20xPkNvbXBldGluZyBpbnRlcmVzdHM6IE5vbmUgZGVjbGFyZWQuPC9j
dXN0b20xPjxjdXN0b20yPlBNQzY1ODExMDA8L2N1c3RvbTI+PGVsZWN0cm9uaWMtcmVzb3VyY2Ut
bnVtPjEwLjExMzYvb2VtZWQtMjAxOC0xMDU0NTQ8L2VsZWN0cm9uaWMtcmVzb3VyY2UtbnVtPjxy
ZW1vdGUtZGF0YWJhc2UtcHJvdmlkZXI+TkxNPC9yZW1vdGUtZGF0YWJhc2UtcHJvdmlkZXI+PGxh
bmd1YWdlPmVuZzwvbGFuZ3VhZ2U+PC9yZWNvcmQ+PC9DaXRlPjwvRW5kTm90ZT5=
</w:fldData>
        </w:fldChar>
      </w:r>
      <w:r w:rsidRPr="00BA6EE6">
        <w:instrText xml:space="preserve"> ADDIN EN.CITE </w:instrText>
      </w:r>
      <w:r w:rsidRPr="00BA6EE6">
        <w:fldChar w:fldCharType="begin">
          <w:fldData xml:space="preserve">PEVuZE5vdGU+PENpdGUgQXV0aG9yWWVhcj0iMSI+PEF1dGhvcj5KZXRoYTwvQXV0aG9yPjxZZWFy
PjIwMTk8L1llYXI+PFJlY051bT4xNTA8L1JlY051bT48RGlzcGxheVRleHQ+SmV0aGEgZXQgYWwu
ICgyMDE5KTwvRGlzcGxheVRleHQ+PHJlY29yZD48cmVjLW51bWJlcj4xNTA8L3JlYy1udW1iZXI+
PGZvcmVpZ24ta2V5cz48a2V5IGFwcD0iRU4iIGRiLWlkPSI5cjB4ZHN6dmt4cGQwcWVlOTlzdnB3
dDd0ZHY5enplZDV6MmYiIHRpbWVzdGFtcD0iMTc2OTY3MjU2MCI+MTUwPC9rZXk+PC9mb3JlaWdu
LWtleXM+PHJlZi10eXBlIG5hbWU9IkpvdXJuYWwgQXJ0aWNsZSI+MTc8L3JlZi10eXBlPjxjb250
cmlidXRvcnM+PGF1dGhvcnM+PGF1dGhvcj5KZXRoYSwgQS48L2F1dGhvcj48YXV0aG9yPlNoYXcs
IFIuPC9hdXRob3I+PGF1dGhvcj5TaW5kZW4sIEEuIFIuPC9hdXRob3I+PGF1dGhvcj5NYWhvb2Qs
IFEuPC9hdXRob3I+PGF1dGhvcj5HaWduYWMsIE0uIEEuPC9hdXRob3I+PGF1dGhvcj5NY0NvbGws
IE0uIEEuPC9hdXRob3I+PGF1dGhvcj5NYXJ0aW4gR2luaXMsIEsuIEEuPC9hdXRob3I+PC9hdXRo
b3JzPjwvY29udHJpYnV0b3JzPjxhdXRoLWFkZHJlc3M+SW5zdGl0dXRlIGZvciBXb3JrIGFuZCBI
ZWFsdGgsIFRvcm9udG8sIE9udGFyaW8sIENhbmFkYS4mI3hEO0RhbGxhIExhbmEgU2Nob29sIG9m
IFB1YmxpYyBIZWFsdGgsIFVuaXZlcnNpdHkgb2YgVG9yb250bywgVG9yb250bywgT250YXJpbywg
Q2FuYWRhLiYjeEQ7U2Nob29sIG9mIEhlYWx0aCBhbmQgRXhlcmNpc2UgU2NpZW5jZXMsIFVuaXZl
cnNpdHkgb2YgQnJpdGlzaCBDb2x1bWJpYSwgS2Vsb3duYSwgQnJpdGlzaCBDb2x1bWJpYSwgQ2Fu
YWRhLiYjeEQ7TWNNYXN0ZXIgVW5pdmVyc2l0eSwgSGFtaWx0b24sIE9udGFyaW8sIENhbmFkYS4m
I3hEO0tyZW1iaWwgUmVzZWFyY2ggSW5zdGl0dXRlLCBUb3JvbnRvLCBPbnRhcmlvLCBDYW5hZGEu
JiN4RDtTY2hvb2wgb2YgUmVoYWJpbGl0YXRpb24gVGhlcmFweSwgUXVlZW4mYXBvcztzIFVuaXZl
cnNpdHksIEtpbmdzdG9uLCBPbnRhcmlvLCBDYW5hZGEuPC9hdXRoLWFkZHJlc3M+PHRpdGxlcz48
dGl0bGU+V29yay1mb2N1c2VkIGludGVydmVudGlvbnMgdGhhdCBwcm9tb3RlIHRoZSBsYWJvdXIg
bWFya2V0IHRyYW5zaXRpb24gb2YgeW91bmcgYWR1bHRzIHdpdGggY2hyb25pYyBkaXNhYmxpbmcg
aGVhbHRoIGNvbmRpdGlvbnM6IGEgc3lzdGVtYXRpYyByZXZpZXc8L3RpdGxlPjxzZWNvbmRhcnkt
dGl0bGU+T2NjdXAgRW52aXJvbiBNZWQ8L3NlY29uZGFyeS10aXRsZT48L3RpdGxlcz48cGVyaW9k
aWNhbD48ZnVsbC10aXRsZT5PY2N1cCBFbnZpcm9uIE1lZDwvZnVsbC10aXRsZT48L3BlcmlvZGlj
YWw+PHBhZ2VzPjE4OS0xOTg8L3BhZ2VzPjx2b2x1bWU+NzY8L3ZvbHVtZT48bnVtYmVyPjM8L251
bWJlcj48ZWRpdGlvbj4yMDE5MDExMTwvZWRpdGlvbj48a2V5d29yZHM+PGtleXdvcmQ+QWR1bHQ8
L2tleXdvcmQ+PGtleXdvcmQ+Q2hyb25pYyBEaXNlYXNlLypyZWhhYmlsaXRhdGlvbjwva2V5d29y
ZD48a2V5d29yZD5QZXJzb25zIHdpdGggRGlzYWJpbGl0aWVzLypyZWhhYmlsaXRhdGlvbjwva2V5
d29yZD48a2V5d29yZD5IdW1hbnM8L2tleXdvcmQ+PGtleXdvcmQ+UmFuZG9taXplZCBDb250cm9s
bGVkIFRyaWFscyBhcyBUb3BpYzwva2V5d29yZD48a2V5d29yZD5SZWhhYmlsaXRhdGlvbiwgVm9j
YXRpb25hbC8qbWV0aG9kcy9zdGF0aXN0aWNzICZhbXA7IG51bWVyaWNhbCBkYXRhPC9rZXl3b3Jk
PjxrZXl3b3JkPllvdW5nIEFkdWx0PC9rZXl3b3JkPjxrZXl3b3JkPmRpc2FiaWxpdHk8L2tleXdv
cmQ+PGtleXdvcmQ+c3lzdGVtYXRpYyByZXZpZXc8L2tleXdvcmQ+PGtleXdvcmQ+d29yayB0cmFu
c2l0aW9uPC9rZXl3b3JkPjxrZXl3b3JkPndvcmstZm9jdXNlZCBpbnRlcnZlbnRpb248L2tleXdv
cmQ+PC9rZXl3b3Jkcz48ZGF0ZXM+PHllYXI+MjAxOTwveWVhcj48cHViLWRhdGVzPjxkYXRlPk1h
cjwvZGF0ZT48L3B1Yi1kYXRlcz48L2RhdGVzPjxpc2JuPjEzNTEtMDcxMSAoUHJpbnQpJiN4RDsx
MzUxLTA3MTE8L2lzYm4+PGFjY2Vzc2lvbi1udW0+MzA2MzU0MzI8L2FjY2Vzc2lvbi1udW0+PHVy
bHM+PC91cmxzPjxjdXN0b20xPkNvbXBldGluZyBpbnRlcmVzdHM6IE5vbmUgZGVjbGFyZWQuPC9j
dXN0b20xPjxjdXN0b20yPlBNQzY1ODExMDA8L2N1c3RvbTI+PGVsZWN0cm9uaWMtcmVzb3VyY2Ut
bnVtPjEwLjExMzYvb2VtZWQtMjAxOC0xMDU0NTQ8L2VsZWN0cm9uaWMtcmVzb3VyY2UtbnVtPjxy
ZW1vdGUtZGF0YWJhc2UtcHJvdmlkZXI+TkxNPC9yZW1vdGUtZGF0YWJhc2UtcHJvdmlkZXI+PGxh
bmd1YWdlPmVuZzwvbGFuZ3VhZ2U+PC9yZWNvcmQ+PC9DaXRlPjwvRW5kTm90ZT5=
</w:fldData>
        </w:fldChar>
      </w:r>
      <w:r w:rsidRPr="00BA6EE6">
        <w:instrText xml:space="preserve"> ADDIN EN.CITE.DATA </w:instrText>
      </w:r>
      <w:r w:rsidRPr="00BA6EE6">
        <w:fldChar w:fldCharType="end"/>
      </w:r>
      <w:r w:rsidRPr="00BA6EE6">
        <w:fldChar w:fldCharType="separate"/>
      </w:r>
      <w:r w:rsidRPr="00BA6EE6">
        <w:t>Jetha et al. (2019)</w:t>
      </w:r>
      <w:r w:rsidRPr="00BA6EE6">
        <w:fldChar w:fldCharType="end"/>
      </w:r>
      <w:r w:rsidRPr="00BA6EE6">
        <w:t>.</w:t>
      </w:r>
    </w:p>
    <w:p w14:paraId="07E7B4AE" w14:textId="77777777" w:rsidR="00D0002F" w:rsidRPr="00BA6EE6" w:rsidRDefault="00D0002F" w:rsidP="00246F62">
      <w:pPr>
        <w:pStyle w:val="ListBullet"/>
      </w:pPr>
      <w:r w:rsidRPr="00BA6EE6">
        <w:rPr>
          <w:b/>
          <w:bCs/>
        </w:rPr>
        <w:t>SR evidence indicates</w:t>
      </w:r>
      <w:r w:rsidRPr="00BA6EE6">
        <w:t xml:space="preserve"> that jobseeker capability components are most effective when delivered as part of an integrated pathway that includes job matching, on-the-job training, and ongoing workplace supports (i.e., capability + placement + continuity), rather than as classroom-only preparation, e.g., Enticott &amp; Dew 2025.</w:t>
      </w:r>
    </w:p>
    <w:p w14:paraId="5F0B1E2C" w14:textId="77777777" w:rsidR="00D0002F" w:rsidRPr="00BA6EE6" w:rsidRDefault="00D0002F" w:rsidP="00246F62">
      <w:pPr>
        <w:pStyle w:val="ListBullet"/>
      </w:pPr>
      <w:r w:rsidRPr="00BA6EE6">
        <w:rPr>
          <w:b/>
          <w:bCs/>
        </w:rPr>
        <w:t>Post-SR quantitative evidence</w:t>
      </w:r>
      <w:r w:rsidRPr="00BA6EE6">
        <w:t xml:space="preserve"> includes a university-based post-compulsory training programme (Spain) in which 52.8% of graduates were employed at two-year follow-up; employment and retention were associated with higher employability competency scores, particularly job-specific skills (Berástegui et al., 2024).</w:t>
      </w:r>
    </w:p>
    <w:p w14:paraId="48916935" w14:textId="77777777" w:rsidR="00D0002F" w:rsidRPr="00BA6EE6" w:rsidRDefault="00D0002F" w:rsidP="00246F62">
      <w:pPr>
        <w:pStyle w:val="ListBullet"/>
      </w:pPr>
      <w:r w:rsidRPr="00BA6EE6">
        <w:rPr>
          <w:b/>
          <w:bCs/>
        </w:rPr>
        <w:lastRenderedPageBreak/>
        <w:t>One vocational training centre follow-up study (Brazil)</w:t>
      </w:r>
      <w:r w:rsidRPr="00BA6EE6">
        <w:t xml:space="preserve"> reported that participants remained employed at 12 months, alongside a reduction in measured support needs across multiple functional domains </w:t>
      </w:r>
      <w:r w:rsidRPr="00BA6EE6">
        <w:fldChar w:fldCharType="begin"/>
      </w:r>
      <w:r w:rsidRPr="00BA6EE6">
        <w:instrText xml:space="preserve"> ADDIN EN.CITE &lt;EndNote&gt;&lt;Cite&gt;&lt;Author&gt;Gomes-Machado&lt;/Author&gt;&lt;Year&gt;2016&lt;/Year&gt;&lt;RecNum&gt;184&lt;/RecNum&gt;&lt;DisplayText&gt;(Gomes-Machado et al., 2016)&lt;/DisplayText&gt;&lt;record&gt;&lt;rec-number&gt;184&lt;/rec-number&gt;&lt;foreign-keys&gt;&lt;key app="EN" db-id="9r0xdszvkxpd0qee99svpwt7tdv9zzed5z2f" timestamp="1769687628"&gt;184&lt;/key&gt;&lt;/foreign-keys&gt;&lt;ref-type name="Journal Article"&gt;17&lt;/ref-type&gt;&lt;contributors&gt;&lt;authors&gt;&lt;author&gt;Gomes-Machado, Maria Luiza&lt;/author&gt;&lt;author&gt;Santos, Flavia Heloisa&lt;/author&gt;&lt;author&gt;Schoen, Teresa&lt;/author&gt;&lt;author&gt;Chiari, Brasilia&lt;/author&gt;&lt;/authors&gt;&lt;/contributors&gt;&lt;titles&gt;&lt;title&gt;Effects of Vocational Training on a Group of People with Intellectual Disabilities&lt;/title&gt;&lt;secondary-title&gt;Journal of Policy and Practice in Intellectual Disabilities&lt;/secondary-title&gt;&lt;/titles&gt;&lt;periodical&gt;&lt;full-title&gt;Journal of Policy and Practice in Intellectual Disabilities&lt;/full-title&gt;&lt;/periodical&gt;&lt;pages&gt;33-40&lt;/pages&gt;&lt;volume&gt;13&lt;/volume&gt;&lt;number&gt;1&lt;/number&gt;&lt;dates&gt;&lt;year&gt;2016&lt;/year&gt;&lt;/dates&gt;&lt;isbn&gt;1741-1122&lt;/isbn&gt;&lt;urls&gt;&lt;related-urls&gt;&lt;url&gt;https://onlinelibrary.wiley.com/doi/abs/10.1111/jppi.12144&lt;/url&gt;&lt;/related-urls&gt;&lt;/urls&gt;&lt;electronic-resource-num&gt;https://doi.org/10.1111/jppi.12144&lt;/electronic-resource-num&gt;&lt;/record&gt;&lt;/Cite&gt;&lt;/EndNote&gt;</w:instrText>
      </w:r>
      <w:r w:rsidRPr="00BA6EE6">
        <w:fldChar w:fldCharType="separate"/>
      </w:r>
      <w:r w:rsidRPr="00BA6EE6">
        <w:t>(Gomes-Machado et al., 2016)</w:t>
      </w:r>
      <w:r w:rsidRPr="00BA6EE6">
        <w:fldChar w:fldCharType="end"/>
      </w:r>
      <w:r w:rsidRPr="00BA6EE6">
        <w:t>.</w:t>
      </w:r>
    </w:p>
    <w:p w14:paraId="0D7DED53" w14:textId="77777777" w:rsidR="00D0002F" w:rsidRPr="00EC543F" w:rsidRDefault="00D0002F" w:rsidP="00D0002F">
      <w:pPr>
        <w:rPr>
          <w:b/>
          <w:bCs/>
        </w:rPr>
      </w:pPr>
      <w:r w:rsidRPr="00EC543F">
        <w:rPr>
          <w:b/>
          <w:bCs/>
        </w:rPr>
        <w:t>Durability/tenure</w:t>
      </w:r>
    </w:p>
    <w:p w14:paraId="33063F2D" w14:textId="77777777" w:rsidR="00D0002F" w:rsidRPr="00BA6EE6" w:rsidRDefault="00D0002F" w:rsidP="00246F62">
      <w:pPr>
        <w:pStyle w:val="ListBullet"/>
      </w:pPr>
      <w:r w:rsidRPr="00BA6EE6">
        <w:rPr>
          <w:b/>
          <w:bCs/>
        </w:rPr>
        <w:t>Across SRs</w:t>
      </w:r>
      <w:r w:rsidRPr="00BA6EE6">
        <w:t xml:space="preserve">, durability outcomes are less consistently reported than attainment, with limited longer-term follow-up for many transition programmes (e.g., </w:t>
      </w:r>
      <w:r w:rsidRPr="00BA6EE6">
        <w:fldChar w:fldCharType="begin">
          <w:fldData xml:space="preserve">PEVuZE5vdGU+PENpdGUgQXV0aG9yWWVhcj0iMSI+PEF1dGhvcj5UYXVibmVyPC9BdXRob3I+PFll
YXI+MjAyMjwvWWVhcj48UmVjTnVtPjE0NzwvUmVjTnVtPjxEaXNwbGF5VGV4dD5UYXVibmVyLCBU
aWRlbWFuIGFuZCBTdGFsYW5kIE55bWFuICgyMDIyKTwvRGlzcGxheVRleHQ+PHJlY29yZD48cmVj
LW51bWJlcj4xNDc8L3JlYy1udW1iZXI+PGZvcmVpZ24ta2V5cz48a2V5IGFwcD0iRU4iIGRiLWlk
PSI5cjB4ZHN6dmt4cGQwcWVlOTlzdnB3dDd0ZHY5enplZDV6MmYiIHRpbWVzdGFtcD0iMTc2OTY3
MjU0MyI+MTQ3PC9rZXk+PC9mb3JlaWduLWtleXM+PHJlZi10eXBlIG5hbWU9IkpvdXJuYWwgQXJ0
aWNsZSI+MTc8L3JlZi10eXBlPjxjb250cmlidXRvcnM+PGF1dGhvcnM+PGF1dGhvcj5UYXVibmVy
LCBIZWxlbmE8L2F1dGhvcj48YXV0aG9yPlRpZGVtYW4sIE1hZ251czwvYXV0aG9yPjxhdXRob3I+
U3RhbGFuZCBOeW1hbiwgQ2FyaW48L2F1dGhvcj48L2F1dGhvcnM+PC9jb250cmlidXRvcnM+PHRp
dGxlcz48dGl0bGU+RW1wbG95bWVudCBTdXN0YWluYWJpbGl0eSBmb3IgUGVvcGxlIHdpdGggSW50
ZWxsZWN0dWFsIERpc2FiaWxpdHk6IEEgU3lzdGVtYXRpYyBSZXZpZXc8L3RpdGxlPjxzZWNvbmRh
cnktdGl0bGU+Sm91cm5hbCBvZiBPY2N1cGF0aW9uYWwgUmVoYWJpbGl0YXRpb248L3NlY29uZGFy
eS10aXRsZT48L3RpdGxlcz48cGVyaW9kaWNhbD48ZnVsbC10aXRsZT5Kb3VybmFsIG9mIE9jY3Vw
YXRpb25hbCBSZWhhYmlsaXRhdGlvbjwvZnVsbC10aXRsZT48L3BlcmlvZGljYWw+PHBhZ2VzPjM1
My0zNjQ8L3BhZ2VzPjx2b2x1bWU+MzI8L3ZvbHVtZT48bnVtYmVyPjM8L251bWJlcj48ZGF0ZXM+
PHllYXI+MjAyMjwveWVhcj48cHViLWRhdGVzPjxkYXRlPjIwMjIvMDkvMDE8L2RhdGU+PC9wdWIt
ZGF0ZXM+PC9kYXRlcz48aXNibj4xNTczLTM2ODg8L2lzYm4+PHVybHM+PHJlbGF0ZWQtdXJscz48
dXJsPmh0dHBzOi8vZG9pLm9yZy8xMC4xMDA3L3MxMDkyNi0wMjEtMTAwMjAtOTwvdXJsPjwvcmVs
YXRlZC11cmxzPjwvdXJscz48ZWxlY3Ryb25pYy1yZXNvdXJjZS1udW0+MTAuMTAwNy9zMTA5MjYt
MDIxLTEwMDIwLTk8L2VsZWN0cm9uaWMtcmVzb3VyY2UtbnVtPjwvcmVjb3JkPjwvQ2l0ZT48Q2l0
ZT48QXV0aG9yPlRhdWJuZXI8L0F1dGhvcj48WWVhcj4yMDIyPC9ZZWFyPjxSZWNOdW0+MTQ3PC9S
ZWNOdW0+PHJlY29yZD48cmVjLW51bWJlcj4xNDc8L3JlYy1udW1iZXI+PGZvcmVpZ24ta2V5cz48
a2V5IGFwcD0iRU4iIGRiLWlkPSI5cjB4ZHN6dmt4cGQwcWVlOTlzdnB3dDd0ZHY5enplZDV6MmYi
IHRpbWVzdGFtcD0iMTc2OTY3MjU0MyI+MTQ3PC9rZXk+PC9mb3JlaWduLWtleXM+PHJlZi10eXBl
IG5hbWU9IkpvdXJuYWwgQXJ0aWNsZSI+MTc8L3JlZi10eXBlPjxjb250cmlidXRvcnM+PGF1dGhv
cnM+PGF1dGhvcj5UYXVibmVyLCBIZWxlbmE8L2F1dGhvcj48YXV0aG9yPlRpZGVtYW4sIE1hZ251
czwvYXV0aG9yPjxhdXRob3I+U3RhbGFuZCBOeW1hbiwgQ2FyaW48L2F1dGhvcj48L2F1dGhvcnM+
PC9jb250cmlidXRvcnM+PHRpdGxlcz48dGl0bGU+RW1wbG95bWVudCBTdXN0YWluYWJpbGl0eSBm
b3IgUGVvcGxlIHdpdGggSW50ZWxsZWN0dWFsIERpc2FiaWxpdHk6IEEgU3lzdGVtYXRpYyBSZXZp
ZXc8L3RpdGxlPjxzZWNvbmRhcnktdGl0bGU+Sm91cm5hbCBvZiBPY2N1cGF0aW9uYWwgUmVoYWJp
bGl0YXRpb248L3NlY29uZGFyeS10aXRsZT48L3RpdGxlcz48cGVyaW9kaWNhbD48ZnVsbC10aXRs
ZT5Kb3VybmFsIG9mIE9jY3VwYXRpb25hbCBSZWhhYmlsaXRhdGlvbjwvZnVsbC10aXRsZT48L3Bl
cmlvZGljYWw+PHBhZ2VzPjM1My0zNjQ8L3BhZ2VzPjx2b2x1bWU+MzI8L3ZvbHVtZT48bnVtYmVy
PjM8L251bWJlcj48ZGF0ZXM+PHllYXI+MjAyMjwveWVhcj48cHViLWRhdGVzPjxkYXRlPjIwMjIv
MDkvMDE8L2RhdGU+PC9wdWItZGF0ZXM+PC9kYXRlcz48aXNibj4xNTczLTM2ODg8L2lzYm4+PHVy
bHM+PHJlbGF0ZWQtdXJscz48dXJsPmh0dHBzOi8vZG9pLm9yZy8xMC4xMDA3L3MxMDkyNi0wMjEt
MTAwMjAtOTwvdXJsPjwvcmVsYXRlZC11cmxzPjwvdXJscz48ZWxlY3Ryb25pYy1yZXNvdXJjZS1u
dW0+MTAuMTAwNy9zMTA5MjYtMDIxLTEwMDIwLTk8L2VsZWN0cm9uaWMtcmVzb3VyY2UtbnVtPjwv
cmVjb3JkPjwvQ2l0ZT48L0VuZE5vdGU+
</w:fldData>
        </w:fldChar>
      </w:r>
      <w:r w:rsidRPr="00BA6EE6">
        <w:instrText xml:space="preserve"> ADDIN EN.CITE </w:instrText>
      </w:r>
      <w:r w:rsidRPr="00BA6EE6">
        <w:fldChar w:fldCharType="begin">
          <w:fldData xml:space="preserve">PEVuZE5vdGU+PENpdGUgQXV0aG9yWWVhcj0iMSI+PEF1dGhvcj5UYXVibmVyPC9BdXRob3I+PFll
YXI+MjAyMjwvWWVhcj48UmVjTnVtPjE0NzwvUmVjTnVtPjxEaXNwbGF5VGV4dD5UYXVibmVyLCBU
aWRlbWFuIGFuZCBTdGFsYW5kIE55bWFuICgyMDIyKTwvRGlzcGxheVRleHQ+PHJlY29yZD48cmVj
LW51bWJlcj4xNDc8L3JlYy1udW1iZXI+PGZvcmVpZ24ta2V5cz48a2V5IGFwcD0iRU4iIGRiLWlk
PSI5cjB4ZHN6dmt4cGQwcWVlOTlzdnB3dDd0ZHY5enplZDV6MmYiIHRpbWVzdGFtcD0iMTc2OTY3
MjU0MyI+MTQ3PC9rZXk+PC9mb3JlaWduLWtleXM+PHJlZi10eXBlIG5hbWU9IkpvdXJuYWwgQXJ0
aWNsZSI+MTc8L3JlZi10eXBlPjxjb250cmlidXRvcnM+PGF1dGhvcnM+PGF1dGhvcj5UYXVibmVy
LCBIZWxlbmE8L2F1dGhvcj48YXV0aG9yPlRpZGVtYW4sIE1hZ251czwvYXV0aG9yPjxhdXRob3I+
U3RhbGFuZCBOeW1hbiwgQ2FyaW48L2F1dGhvcj48L2F1dGhvcnM+PC9jb250cmlidXRvcnM+PHRp
dGxlcz48dGl0bGU+RW1wbG95bWVudCBTdXN0YWluYWJpbGl0eSBmb3IgUGVvcGxlIHdpdGggSW50
ZWxsZWN0dWFsIERpc2FiaWxpdHk6IEEgU3lzdGVtYXRpYyBSZXZpZXc8L3RpdGxlPjxzZWNvbmRh
cnktdGl0bGU+Sm91cm5hbCBvZiBPY2N1cGF0aW9uYWwgUmVoYWJpbGl0YXRpb248L3NlY29uZGFy
eS10aXRsZT48L3RpdGxlcz48cGVyaW9kaWNhbD48ZnVsbC10aXRsZT5Kb3VybmFsIG9mIE9jY3Vw
YXRpb25hbCBSZWhhYmlsaXRhdGlvbjwvZnVsbC10aXRsZT48L3BlcmlvZGljYWw+PHBhZ2VzPjM1
My0zNjQ8L3BhZ2VzPjx2b2x1bWU+MzI8L3ZvbHVtZT48bnVtYmVyPjM8L251bWJlcj48ZGF0ZXM+
PHllYXI+MjAyMjwveWVhcj48cHViLWRhdGVzPjxkYXRlPjIwMjIvMDkvMDE8L2RhdGU+PC9wdWIt
ZGF0ZXM+PC9kYXRlcz48aXNibj4xNTczLTM2ODg8L2lzYm4+PHVybHM+PHJlbGF0ZWQtdXJscz48
dXJsPmh0dHBzOi8vZG9pLm9yZy8xMC4xMDA3L3MxMDkyNi0wMjEtMTAwMjAtOTwvdXJsPjwvcmVs
YXRlZC11cmxzPjwvdXJscz48ZWxlY3Ryb25pYy1yZXNvdXJjZS1udW0+MTAuMTAwNy9zMTA5MjYt
MDIxLTEwMDIwLTk8L2VsZWN0cm9uaWMtcmVzb3VyY2UtbnVtPjwvcmVjb3JkPjwvQ2l0ZT48Q2l0
ZT48QXV0aG9yPlRhdWJuZXI8L0F1dGhvcj48WWVhcj4yMDIyPC9ZZWFyPjxSZWNOdW0+MTQ3PC9S
ZWNOdW0+PHJlY29yZD48cmVjLW51bWJlcj4xNDc8L3JlYy1udW1iZXI+PGZvcmVpZ24ta2V5cz48
a2V5IGFwcD0iRU4iIGRiLWlkPSI5cjB4ZHN6dmt4cGQwcWVlOTlzdnB3dDd0ZHY5enplZDV6MmYi
IHRpbWVzdGFtcD0iMTc2OTY3MjU0MyI+MTQ3PC9rZXk+PC9mb3JlaWduLWtleXM+PHJlZi10eXBl
IG5hbWU9IkpvdXJuYWwgQXJ0aWNsZSI+MTc8L3JlZi10eXBlPjxjb250cmlidXRvcnM+PGF1dGhv
cnM+PGF1dGhvcj5UYXVibmVyLCBIZWxlbmE8L2F1dGhvcj48YXV0aG9yPlRpZGVtYW4sIE1hZ251
czwvYXV0aG9yPjxhdXRob3I+U3RhbGFuZCBOeW1hbiwgQ2FyaW48L2F1dGhvcj48L2F1dGhvcnM+
PC9jb250cmlidXRvcnM+PHRpdGxlcz48dGl0bGU+RW1wbG95bWVudCBTdXN0YWluYWJpbGl0eSBm
b3IgUGVvcGxlIHdpdGggSW50ZWxsZWN0dWFsIERpc2FiaWxpdHk6IEEgU3lzdGVtYXRpYyBSZXZp
ZXc8L3RpdGxlPjxzZWNvbmRhcnktdGl0bGU+Sm91cm5hbCBvZiBPY2N1cGF0aW9uYWwgUmVoYWJp
bGl0YXRpb248L3NlY29uZGFyeS10aXRsZT48L3RpdGxlcz48cGVyaW9kaWNhbD48ZnVsbC10aXRs
ZT5Kb3VybmFsIG9mIE9jY3VwYXRpb25hbCBSZWhhYmlsaXRhdGlvbjwvZnVsbC10aXRsZT48L3Bl
cmlvZGljYWw+PHBhZ2VzPjM1My0zNjQ8L3BhZ2VzPjx2b2x1bWU+MzI8L3ZvbHVtZT48bnVtYmVy
PjM8L251bWJlcj48ZGF0ZXM+PHllYXI+MjAyMjwveWVhcj48cHViLWRhdGVzPjxkYXRlPjIwMjIv
MDkvMDE8L2RhdGU+PC9wdWItZGF0ZXM+PC9kYXRlcz48aXNibj4xNTczLTM2ODg8L2lzYm4+PHVy
bHM+PHJlbGF0ZWQtdXJscz48dXJsPmh0dHBzOi8vZG9pLm9yZy8xMC4xMDA3L3MxMDkyNi0wMjEt
MTAwMjAtOTwvdXJsPjwvcmVsYXRlZC11cmxzPjwvdXJscz48ZWxlY3Ryb25pYy1yZXNvdXJjZS1u
dW0+MTAuMTAwNy9zMTA5MjYtMDIxLTEwMDIwLTk8L2VsZWN0cm9uaWMtcmVzb3VyY2UtbnVtPjwv
cmVjb3JkPjwvQ2l0ZT48L0VuZE5vdGU+
</w:fldData>
        </w:fldChar>
      </w:r>
      <w:r w:rsidRPr="00BA6EE6">
        <w:instrText xml:space="preserve"> ADDIN EN.CITE.DATA </w:instrText>
      </w:r>
      <w:r w:rsidRPr="00BA6EE6">
        <w:fldChar w:fldCharType="end"/>
      </w:r>
      <w:r w:rsidRPr="00BA6EE6">
        <w:fldChar w:fldCharType="separate"/>
      </w:r>
      <w:r w:rsidRPr="00BA6EE6">
        <w:t>Taubner, Tideman and Staland Nyman (2022)</w:t>
      </w:r>
      <w:r w:rsidRPr="00BA6EE6">
        <w:fldChar w:fldCharType="end"/>
      </w:r>
      <w:r w:rsidRPr="00BA6EE6">
        <w:t>; Enticott &amp; Dew, 2025).</w:t>
      </w:r>
    </w:p>
    <w:p w14:paraId="11B279C4" w14:textId="77777777" w:rsidR="00D0002F" w:rsidRPr="00BA6EE6" w:rsidRDefault="00D0002F" w:rsidP="00246F62">
      <w:pPr>
        <w:pStyle w:val="ListBullet"/>
      </w:pPr>
      <w:r w:rsidRPr="00BA6EE6">
        <w:rPr>
          <w:b/>
          <w:bCs/>
        </w:rPr>
        <w:t>Where reported in Post-SR jobseeker capability studies</w:t>
      </w:r>
      <w:r w:rsidRPr="00BA6EE6">
        <w:t>, durability is typically inferred via employment status at follow</w:t>
      </w:r>
      <w:r w:rsidRPr="00BA6EE6">
        <w:rPr>
          <w:rFonts w:ascii="Cambria Math" w:hAnsi="Cambria Math" w:cs="Cambria Math"/>
        </w:rPr>
        <w:t>‑</w:t>
      </w:r>
      <w:r w:rsidRPr="00BA6EE6">
        <w:t>up rather than detailed tenure metrics (e.g., Gomes-Machado et al., 2016).</w:t>
      </w:r>
    </w:p>
    <w:p w14:paraId="06F61492" w14:textId="77777777" w:rsidR="00D0002F" w:rsidRPr="00EC543F" w:rsidRDefault="00D0002F" w:rsidP="00D0002F">
      <w:pPr>
        <w:rPr>
          <w:b/>
          <w:bCs/>
        </w:rPr>
      </w:pPr>
      <w:r w:rsidRPr="00EC543F">
        <w:rPr>
          <w:b/>
          <w:bCs/>
        </w:rPr>
        <w:t>Job quality</w:t>
      </w:r>
    </w:p>
    <w:p w14:paraId="297FD9A4" w14:textId="77777777" w:rsidR="00D0002F" w:rsidRPr="00BA6EE6" w:rsidRDefault="00D0002F" w:rsidP="00EC543F">
      <w:pPr>
        <w:pStyle w:val="ListBullet"/>
      </w:pPr>
      <w:r w:rsidRPr="00BA6EE6">
        <w:rPr>
          <w:b/>
          <w:bCs/>
        </w:rPr>
        <w:t>SRs comparing competitive integrated employment to segregated settings</w:t>
      </w:r>
      <w:r w:rsidRPr="00BA6EE6">
        <w:t xml:space="preserve"> indicate that participation in competitive employment is generally associated with improved economic outcomes (wages/hours) and a range of psychosocial outcomes (e.g., wellbeing, autonomy and self</w:t>
      </w:r>
      <w:r>
        <w:t>-</w:t>
      </w:r>
      <w:r w:rsidRPr="00BA6EE6">
        <w:t xml:space="preserve">determination), though definitions and measures of job quality vary considerably (e.g., </w:t>
      </w:r>
      <w:r w:rsidRPr="00BA6EE6">
        <w:fldChar w:fldCharType="begin">
          <w:fldData xml:space="preserve">PEVuZE5vdGU+PENpdGUgQXV0aG9yWWVhcj0iMSI+PEF1dGhvcj5UYXlsb3I8L0F1dGhvcj48WWVh
cj4yMDIyPC9ZZWFyPjxSZWNOdW0+MTQ1PC9SZWNOdW0+PERpc3BsYXlUZXh0PlRheWxvciBldCBh
bC4gKDIwMjIpPC9EaXNwbGF5VGV4dD48cmVjb3JkPjxyZWMtbnVtYmVyPjE0NTwvcmVjLW51bWJl
cj48Zm9yZWlnbi1rZXlzPjxrZXkgYXBwPSJFTiIgZGItaWQ9IjlyMHhkc3p2a3hwZDBxZWU5OXN2
cHd0N3Rkdjl6emVkNXoyZiIgdGltZXN0YW1wPSIxNzY5NjcyNTI5Ij4xNDU8L2tleT48L2ZvcmVp
Z24ta2V5cz48cmVmLXR5cGUgbmFtZT0iSm91cm5hbCBBcnRpY2xlIj4xNzwvcmVmLXR5cGU+PGNv
bnRyaWJ1dG9ycz48YXV0aG9ycz48YXV0aG9yPlRheWxvciwgSi48L2F1dGhvcj48YXV0aG9yPkF2
ZWxsb25lLCBMLjwvYXV0aG9yPjxhdXRob3I+QnJvb2tlLCBWLjwvYXV0aG9yPjxhdXRob3I+V2Vo
bWFuLCBQLjwvYXV0aG9yPjxhdXRob3I+SW5nZSwgSy48L2F1dGhvcj48YXV0aG9yPlNjaGFsbCwg
Qy48L2F1dGhvcj48YXV0aG9yPkl3YW5hZ2EsIEsuPC9hdXRob3I+PC9hdXRob3JzPjwvY29udHJp
YnV0b3JzPjxhdXRoLWFkZHJlc3M+Q29sbGVnZSBvZiBFZHVjYXRpb24gYW5kIEh1bWFuIERldmVs
b3BtZW50LCBUaGUgVW5pdmVyc2l0eSBvZiBNYWluZSwgT3Jvbm8sIE1haW5lLCBVU0EuJiN4RDtS
ZWhhYmlsaXRhdGlvbiBSZXNlYXJjaCAmYW1wOyBUcmFpbmluZyBDZW50ZXIsIFZpcmdpbmlhIENv
bW1vbndlYWx0aCBVbml2ZXJzaXR5LCBSaWNobW9uZCwgVmlyZ2luaWEsIFVTQS4mI3hEO0RlcGFy
dG1lbnQgb2YgUmVoYWJpbGl0YXRpb24gQ291bnNlbGluZywgQ29sbGVnZSBvZiBIZWFsdGggUHJv
ZmVzc2lvbnMsIFZpcmdpbmlhIENvbW1vbndlYWx0aCBVbml2ZXJzaXR5LCBSaWNobW9uZCwgVmly
Z2luaWEsIFVTQS48L2F1dGgtYWRkcmVzcz48dGl0bGVzPjx0aXRsZT5UaGUgaW1wYWN0IG9mIGNv
bXBldGl0aXZlIGludGVncmF0ZWQgZW1wbG95bWVudCBvbiBlY29ub21pYywgcHN5Y2hvbG9naWNh
bCwgYW5kIHBoeXNpY2FsIGhlYWx0aCBvdXRjb21lcyBmb3IgaW5kaXZpZHVhbHMgd2l0aCBpbnRl
bGxlY3R1YWwgYW5kIGRldmVsb3BtZW50YWwgZGlzYWJpbGl0aWVzPC90aXRsZT48c2Vjb25kYXJ5
LXRpdGxlPkogQXBwbCBSZXMgSW50ZWxsZWN0IERpc2FiaWw8L3NlY29uZGFyeS10aXRsZT48L3Rp
dGxlcz48cGVyaW9kaWNhbD48ZnVsbC10aXRsZT5KIEFwcGwgUmVzIEludGVsbGVjdCBEaXNhYmls
PC9mdWxsLXRpdGxlPjwvcGVyaW9kaWNhbD48cGFnZXM+NDQ4LTQ1OTwvcGFnZXM+PHZvbHVtZT4z
NTwvdm9sdW1lPjxudW1iZXI+MjwvbnVtYmVyPjxlZGl0aW9uPjIwMjIwMTA2PC9lZGl0aW9uPjxr
ZXl3b3Jkcz48a2V5d29yZD5DaGlsZDwva2V5d29yZD48a2V5d29yZD5EZWxpdmVyeSBvZiBIZWFs
dGggQ2FyZTwva2V5d29yZD48a2V5d29yZD4qRGV2ZWxvcG1lbnRhbCBEaXNhYmlsaXRpZXM8L2tl
eXdvcmQ+PGtleXdvcmQ+RW1wbG95bWVudDwva2V5d29yZD48a2V5d29yZD5IdW1hbnM8L2tleXdv
cmQ+PGtleXdvcmQ+KkludGVsbGVjdHVhbCBEaXNhYmlsaXR5PC9rZXl3b3JkPjxrZXl3b3JkPk91
dGNvbWUgQXNzZXNzbWVudCwgSGVhbHRoIENhcmU8L2tleXdvcmQ+PGtleXdvcmQ+ZWNvbm9taWNz
PC9rZXl3b3JkPjxrZXl3b3JkPmludGVsbGVjdHVhbCBhbmQgZGV2ZWxvcG1lbnRhbCBkaXNhYmls
aXRpZXM8L2tleXdvcmQ+PGtleXdvcmQ+cGh5c2ljYWwgaGVhbHRoPC9rZXl3b3JkPjxrZXl3b3Jk
PnBzeWNob2xvZ2ljYWwgaGVhbHRoPC9rZXl3b3JkPjwva2V5d29yZHM+PGRhdGVzPjx5ZWFyPjIw
MjI8L3llYXI+PHB1Yi1kYXRlcz48ZGF0ZT5NYXI8L2RhdGU+PC9wdWItZGF0ZXM+PC9kYXRlcz48
aXNibj4xMzYwLTIzMjI8L2lzYm4+PGFjY2Vzc2lvbi1udW0+MzQ5OTQwMzU8L2FjY2Vzc2lvbi1u
dW0+PHVybHM+PC91cmxzPjxlbGVjdHJvbmljLXJlc291cmNlLW51bT4xMC4xMTExL2phci4xMjk3
NDwvZWxlY3Ryb25pYy1yZXNvdXJjZS1udW0+PHJlbW90ZS1kYXRhYmFzZS1wcm92aWRlcj5OTE08
L3JlbW90ZS1kYXRhYmFzZS1wcm92aWRlcj48bGFuZ3VhZ2U+ZW5nPC9sYW5ndWFnZT48L3JlY29y
ZD48L0NpdGU+PC9FbmROb3RlPn==
</w:fldData>
        </w:fldChar>
      </w:r>
      <w:r w:rsidRPr="00BA6EE6">
        <w:instrText xml:space="preserve"> ADDIN EN.CITE </w:instrText>
      </w:r>
      <w:r w:rsidRPr="00BA6EE6">
        <w:fldChar w:fldCharType="begin">
          <w:fldData xml:space="preserve">PEVuZE5vdGU+PENpdGUgQXV0aG9yWWVhcj0iMSI+PEF1dGhvcj5UYXlsb3I8L0F1dGhvcj48WWVh
cj4yMDIyPC9ZZWFyPjxSZWNOdW0+MTQ1PC9SZWNOdW0+PERpc3BsYXlUZXh0PlRheWxvciBldCBh
bC4gKDIwMjIpPC9EaXNwbGF5VGV4dD48cmVjb3JkPjxyZWMtbnVtYmVyPjE0NTwvcmVjLW51bWJl
cj48Zm9yZWlnbi1rZXlzPjxrZXkgYXBwPSJFTiIgZGItaWQ9IjlyMHhkc3p2a3hwZDBxZWU5OXN2
cHd0N3Rkdjl6emVkNXoyZiIgdGltZXN0YW1wPSIxNzY5NjcyNTI5Ij4xNDU8L2tleT48L2ZvcmVp
Z24ta2V5cz48cmVmLXR5cGUgbmFtZT0iSm91cm5hbCBBcnRpY2xlIj4xNzwvcmVmLXR5cGU+PGNv
bnRyaWJ1dG9ycz48YXV0aG9ycz48YXV0aG9yPlRheWxvciwgSi48L2F1dGhvcj48YXV0aG9yPkF2
ZWxsb25lLCBMLjwvYXV0aG9yPjxhdXRob3I+QnJvb2tlLCBWLjwvYXV0aG9yPjxhdXRob3I+V2Vo
bWFuLCBQLjwvYXV0aG9yPjxhdXRob3I+SW5nZSwgSy48L2F1dGhvcj48YXV0aG9yPlNjaGFsbCwg
Qy48L2F1dGhvcj48YXV0aG9yPkl3YW5hZ2EsIEsuPC9hdXRob3I+PC9hdXRob3JzPjwvY29udHJp
YnV0b3JzPjxhdXRoLWFkZHJlc3M+Q29sbGVnZSBvZiBFZHVjYXRpb24gYW5kIEh1bWFuIERldmVs
b3BtZW50LCBUaGUgVW5pdmVyc2l0eSBvZiBNYWluZSwgT3Jvbm8sIE1haW5lLCBVU0EuJiN4RDtS
ZWhhYmlsaXRhdGlvbiBSZXNlYXJjaCAmYW1wOyBUcmFpbmluZyBDZW50ZXIsIFZpcmdpbmlhIENv
bW1vbndlYWx0aCBVbml2ZXJzaXR5LCBSaWNobW9uZCwgVmlyZ2luaWEsIFVTQS4mI3hEO0RlcGFy
dG1lbnQgb2YgUmVoYWJpbGl0YXRpb24gQ291bnNlbGluZywgQ29sbGVnZSBvZiBIZWFsdGggUHJv
ZmVzc2lvbnMsIFZpcmdpbmlhIENvbW1vbndlYWx0aCBVbml2ZXJzaXR5LCBSaWNobW9uZCwgVmly
Z2luaWEsIFVTQS48L2F1dGgtYWRkcmVzcz48dGl0bGVzPjx0aXRsZT5UaGUgaW1wYWN0IG9mIGNv
bXBldGl0aXZlIGludGVncmF0ZWQgZW1wbG95bWVudCBvbiBlY29ub21pYywgcHN5Y2hvbG9naWNh
bCwgYW5kIHBoeXNpY2FsIGhlYWx0aCBvdXRjb21lcyBmb3IgaW5kaXZpZHVhbHMgd2l0aCBpbnRl
bGxlY3R1YWwgYW5kIGRldmVsb3BtZW50YWwgZGlzYWJpbGl0aWVzPC90aXRsZT48c2Vjb25kYXJ5
LXRpdGxlPkogQXBwbCBSZXMgSW50ZWxsZWN0IERpc2FiaWw8L3NlY29uZGFyeS10aXRsZT48L3Rp
dGxlcz48cGVyaW9kaWNhbD48ZnVsbC10aXRsZT5KIEFwcGwgUmVzIEludGVsbGVjdCBEaXNhYmls
PC9mdWxsLXRpdGxlPjwvcGVyaW9kaWNhbD48cGFnZXM+NDQ4LTQ1OTwvcGFnZXM+PHZvbHVtZT4z
NTwvdm9sdW1lPjxudW1iZXI+MjwvbnVtYmVyPjxlZGl0aW9uPjIwMjIwMTA2PC9lZGl0aW9uPjxr
ZXl3b3Jkcz48a2V5d29yZD5DaGlsZDwva2V5d29yZD48a2V5d29yZD5EZWxpdmVyeSBvZiBIZWFs
dGggQ2FyZTwva2V5d29yZD48a2V5d29yZD4qRGV2ZWxvcG1lbnRhbCBEaXNhYmlsaXRpZXM8L2tl
eXdvcmQ+PGtleXdvcmQ+RW1wbG95bWVudDwva2V5d29yZD48a2V5d29yZD5IdW1hbnM8L2tleXdv
cmQ+PGtleXdvcmQ+KkludGVsbGVjdHVhbCBEaXNhYmlsaXR5PC9rZXl3b3JkPjxrZXl3b3JkPk91
dGNvbWUgQXNzZXNzbWVudCwgSGVhbHRoIENhcmU8L2tleXdvcmQ+PGtleXdvcmQ+ZWNvbm9taWNz
PC9rZXl3b3JkPjxrZXl3b3JkPmludGVsbGVjdHVhbCBhbmQgZGV2ZWxvcG1lbnRhbCBkaXNhYmls
aXRpZXM8L2tleXdvcmQ+PGtleXdvcmQ+cGh5c2ljYWwgaGVhbHRoPC9rZXl3b3JkPjxrZXl3b3Jk
PnBzeWNob2xvZ2ljYWwgaGVhbHRoPC9rZXl3b3JkPjwva2V5d29yZHM+PGRhdGVzPjx5ZWFyPjIw
MjI8L3llYXI+PHB1Yi1kYXRlcz48ZGF0ZT5NYXI8L2RhdGU+PC9wdWItZGF0ZXM+PC9kYXRlcz48
aXNibj4xMzYwLTIzMjI8L2lzYm4+PGFjY2Vzc2lvbi1udW0+MzQ5OTQwMzU8L2FjY2Vzc2lvbi1u
dW0+PHVybHM+PC91cmxzPjxlbGVjdHJvbmljLXJlc291cmNlLW51bT4xMC4xMTExL2phci4xMjk3
NDwvZWxlY3Ryb25pYy1yZXNvdXJjZS1udW0+PHJlbW90ZS1kYXRhYmFzZS1wcm92aWRlcj5OTE08
L3JlbW90ZS1kYXRhYmFzZS1wcm92aWRlcj48bGFuZ3VhZ2U+ZW5nPC9sYW5ndWFnZT48L3JlY29y
ZD48L0NpdGU+PC9FbmROb3RlPn==
</w:fldData>
        </w:fldChar>
      </w:r>
      <w:r w:rsidRPr="00BA6EE6">
        <w:instrText xml:space="preserve"> ADDIN EN.CITE.DATA </w:instrText>
      </w:r>
      <w:r w:rsidRPr="00BA6EE6">
        <w:fldChar w:fldCharType="end"/>
      </w:r>
      <w:r w:rsidRPr="00BA6EE6">
        <w:fldChar w:fldCharType="separate"/>
      </w:r>
      <w:r w:rsidRPr="00BA6EE6">
        <w:t>Taylor et al. (2022)</w:t>
      </w:r>
      <w:r w:rsidRPr="00BA6EE6">
        <w:fldChar w:fldCharType="end"/>
      </w:r>
      <w:r w:rsidRPr="00BA6EE6">
        <w:t xml:space="preserve">; </w:t>
      </w:r>
      <w:r w:rsidRPr="00BA6EE6">
        <w:fldChar w:fldCharType="begin"/>
      </w:r>
      <w:r w:rsidRPr="00BA6EE6">
        <w:instrText xml:space="preserve"> ADDIN EN.CITE &lt;EndNote&gt;&lt;Cite AuthorYear="1"&gt;&lt;Author&gt;Taylor&lt;/Author&gt;&lt;Year&gt;2023&lt;/Year&gt;&lt;RecNum&gt;146&lt;/RecNum&gt;&lt;DisplayText&gt;Taylor et al. (2023)&lt;/DisplayText&gt;&lt;record&gt;&lt;rec-number&gt;146&lt;/rec-number&gt;&lt;foreign-keys&gt;&lt;key app="EN" db-id="9r0xdszvkxpd0qee99svpwt7tdv9zzed5z2f" timestamp="1769672535"&gt;146&lt;/key&gt;&lt;/foreign-keys&gt;&lt;ref-type name="Journal Article"&gt;17&lt;/ref-type&gt;&lt;contributors&gt;&lt;authors&gt;&lt;author&gt;Taylor, Joshua P.&lt;/author&gt;&lt;author&gt;Avellone, Lauren&lt;/author&gt;&lt;author&gt;Wehman, Paul&lt;/author&gt;&lt;author&gt;Brooke, Valerie&lt;/author&gt;&lt;/authors&gt;&lt;/contributors&gt;&lt;titles&gt;&lt;title&gt;The efficacy of competitive integrated employment versus segregated employment for persons with disabilities: A systematic review&lt;/title&gt;&lt;secondary-title&gt;Journal of Vocational Rehabilitation&lt;/secondary-title&gt;&lt;/titles&gt;&lt;periodical&gt;&lt;full-title&gt;Journal of Vocational Rehabilitation&lt;/full-title&gt;&lt;/periodical&gt;&lt;pages&gt;63-78&lt;/pages&gt;&lt;volume&gt;58&lt;/volume&gt;&lt;number&gt;1&lt;/number&gt;&lt;keywords&gt;&lt;keyword&gt;Employment, intellectual and developmental disabilities, segregation, communityintegration, systematic review&lt;/keyword&gt;&lt;/keywords&gt;&lt;dates&gt;&lt;year&gt;2023&lt;/year&gt;&lt;/dates&gt;&lt;urls&gt;&lt;related-urls&gt;&lt;url&gt;https://journals.sagepub.com/doi/abs/10.3233/JVR-221225&lt;/url&gt;&lt;/related-urls&gt;&lt;/urls&gt;&lt;electronic-resource-num&gt;10.3233/jvr-221225&lt;/electronic-resource-num&gt;&lt;/record&gt;&lt;/Cite&gt;&lt;/EndNote&gt;</w:instrText>
      </w:r>
      <w:r w:rsidRPr="00BA6EE6">
        <w:fldChar w:fldCharType="separate"/>
      </w:r>
      <w:r w:rsidRPr="00BA6EE6">
        <w:t>Taylor et al. (2023)</w:t>
      </w:r>
      <w:r w:rsidRPr="00BA6EE6">
        <w:fldChar w:fldCharType="end"/>
      </w:r>
      <w:r w:rsidRPr="00BA6EE6">
        <w:t>.</w:t>
      </w:r>
    </w:p>
    <w:p w14:paraId="28CD2FB0" w14:textId="77777777" w:rsidR="00D0002F" w:rsidRPr="00BA6EE6" w:rsidRDefault="00D0002F" w:rsidP="00EC543F">
      <w:pPr>
        <w:pStyle w:val="ListBullet"/>
      </w:pPr>
      <w:r w:rsidRPr="00BA6EE6">
        <w:rPr>
          <w:b/>
          <w:bCs/>
        </w:rPr>
        <w:t>Post</w:t>
      </w:r>
      <w:r>
        <w:rPr>
          <w:b/>
          <w:bCs/>
        </w:rPr>
        <w:t>-</w:t>
      </w:r>
      <w:r w:rsidRPr="00BA6EE6">
        <w:rPr>
          <w:b/>
          <w:bCs/>
        </w:rPr>
        <w:t>SR evidence</w:t>
      </w:r>
      <w:r w:rsidRPr="00BA6EE6">
        <w:t xml:space="preserve"> suggests that higher employability competencies may support not only attainment but also greater stability and perceived work participation (Ber</w:t>
      </w:r>
      <w:r w:rsidRPr="00BA6EE6">
        <w:rPr>
          <w:rFonts w:ascii="Verdana" w:hAnsi="Verdana" w:cs="Verdana"/>
        </w:rPr>
        <w:t>á</w:t>
      </w:r>
      <w:r w:rsidRPr="00BA6EE6">
        <w:t>stegui et al., 2024), and that vocational training may reduce ongoing support needs (Gomes</w:t>
      </w:r>
      <w:r w:rsidRPr="00BA6EE6">
        <w:rPr>
          <w:rFonts w:ascii="Cambria Math" w:hAnsi="Cambria Math" w:cs="Cambria Math"/>
        </w:rPr>
        <w:t>‑</w:t>
      </w:r>
      <w:r w:rsidRPr="00BA6EE6">
        <w:t>Machado et al., 2016). However, worker</w:t>
      </w:r>
      <w:r>
        <w:t>-</w:t>
      </w:r>
      <w:r w:rsidRPr="00BA6EE6">
        <w:t>defined job quality (e.g., fit, inclusion, career progression) remains under</w:t>
      </w:r>
      <w:r>
        <w:t>-</w:t>
      </w:r>
      <w:r w:rsidRPr="00BA6EE6">
        <w:t>measured in quantitative studies.</w:t>
      </w:r>
    </w:p>
    <w:p w14:paraId="62AB34DF" w14:textId="77777777" w:rsidR="00D0002F" w:rsidRPr="0018252F" w:rsidRDefault="00D0002F" w:rsidP="00D0002F">
      <w:r w:rsidRPr="00BA6EE6">
        <w:rPr>
          <w:b/>
          <w:bCs/>
        </w:rPr>
        <w:t>Implications for service design and training:</w:t>
      </w:r>
      <w:r w:rsidRPr="0018252F">
        <w:t xml:space="preserve"> jobseeker</w:t>
      </w:r>
      <w:r>
        <w:t>-</w:t>
      </w:r>
      <w:r w:rsidRPr="0018252F">
        <w:t>facing supports should be designed as capability pathways that connect directly to placement and continuity supports (including benefits counselling, travel and routine training, self</w:t>
      </w:r>
      <w:r>
        <w:t>-</w:t>
      </w:r>
      <w:r w:rsidRPr="0018252F">
        <w:t>advocacy, and supports for work stamina), with explicit attention to measuring and improving durability and job quality, not only placement.</w:t>
      </w:r>
    </w:p>
    <w:p w14:paraId="5D184938" w14:textId="1B5AD0E5" w:rsidR="00D0002F" w:rsidRPr="00ED411B" w:rsidRDefault="00D0002F" w:rsidP="00EC543F">
      <w:pPr>
        <w:pStyle w:val="Numberedheading3"/>
      </w:pPr>
      <w:bookmarkStart w:id="49" w:name="_Toc231220063"/>
      <w:r w:rsidRPr="00ED411B">
        <w:t>Employer/</w:t>
      </w:r>
      <w:r>
        <w:t>w</w:t>
      </w:r>
      <w:r w:rsidRPr="00ED411B">
        <w:t>orkplace-</w:t>
      </w:r>
      <w:r>
        <w:t>f</w:t>
      </w:r>
      <w:r w:rsidRPr="00ED411B">
        <w:t xml:space="preserve">acing </w:t>
      </w:r>
      <w:r>
        <w:t>s</w:t>
      </w:r>
      <w:r w:rsidRPr="00ED411B">
        <w:t>upports</w:t>
      </w:r>
      <w:bookmarkEnd w:id="49"/>
    </w:p>
    <w:p w14:paraId="07BDCD01" w14:textId="77777777" w:rsidR="00D0002F" w:rsidRPr="0018252F" w:rsidRDefault="00D0002F" w:rsidP="00D0002F">
      <w:r w:rsidRPr="0018252F">
        <w:t>Employer/workplace</w:t>
      </w:r>
      <w:r>
        <w:t>-</w:t>
      </w:r>
      <w:r w:rsidRPr="0018252F">
        <w:t>facing supports comprise practices to shape demand</w:t>
      </w:r>
      <w:r>
        <w:t>-</w:t>
      </w:r>
      <w:r w:rsidRPr="0018252F">
        <w:t xml:space="preserve">side conditions and workplace capability (e.g., employer engagement, job analysis and redesign, onboarding supports, supervisor coaching, coworker ‘natural supports’ development, and accommodations). These supports are often evaluated as part of broader supported employment or transition models rather </w:t>
      </w:r>
      <w:r w:rsidRPr="0018252F">
        <w:lastRenderedPageBreak/>
        <w:t>than as standalone interventions. In this synthesis, employer/workplace</w:t>
      </w:r>
      <w:r>
        <w:t>-</w:t>
      </w:r>
      <w:r w:rsidRPr="0018252F">
        <w:t xml:space="preserve">facing conclusions draw primarily on the workplace supports SR </w:t>
      </w:r>
      <w:r w:rsidRPr="0018252F">
        <w:fldChar w:fldCharType="begin"/>
      </w:r>
      <w:r w:rsidRPr="0018252F">
        <w:instrText xml:space="preserve"> ADDIN EN.CITE &lt;EndNote&gt;&lt;Cite&gt;&lt;Author&gt;Carlson&lt;/Author&gt;&lt;Year&gt;2020&lt;/Year&gt;&lt;RecNum&gt;143&lt;/RecNum&gt;&lt;DisplayText&gt;(Carlson, Morningstar, &amp;amp; Munandar, 2020)&lt;/DisplayText&gt;&lt;record&gt;&lt;rec-number&gt;143&lt;/rec-number&gt;&lt;foreign-keys&gt;&lt;key app="EN" db-id="9r0xdszvkxpd0qee99svpwt7tdv9zzed5z2f" timestamp="1769672513"&gt;143&lt;/key&gt;&lt;/foreign-keys&gt;&lt;ref-type name="Journal Article"&gt;17&lt;/ref-type&gt;&lt;contributors&gt;&lt;authors&gt;&lt;author&gt;Carlson, Sarah R.&lt;/author&gt;&lt;author&gt;Morningstar, Mary E.&lt;/author&gt;&lt;author&gt;Munandar, Vidya&lt;/author&gt;&lt;/authors&gt;&lt;/contributors&gt;&lt;titles&gt;&lt;title&gt;Workplace supports for employees with intellectual disability: A systematic review of the intervention literature&lt;/title&gt;&lt;secondary-title&gt;Journal of Vocational Rehabilitation&lt;/secondary-title&gt;&lt;/titles&gt;&lt;periodical&gt;&lt;full-title&gt;Journal of Vocational Rehabilitation&lt;/full-title&gt;&lt;/periodical&gt;&lt;pages&gt;251-265&lt;/pages&gt;&lt;volume&gt;52&lt;/volume&gt;&lt;number&gt;3&lt;/number&gt;&lt;keywords&gt;&lt;keyword&gt;Literature review, intellectual disability, employment, workplace supports&lt;/keyword&gt;&lt;/keywords&gt;&lt;dates&gt;&lt;year&gt;2020&lt;/year&gt;&lt;/dates&gt;&lt;urls&gt;&lt;related-urls&gt;&lt;url&gt;https://journals.sagepub.com/doi/abs/10.3233/JVR-201075&lt;/url&gt;&lt;/related-urls&gt;&lt;/urls&gt;&lt;electronic-resource-num&gt;10.3233/jvr-201075&lt;/electronic-resource-num&gt;&lt;/record&gt;&lt;/Cite&gt;&lt;/EndNote&gt;</w:instrText>
      </w:r>
      <w:r w:rsidRPr="0018252F">
        <w:fldChar w:fldCharType="separate"/>
      </w:r>
      <w:r w:rsidRPr="0018252F">
        <w:t>(Carlson, Morningstar, &amp; Munandar, 2020)</w:t>
      </w:r>
      <w:r w:rsidRPr="0018252F">
        <w:fldChar w:fldCharType="end"/>
      </w:r>
      <w:r w:rsidRPr="0018252F">
        <w:t xml:space="preserve"> and two Post</w:t>
      </w:r>
      <w:r>
        <w:t>-</w:t>
      </w:r>
      <w:r w:rsidRPr="0018252F">
        <w:t>SR effectiveness studies (including an experimental study of data</w:t>
      </w:r>
      <w:r>
        <w:t>-</w:t>
      </w:r>
      <w:r w:rsidRPr="0018252F">
        <w:t>enabled performance feedback for employment consultants and an apprenticeship/traineeship model study).</w:t>
      </w:r>
    </w:p>
    <w:p w14:paraId="176E42CF" w14:textId="77777777" w:rsidR="00D0002F" w:rsidRPr="00EC543F" w:rsidRDefault="00D0002F" w:rsidP="00D0002F">
      <w:pPr>
        <w:rPr>
          <w:b/>
          <w:bCs/>
        </w:rPr>
      </w:pPr>
      <w:r w:rsidRPr="00EC543F">
        <w:rPr>
          <w:b/>
          <w:bCs/>
        </w:rPr>
        <w:t>Attainment</w:t>
      </w:r>
    </w:p>
    <w:p w14:paraId="7C05AF73" w14:textId="77777777" w:rsidR="00D0002F" w:rsidRPr="00017465" w:rsidRDefault="00D0002F" w:rsidP="00EC543F">
      <w:pPr>
        <w:pStyle w:val="ListBullet"/>
      </w:pPr>
      <w:r w:rsidRPr="00017465">
        <w:rPr>
          <w:b/>
          <w:bCs/>
        </w:rPr>
        <w:t>SR evidence</w:t>
      </w:r>
      <w:r w:rsidRPr="00017465">
        <w:t xml:space="preserve"> suggests that employer</w:t>
      </w:r>
      <w:r w:rsidRPr="00017465">
        <w:rPr>
          <w:rFonts w:ascii="Cambria Math" w:hAnsi="Cambria Math" w:cs="Cambria Math"/>
        </w:rPr>
        <w:t>‑</w:t>
      </w:r>
      <w:r w:rsidRPr="00017465">
        <w:t>facing components contribute to attainment primarily when embedded within broader supported employment and transition models (e.g., Carlson et al., 2020; Enticott &amp; Dew 2025); few studies isolate employer</w:t>
      </w:r>
      <w:r w:rsidRPr="00017465">
        <w:rPr>
          <w:rFonts w:ascii="Cambria Math" w:hAnsi="Cambria Math" w:cs="Cambria Math"/>
        </w:rPr>
        <w:t>‑</w:t>
      </w:r>
      <w:r w:rsidRPr="00017465">
        <w:t>only interventions with attainment as the primary endpoint.</w:t>
      </w:r>
    </w:p>
    <w:p w14:paraId="0128CE16" w14:textId="77777777" w:rsidR="00D0002F" w:rsidRPr="00017465" w:rsidRDefault="00D0002F" w:rsidP="00EC543F">
      <w:pPr>
        <w:pStyle w:val="ListBullet"/>
      </w:pPr>
      <w:r w:rsidRPr="00017465">
        <w:rPr>
          <w:b/>
          <w:bCs/>
        </w:rPr>
        <w:t>Post-SR experimental evidence</w:t>
      </w:r>
      <w:r w:rsidRPr="00017465">
        <w:t xml:space="preserve"> evaluating data-enabled performance feedback and decision support for employment consultants found negligible effects on the number of hires (difference-in-differences + 0.1 hires), suggesting that consultant-level capability building alone may be insufficient to shift placement rates in the absence of adequate vacancies and employer engagement </w:t>
      </w:r>
      <w:r w:rsidRPr="00017465">
        <w:fldChar w:fldCharType="begin"/>
      </w:r>
      <w:r w:rsidRPr="00017465">
        <w:instrText xml:space="preserve"> ADDIN EN.CITE &lt;EndNote&gt;&lt;Cite&gt;&lt;Author&gt;Butterworth&lt;/Author&gt;&lt;Year&gt;2020&lt;/Year&gt;&lt;RecNum&gt;162&lt;/RecNum&gt;&lt;DisplayText&gt;(Butterworth et al., 2020)&lt;/DisplayText&gt;&lt;record&gt;&lt;rec-number&gt;162&lt;/rec-number&gt;&lt;foreign-keys&gt;&lt;key app="EN" db-id="9r0xdszvkxpd0qee99svpwt7tdv9zzed5z2f" timestamp="1769672639"&gt;162&lt;/key&gt;&lt;/foreign-keys&gt;&lt;ref-type name="Journal Article"&gt;17&lt;/ref-type&gt;&lt;contributors&gt;&lt;authors&gt;&lt;author&gt;Butterworth, John&lt;/author&gt;&lt;author&gt;Migliore, Alberto&lt;/author&gt;&lt;author&gt;Nye-Lengerman, Kelly&lt;/author&gt;&lt;author&gt;Lyons, Oliver&lt;/author&gt;&lt;author&gt;Gunty, Amy&lt;/author&gt;&lt;author&gt;Eastman, Jill&lt;/author&gt;&lt;author&gt;Foos, Paul&lt;/author&gt;&lt;/authors&gt;&lt;/contributors&gt;&lt;titles&gt;&lt;title&gt;Using data-enabled performance feedback and guidance to assist employment consultants in their work with job seekers: An experimental study&lt;/title&gt;&lt;secondary-title&gt;Journal of Vocational Rehabilitation&lt;/secondary-title&gt;&lt;/titles&gt;&lt;periodical&gt;&lt;full-title&gt;Journal of Vocational Rehabilitation&lt;/full-title&gt;&lt;/periodical&gt;&lt;pages&gt;189-203&lt;/pages&gt;&lt;volume&gt;53&lt;/volume&gt;&lt;number&gt;2&lt;/number&gt;&lt;keywords&gt;&lt;keyword&gt;Employment specialist, job development, intellectual disabilities, training, evidence-based&lt;/keyword&gt;&lt;/keywords&gt;&lt;dates&gt;&lt;year&gt;2020&lt;/year&gt;&lt;/dates&gt;&lt;urls&gt;&lt;related-urls&gt;&lt;url&gt;https://journals.sagepub.com/doi/abs/10.3233/JVR-201096&lt;/url&gt;&lt;/related-urls&gt;&lt;/urls&gt;&lt;electronic-resource-num&gt;10.3233/jvr-201096&lt;/electronic-resource-num&gt;&lt;/record&gt;&lt;/Cite&gt;&lt;/EndNote&gt;</w:instrText>
      </w:r>
      <w:r w:rsidRPr="00017465">
        <w:fldChar w:fldCharType="separate"/>
      </w:r>
      <w:r w:rsidRPr="00017465">
        <w:t>(Butterworth et al., 2020)</w:t>
      </w:r>
      <w:r w:rsidRPr="00017465">
        <w:fldChar w:fldCharType="end"/>
      </w:r>
      <w:r w:rsidRPr="00017465">
        <w:t>.</w:t>
      </w:r>
    </w:p>
    <w:p w14:paraId="1576C67C" w14:textId="77777777" w:rsidR="00D0002F" w:rsidRPr="00EC543F" w:rsidRDefault="00D0002F" w:rsidP="00D0002F">
      <w:pPr>
        <w:rPr>
          <w:b/>
          <w:bCs/>
        </w:rPr>
      </w:pPr>
      <w:r w:rsidRPr="00EC543F">
        <w:rPr>
          <w:b/>
          <w:bCs/>
        </w:rPr>
        <w:t>Durability/tenure</w:t>
      </w:r>
    </w:p>
    <w:p w14:paraId="08A94823" w14:textId="77777777" w:rsidR="00D0002F" w:rsidRPr="00017465" w:rsidRDefault="00D0002F" w:rsidP="00EC543F">
      <w:pPr>
        <w:pStyle w:val="ListBullet"/>
      </w:pPr>
      <w:r w:rsidRPr="00017465">
        <w:rPr>
          <w:b/>
          <w:bCs/>
        </w:rPr>
        <w:t>SR evidence</w:t>
      </w:r>
      <w:r w:rsidRPr="00017465">
        <w:t xml:space="preserve"> indicates that workplace supports delivered after placement (e.g., systematic instruction, supervisor support, and coworker engagement) can improve work performance and social integration, which are plausible precursors to tenure and advancement (e.g., Carlson et al., 2020).</w:t>
      </w:r>
    </w:p>
    <w:p w14:paraId="61411176" w14:textId="77777777" w:rsidR="00D0002F" w:rsidRPr="00017465" w:rsidRDefault="00D0002F" w:rsidP="00EC543F">
      <w:pPr>
        <w:pStyle w:val="ListBullet"/>
      </w:pPr>
      <w:r w:rsidRPr="00017465">
        <w:rPr>
          <w:b/>
          <w:bCs/>
        </w:rPr>
        <w:t>Quantitative durability outcomes</w:t>
      </w:r>
      <w:r w:rsidRPr="00017465">
        <w:t xml:space="preserve"> are still under-reported; many studies use proxy indicators (e.g., job performance and integration) rather than direct time-to-exit or time-in-role measures.</w:t>
      </w:r>
    </w:p>
    <w:p w14:paraId="1847BA8B" w14:textId="77777777" w:rsidR="00D0002F" w:rsidRPr="001C642F" w:rsidRDefault="00D0002F" w:rsidP="00D0002F">
      <w:pPr>
        <w:rPr>
          <w:b/>
          <w:bCs/>
        </w:rPr>
      </w:pPr>
      <w:r w:rsidRPr="001C642F">
        <w:rPr>
          <w:b/>
          <w:bCs/>
        </w:rPr>
        <w:t>Job quality</w:t>
      </w:r>
    </w:p>
    <w:p w14:paraId="12CC1A20" w14:textId="77777777" w:rsidR="00D0002F" w:rsidRPr="0053581F" w:rsidRDefault="00D0002F" w:rsidP="001C642F">
      <w:pPr>
        <w:pStyle w:val="ListBullet"/>
      </w:pPr>
      <w:r w:rsidRPr="0053581F">
        <w:rPr>
          <w:b/>
          <w:bCs/>
        </w:rPr>
        <w:t>Post-SR evidence</w:t>
      </w:r>
      <w:r w:rsidRPr="0053581F">
        <w:t xml:space="preserve"> suggests that workforce-facing supports may improve aspects of job quality for jobseekers already placed. In the performance-feedback trial for employment consultants, weekly hours increased relative to controls (+5.9 hours; standardised d=0.48; p&lt;.05), while earnings gains were modest and not statistically significant (Butterworth et al., 2020).</w:t>
      </w:r>
    </w:p>
    <w:p w14:paraId="3B12F6DF" w14:textId="77777777" w:rsidR="00D0002F" w:rsidRPr="0053581F" w:rsidRDefault="00D0002F" w:rsidP="001C642F">
      <w:pPr>
        <w:pStyle w:val="ListBullet"/>
      </w:pPr>
      <w:r w:rsidRPr="0053581F">
        <w:rPr>
          <w:b/>
          <w:bCs/>
        </w:rPr>
        <w:t xml:space="preserve">SRs focusing on post-placement workplace supports </w:t>
      </w:r>
      <w:r w:rsidRPr="0053581F">
        <w:t>report improvements in job performance and social integration outcomes for workers with ID; however, downstream job quality outcomes (e.g., autonomy, inclusion, progression) are variably captured and rarely reported from the worker perspective (e.g., Carlson et al., 2020; Taylor et al., 2022).</w:t>
      </w:r>
    </w:p>
    <w:p w14:paraId="02BDB5AC" w14:textId="020B7964" w:rsidR="001C642F" w:rsidRDefault="00D0002F" w:rsidP="001C642F">
      <w:r w:rsidRPr="00017465">
        <w:rPr>
          <w:b/>
          <w:bCs/>
        </w:rPr>
        <w:lastRenderedPageBreak/>
        <w:t>Implications for service design and training:</w:t>
      </w:r>
      <w:r w:rsidRPr="0018252F">
        <w:t xml:space="preserve"> employer/workplace</w:t>
      </w:r>
      <w:r>
        <w:t>-</w:t>
      </w:r>
      <w:r w:rsidRPr="0018252F">
        <w:t>facing practices warrant explicit competency development for frontline employment staff (job analysis, job carving and redesign, supervisor coaching, and coworker support development) alongside measurement of workplace inclusion indicators. Where feasible, programmes should record employer outcomes (e.g., repeat hiring, retention of employers) alongside worker outcomes.</w:t>
      </w:r>
    </w:p>
    <w:p w14:paraId="4347E5DE" w14:textId="406517E5" w:rsidR="00D0002F" w:rsidRPr="00ED411B" w:rsidRDefault="00D0002F" w:rsidP="001C642F">
      <w:pPr>
        <w:pStyle w:val="Numberedheading3"/>
      </w:pPr>
      <w:bookmarkStart w:id="50" w:name="_Toc231220064"/>
      <w:r w:rsidRPr="00ED411B">
        <w:t xml:space="preserve">Bridging </w:t>
      </w:r>
      <w:r w:rsidR="003903A3" w:rsidRPr="00ED411B">
        <w:t>and continuity supports</w:t>
      </w:r>
      <w:bookmarkEnd w:id="50"/>
    </w:p>
    <w:p w14:paraId="384A60B9" w14:textId="77777777" w:rsidR="00D0002F" w:rsidRPr="0018252F" w:rsidRDefault="00D0002F" w:rsidP="00D0002F">
      <w:r w:rsidRPr="0018252F">
        <w:t>Bridging and continuity supports connect jobseekers and workplaces and stabilise employment over time (e.g., Customised Employment, Transition models). This intervention theme shows the clearest and most consistent attainment effects across the evidence base. A recent Australian study of on</w:t>
      </w:r>
      <w:r>
        <w:t>-</w:t>
      </w:r>
      <w:r w:rsidRPr="0018252F">
        <w:t>the</w:t>
      </w:r>
      <w:r>
        <w:t>-</w:t>
      </w:r>
      <w:r w:rsidRPr="0018252F">
        <w:t>job training in the aged care sector found that structured workplace coaching led to improved skill development and high retention rates for workers with intellectual disability (Alexander et al., 2024). In this synthesis, bridging/continuity conclusions draw on SR evidence across Customised Employment and Transition models (e.g., Nevala et al., 2019; Enticott &amp; Dew, 2025; Jetha et al., 2019) and four Post</w:t>
      </w:r>
      <w:r w:rsidRPr="0018252F">
        <w:rPr>
          <w:rFonts w:ascii="Cambria Math" w:hAnsi="Cambria Math" w:cs="Cambria Math"/>
        </w:rPr>
        <w:t>‑</w:t>
      </w:r>
      <w:r w:rsidRPr="0018252F">
        <w:t xml:space="preserve">SR effectiveness studies (including Project SEARCH, supported placements, and Customised Employment trials). </w:t>
      </w:r>
    </w:p>
    <w:p w14:paraId="186D6257" w14:textId="77777777" w:rsidR="00D0002F" w:rsidRPr="003903A3" w:rsidRDefault="00D0002F" w:rsidP="00D0002F">
      <w:pPr>
        <w:rPr>
          <w:b/>
          <w:bCs/>
        </w:rPr>
      </w:pPr>
      <w:r w:rsidRPr="003903A3">
        <w:rPr>
          <w:b/>
          <w:bCs/>
        </w:rPr>
        <w:t>Attainment</w:t>
      </w:r>
    </w:p>
    <w:p w14:paraId="376261DF" w14:textId="77777777" w:rsidR="00D0002F" w:rsidRPr="0053581F" w:rsidRDefault="00D0002F" w:rsidP="003903A3">
      <w:pPr>
        <w:pStyle w:val="ListBullet"/>
      </w:pPr>
      <w:r w:rsidRPr="0053581F">
        <w:rPr>
          <w:b/>
          <w:bCs/>
        </w:rPr>
        <w:t>Across multiple SRs</w:t>
      </w:r>
      <w:r w:rsidRPr="0053581F">
        <w:t xml:space="preserve">, US-aligned mainstream employment models (including individual placement with job coaching and systematic instruction) show the clearest evidence of improved competitive employment outcomes compared with services that do not provide active workplace placement and support (e.g., Nevala et al., 2019; Jetha et al., 2019). </w:t>
      </w:r>
    </w:p>
    <w:p w14:paraId="54517FAD" w14:textId="77777777" w:rsidR="00D0002F" w:rsidRPr="0053581F" w:rsidRDefault="00D0002F" w:rsidP="003903A3">
      <w:pPr>
        <w:pStyle w:val="ListBullet"/>
      </w:pPr>
      <w:r w:rsidRPr="0053581F">
        <w:rPr>
          <w:b/>
          <w:bCs/>
        </w:rPr>
        <w:t>Post</w:t>
      </w:r>
      <w:r w:rsidRPr="0053581F">
        <w:rPr>
          <w:rFonts w:ascii="Cambria Math" w:hAnsi="Cambria Math" w:cs="Cambria Math"/>
          <w:b/>
          <w:bCs/>
        </w:rPr>
        <w:t>‑</w:t>
      </w:r>
      <w:r w:rsidRPr="0053581F">
        <w:rPr>
          <w:b/>
          <w:bCs/>
        </w:rPr>
        <w:t>SR randomised evidence for Customised Employment</w:t>
      </w:r>
      <w:r w:rsidRPr="0053581F">
        <w:t xml:space="preserve"> indicates substantial gains in competitive integrated employment attainment for transition</w:t>
      </w:r>
      <w:r w:rsidRPr="0053581F">
        <w:rPr>
          <w:rFonts w:ascii="Cambria Math" w:hAnsi="Cambria Math" w:cs="Cambria Math"/>
        </w:rPr>
        <w:t>‑</w:t>
      </w:r>
      <w:r w:rsidRPr="0053581F">
        <w:t xml:space="preserve">age youth with high support needs: 62.1% (18/29) achieved CIE in the Customised Employment arm versus 16.7% (4/24) in controls (RR=3.87; p&lt;.001) </w:t>
      </w:r>
      <w:r w:rsidRPr="0053581F">
        <w:fldChar w:fldCharType="begin"/>
      </w:r>
      <w:r w:rsidRPr="0053581F">
        <w:instrText xml:space="preserve"> ADDIN EN.CITE &lt;EndNote&gt;&lt;Cite&gt;&lt;Author&gt;Inge&lt;/Author&gt;&lt;Year&gt;2024&lt;/Year&gt;&lt;RecNum&gt;163&lt;/RecNum&gt;&lt;DisplayText&gt;(Inge et al., 2024)&lt;/DisplayText&gt;&lt;record&gt;&lt;rec-number&gt;163&lt;/rec-number&gt;&lt;foreign-keys&gt;&lt;key app="EN" db-id="9r0xdszvkxpd0qee99svpwt7tdv9zzed5z2f" timestamp="1769672651"&gt;163&lt;/key&gt;&lt;/foreign-keys&gt;&lt;ref-type name="Journal Article"&gt;17&lt;/ref-type&gt;&lt;contributors&gt;&lt;authors&gt;&lt;author&gt;Inge, K. J.&lt;/author&gt;&lt;author&gt;Wehman, P.&lt;/author&gt;&lt;author&gt;Avellone, L.&lt;/author&gt;&lt;author&gt;Broda, M.&lt;/author&gt;&lt;author&gt;McDonough, J.&lt;/author&gt;&lt;/authors&gt;&lt;/contributors&gt;&lt;auth-address&gt;Rehabilitation Research and Training Center, Virginia Commonwealth University, Richmond, VA, USA.&lt;/auth-address&gt;&lt;titles&gt;&lt;title&gt;The impact of customized employment on the competitive integrated employment outcomes of transition age youth with intellectual and developmental disabilities: A randomized controlled trial study&lt;/title&gt;&lt;secondary-title&gt;Work&lt;/secondary-title&gt;&lt;/titles&gt;&lt;periodical&gt;&lt;full-title&gt;Work&lt;/full-title&gt;&lt;/periodical&gt;&lt;pages&gt;721-729&lt;/pages&gt;&lt;volume&gt;77&lt;/volume&gt;&lt;number&gt;3&lt;/number&gt;&lt;keywords&gt;&lt;keyword&gt;Adolescent&lt;/keyword&gt;&lt;keyword&gt;Humans&lt;/keyword&gt;&lt;keyword&gt;Developmental Disabilities&lt;/keyword&gt;&lt;keyword&gt;*Employment, Supported&lt;/keyword&gt;&lt;keyword&gt;Income&lt;/keyword&gt;&lt;keyword&gt;Rehabilitation, Vocational&lt;/keyword&gt;&lt;keyword&gt;Salaries and Fringe Benefits&lt;/keyword&gt;&lt;keyword&gt;Customized employment&lt;/keyword&gt;&lt;keyword&gt;competitive integrated employment&lt;/keyword&gt;&lt;keyword&gt;intellectual and developmental disability&lt;/keyword&gt;&lt;keyword&gt;transition-age youth&lt;/keyword&gt;&lt;/keywords&gt;&lt;dates&gt;&lt;year&gt;2024&lt;/year&gt;&lt;/dates&gt;&lt;isbn&gt;1051-9815&lt;/isbn&gt;&lt;accession-num&gt;38457138&lt;/accession-num&gt;&lt;urls&gt;&lt;/urls&gt;&lt;electronic-resource-num&gt;10.3233/wor-246003&lt;/electronic-resource-num&gt;&lt;remote-database-provider&gt;NLM&lt;/remote-database-provider&gt;&lt;language&gt;eng&lt;/language&gt;&lt;/record&gt;&lt;/Cite&gt;&lt;/EndNote&gt;</w:instrText>
      </w:r>
      <w:r w:rsidRPr="0053581F">
        <w:fldChar w:fldCharType="separate"/>
      </w:r>
      <w:r w:rsidRPr="0053581F">
        <w:t>(Inge et al., 2024)</w:t>
      </w:r>
      <w:r w:rsidRPr="0053581F">
        <w:fldChar w:fldCharType="end"/>
      </w:r>
      <w:r w:rsidRPr="0053581F">
        <w:t>.</w:t>
      </w:r>
    </w:p>
    <w:p w14:paraId="559BFD9E" w14:textId="77777777" w:rsidR="00D0002F" w:rsidRPr="0053581F" w:rsidRDefault="00D0002F" w:rsidP="003903A3">
      <w:pPr>
        <w:pStyle w:val="ListBullet"/>
      </w:pPr>
      <w:r w:rsidRPr="0053581F">
        <w:rPr>
          <w:b/>
          <w:bCs/>
        </w:rPr>
        <w:t>Post-SR studies of structured transition models</w:t>
      </w:r>
      <w:r w:rsidRPr="0053581F">
        <w:t xml:space="preserve"> (e.g., Project SEARCH) and supported internships/apprenticeships report positive employment outcomes, although effect estimation is less consistent and often lacks robust comparators (e.g., Sung et al., 2023; Schwartzman, 2021; Kiegaldie et al., 2023).</w:t>
      </w:r>
    </w:p>
    <w:p w14:paraId="5C5D7435" w14:textId="77777777" w:rsidR="00D0002F" w:rsidRPr="003903A3" w:rsidRDefault="00D0002F" w:rsidP="00D0002F">
      <w:pPr>
        <w:rPr>
          <w:b/>
          <w:bCs/>
        </w:rPr>
      </w:pPr>
      <w:r w:rsidRPr="003903A3">
        <w:rPr>
          <w:b/>
          <w:bCs/>
        </w:rPr>
        <w:t>Durability/tenure</w:t>
      </w:r>
    </w:p>
    <w:p w14:paraId="083FFEFB" w14:textId="77777777" w:rsidR="00D0002F" w:rsidRPr="0053581F" w:rsidRDefault="00D0002F" w:rsidP="003903A3">
      <w:pPr>
        <w:pStyle w:val="ListBullet"/>
      </w:pPr>
      <w:r w:rsidRPr="0053581F">
        <w:rPr>
          <w:b/>
          <w:bCs/>
        </w:rPr>
        <w:t>Durability evidence</w:t>
      </w:r>
      <w:r w:rsidRPr="0053581F">
        <w:t xml:space="preserve"> remains weaker than attainment evidence, with </w:t>
      </w:r>
      <w:r w:rsidRPr="0053581F">
        <w:lastRenderedPageBreak/>
        <w:t>variability in reported tenure and limited longer-term follow-up in many studies (e.g., Taubner et al., 2022).</w:t>
      </w:r>
    </w:p>
    <w:p w14:paraId="1A25A1FA" w14:textId="77777777" w:rsidR="00D0002F" w:rsidRPr="0053581F" w:rsidRDefault="00D0002F" w:rsidP="003903A3">
      <w:pPr>
        <w:pStyle w:val="ListBullet"/>
      </w:pPr>
      <w:r w:rsidRPr="0053581F">
        <w:t xml:space="preserve">Where long follow-up is available, sustained integration is feasible: </w:t>
      </w:r>
      <w:r w:rsidRPr="0053581F">
        <w:rPr>
          <w:b/>
          <w:bCs/>
        </w:rPr>
        <w:t>a longitudinal follow-up of workers with significant disability supported in integrated employment settings</w:t>
      </w:r>
      <w:r w:rsidRPr="0053581F">
        <w:t xml:space="preserve"> reported persistence of integrated work participation over decades (over 570 person-years across 50 workers), with no reversion to segregated settings </w:t>
      </w:r>
      <w:r w:rsidRPr="0053581F">
        <w:fldChar w:fldCharType="begin"/>
      </w:r>
      <w:r w:rsidRPr="0053581F">
        <w:instrText xml:space="preserve"> ADDIN EN.CITE &lt;EndNote&gt;&lt;Cite&gt;&lt;Author&gt;Brown&lt;/Author&gt;&lt;Year&gt;2021&lt;/Year&gt;&lt;RecNum&gt;154&lt;/RecNum&gt;&lt;DisplayText&gt;(Brown et al., 2021)&lt;/DisplayText&gt;&lt;record&gt;&lt;rec-number&gt;154&lt;/rec-number&gt;&lt;foreign-keys&gt;&lt;key app="EN" db-id="9r0xdszvkxpd0qee99svpwt7tdv9zzed5z2f" timestamp="1769672584"&gt;154&lt;/key&gt;&lt;/foreign-keys&gt;&lt;ref-type name="Journal Article"&gt;17&lt;/ref-type&gt;&lt;contributors&gt;&lt;authors&gt;&lt;author&gt;Brown, Lou&lt;/author&gt;&lt;author&gt;Schmid, Sharon&lt;/author&gt;&lt;author&gt;Cutler, Sarah&lt;/author&gt;&lt;author&gt;Kessler, Kim&lt;/author&gt;&lt;author&gt;Shiraga, Betsy&lt;/author&gt;&lt;/authors&gt;&lt;/contributors&gt;&lt;titles&gt;&lt;title&gt;When ordinary becomes extraordinary: A postschool follow up study of the integrated vocational functioning of 50 workers with significant intellectual disabilities, 1984-2020&lt;/title&gt;&lt;secondary-title&gt;Journal of Vocational Rehabilitation&lt;/secondary-title&gt;&lt;/titles&gt;&lt;periodical&gt;&lt;full-title&gt;Journal of Vocational Rehabilitation&lt;/full-title&gt;&lt;/periodical&gt;&lt;pages&gt;211-253&lt;/pages&gt;&lt;volume&gt;54&lt;/volume&gt;&lt;number&gt;3&lt;/number&gt;&lt;keywords&gt;&lt;keyword&gt;Significant intellectual disabilities, integrated work, school to work transition, longitudinal post school follow up&lt;/keyword&gt;&lt;/keywords&gt;&lt;dates&gt;&lt;year&gt;2021&lt;/year&gt;&lt;/dates&gt;&lt;urls&gt;&lt;related-urls&gt;&lt;url&gt;https://journals.sagepub.com/doi/abs/10.3233/JVR-211132&lt;/url&gt;&lt;/related-urls&gt;&lt;/urls&gt;&lt;electronic-resource-num&gt;10.3233/jvr-211132&lt;/electronic-resource-num&gt;&lt;/record&gt;&lt;/Cite&gt;&lt;/EndNote&gt;</w:instrText>
      </w:r>
      <w:r w:rsidRPr="0053581F">
        <w:fldChar w:fldCharType="separate"/>
      </w:r>
      <w:r w:rsidRPr="0053581F">
        <w:t>(Brown et al., 2021)</w:t>
      </w:r>
      <w:r w:rsidRPr="0053581F">
        <w:fldChar w:fldCharType="end"/>
      </w:r>
      <w:r w:rsidRPr="0053581F">
        <w:t>.</w:t>
      </w:r>
    </w:p>
    <w:p w14:paraId="30C3AF8A" w14:textId="77777777" w:rsidR="00D0002F" w:rsidRPr="0053581F" w:rsidRDefault="00D0002F" w:rsidP="003903A3">
      <w:pPr>
        <w:pStyle w:val="ListBullet"/>
      </w:pPr>
      <w:r w:rsidRPr="0053581F">
        <w:rPr>
          <w:b/>
          <w:bCs/>
        </w:rPr>
        <w:t>Project SEARCH graduate data</w:t>
      </w:r>
      <w:r w:rsidRPr="0053581F">
        <w:t xml:space="preserve"> suggest high perceived retention and intention to stay in role, but durability metrics are inconsistently operationalised </w:t>
      </w:r>
      <w:r w:rsidRPr="0053581F">
        <w:fldChar w:fldCharType="begin"/>
      </w:r>
      <w:r w:rsidRPr="0053581F">
        <w:instrText xml:space="preserve"> ADDIN EN.CITE &lt;EndNote&gt;&lt;Cite&gt;&lt;Author&gt;Sung&lt;/Author&gt;&lt;Year&gt;2023&lt;/Year&gt;&lt;RecNum&gt;151&lt;/RecNum&gt;&lt;DisplayText&gt;(Sung et al., 2023)&lt;/DisplayText&gt;&lt;record&gt;&lt;rec-number&gt;151&lt;/rec-number&gt;&lt;foreign-keys&gt;&lt;key app="EN" db-id="9r0xdszvkxpd0qee99svpwt7tdv9zzed5z2f" timestamp="1769672566"&gt;151&lt;/key&gt;&lt;/foreign-keys&gt;&lt;ref-type name="Journal Article"&gt;17&lt;/ref-type&gt;&lt;contributors&gt;&lt;authors&gt;&lt;author&gt;Sung, Connie&lt;/author&gt;&lt;author&gt;Fisher, Marisa H.&lt;/author&gt;&lt;author&gt;Okyere, Christiana&lt;/author&gt;&lt;author&gt;Park, Jiyoon&lt;/author&gt;&lt;author&gt;Choi, Heerak&lt;/author&gt;&lt;/authors&gt;&lt;/contributors&gt;&lt;titles&gt;&lt;title&gt;Employment outcomes and support needs of Michigan Project SEARCH graduates with intellectual and developmental disabilities: A mixed-method study&lt;/title&gt;&lt;secondary-title&gt;Journal of Vocational Rehabilitation&lt;/secondary-title&gt;&lt;/titles&gt;&lt;periodical&gt;&lt;full-title&gt;Journal of Vocational Rehabilitation&lt;/full-title&gt;&lt;/periodical&gt;&lt;pages&gt;233-249&lt;/pages&gt;&lt;volume&gt;59&lt;/volume&gt;&lt;number&gt;3&lt;/number&gt;&lt;keywords&gt;&lt;keyword&gt;Employment, vocational rehabilitation, transition, support needs, intellectual and developmental disabilities&lt;/keyword&gt;&lt;/keywords&gt;&lt;dates&gt;&lt;year&gt;2023&lt;/year&gt;&lt;/dates&gt;&lt;urls&gt;&lt;related-urls&gt;&lt;url&gt;https://journals.sagepub.com/doi/abs/10.3233/JVR-230042&lt;/url&gt;&lt;/related-urls&gt;&lt;/urls&gt;&lt;electronic-resource-num&gt;10.3233/jvr-230042&lt;/electronic-resource-num&gt;&lt;/record&gt;&lt;/Cite&gt;&lt;/EndNote&gt;</w:instrText>
      </w:r>
      <w:r w:rsidRPr="0053581F">
        <w:fldChar w:fldCharType="separate"/>
      </w:r>
      <w:r w:rsidRPr="0053581F">
        <w:t>(Sung et al., 2023)</w:t>
      </w:r>
      <w:r w:rsidRPr="0053581F">
        <w:fldChar w:fldCharType="end"/>
      </w:r>
      <w:r w:rsidRPr="0053581F">
        <w:t>.</w:t>
      </w:r>
    </w:p>
    <w:p w14:paraId="5E32120E" w14:textId="77777777" w:rsidR="00D0002F" w:rsidRPr="003903A3" w:rsidRDefault="00D0002F" w:rsidP="00D0002F">
      <w:pPr>
        <w:rPr>
          <w:b/>
          <w:bCs/>
        </w:rPr>
      </w:pPr>
      <w:r w:rsidRPr="003903A3">
        <w:rPr>
          <w:b/>
          <w:bCs/>
        </w:rPr>
        <w:t>Job quality</w:t>
      </w:r>
    </w:p>
    <w:p w14:paraId="41EB8385" w14:textId="77777777" w:rsidR="00D0002F" w:rsidRPr="0053581F" w:rsidRDefault="00D0002F" w:rsidP="003903A3">
      <w:pPr>
        <w:pStyle w:val="ListBullet"/>
      </w:pPr>
      <w:r w:rsidRPr="0053581F">
        <w:rPr>
          <w:b/>
          <w:bCs/>
        </w:rPr>
        <w:t>SR evidence comparing competitive integrated employment to segregated settings</w:t>
      </w:r>
      <w:r w:rsidRPr="0053581F">
        <w:t xml:space="preserve"> indicates improvements in wages/hours and broader psychosocial outcomes, though job quality measures are heterogeneous and often incomplete (e.g., Taylor et al., 2023; Taylor et al., 2022).</w:t>
      </w:r>
    </w:p>
    <w:p w14:paraId="03215665" w14:textId="77777777" w:rsidR="00D0002F" w:rsidRPr="0053581F" w:rsidRDefault="00D0002F" w:rsidP="003903A3">
      <w:pPr>
        <w:pStyle w:val="ListBullet"/>
      </w:pPr>
      <w:r w:rsidRPr="0053581F">
        <w:rPr>
          <w:b/>
          <w:bCs/>
        </w:rPr>
        <w:t>Post-SR Customised Employment evidence</w:t>
      </w:r>
      <w:r w:rsidRPr="0053581F">
        <w:t xml:space="preserve"> reports wages at or near minimum wage; however, average hours may be constrained by school participation during transition programmes, and inferential testing of job quality outcomes is limited (Inge et al., 2024).</w:t>
      </w:r>
    </w:p>
    <w:p w14:paraId="30FC0256" w14:textId="77777777" w:rsidR="00D0002F" w:rsidRPr="0053581F" w:rsidRDefault="00D0002F" w:rsidP="003903A3">
      <w:pPr>
        <w:pStyle w:val="ListBullet"/>
      </w:pPr>
      <w:r w:rsidRPr="0053581F">
        <w:rPr>
          <w:b/>
          <w:bCs/>
        </w:rPr>
        <w:t>An updated meta-analysis of technology</w:t>
      </w:r>
      <w:r w:rsidRPr="0053581F">
        <w:rPr>
          <w:rFonts w:ascii="Cambria Math" w:hAnsi="Cambria Math" w:cs="Cambria Math"/>
          <w:b/>
          <w:bCs/>
        </w:rPr>
        <w:t>‑</w:t>
      </w:r>
      <w:r w:rsidRPr="0053581F">
        <w:rPr>
          <w:b/>
          <w:bCs/>
        </w:rPr>
        <w:t>supported employment interventions</w:t>
      </w:r>
      <w:r w:rsidRPr="0053581F">
        <w:t xml:space="preserve"> for people with IDD suggests improvements in targeted vocational skills and work performance outcomes (overall PND 87), with stronger effects when interventions incorporate universal design features; durability and wage outcomes were not directly assessed </w:t>
      </w:r>
      <w:r w:rsidRPr="0053581F">
        <w:fldChar w:fldCharType="begin"/>
      </w:r>
      <w:r w:rsidRPr="0053581F">
        <w:instrText xml:space="preserve"> ADDIN EN.CITE &lt;EndNote&gt;&lt;Cite&gt;&lt;Author&gt;Damianidou&lt;/Author&gt;&lt;Year&gt;2018&lt;/Year&gt;&lt;RecNum&gt;144&lt;/RecNum&gt;&lt;DisplayText&gt;(Damianidou et al., 2018)&lt;/DisplayText&gt;&lt;record&gt;&lt;rec-number&gt;144&lt;/rec-number&gt;&lt;foreign-keys&gt;&lt;key app="EN" db-id="9r0xdszvkxpd0qee99svpwt7tdv9zzed5z2f" timestamp="1769672521"&gt;144&lt;/key&gt;&lt;/foreign-keys&gt;&lt;ref-type name="Journal Article"&gt;17&lt;/ref-type&gt;&lt;contributors&gt;&lt;authors&gt;&lt;author&gt;Damianidou, D.&lt;/author&gt;&lt;author&gt;Arthur-Kelly, M.&lt;/author&gt;&lt;author&gt;Lyons, G.&lt;/author&gt;&lt;author&gt;Wehmeyer, M. L.&lt;/author&gt;&lt;/authors&gt;&lt;/contributors&gt;&lt;auth-address&gt;School of Education, The University of Newcastle, Newcastle, NSW, Australia.&amp;#xD;Department of Special Education, The University of Kansas, Lawrence, KS, USA.&lt;/auth-address&gt;&lt;titles&gt;&lt;title&gt;Technology use to support employment-related outcomes for people with intellectual and developmental disability: an updated meta-analysis&lt;/title&gt;&lt;secondary-title&gt;Int J Dev Disabil&lt;/secondary-title&gt;&lt;/titles&gt;&lt;periodical&gt;&lt;full-title&gt;Int J Dev Disabil&lt;/full-title&gt;&lt;/periodical&gt;&lt;pages&gt;220-230&lt;/pages&gt;&lt;volume&gt;65&lt;/volume&gt;&lt;number&gt;4&lt;/number&gt;&lt;edition&gt;20180315&lt;/edition&gt;&lt;keywords&gt;&lt;keyword&gt;applied cognitive technology&lt;/keyword&gt;&lt;keyword&gt;assistive technology&lt;/keyword&gt;&lt;keyword&gt;employment-related outcomes&lt;/keyword&gt;&lt;keyword&gt;intellectual and developmental disability&lt;/keyword&gt;&lt;keyword&gt;meta-analysis&lt;/keyword&gt;&lt;/keywords&gt;&lt;dates&gt;&lt;year&gt;2018&lt;/year&gt;&lt;pub-dates&gt;&lt;date&gt;Mar 15&lt;/date&gt;&lt;/pub-dates&gt;&lt;/dates&gt;&lt;isbn&gt;2047-3869 (Print)&amp;#xD;2047-3869&lt;/isbn&gt;&lt;accession-num&gt;34141342&lt;/accession-num&gt;&lt;urls&gt;&lt;/urls&gt;&lt;custom2&gt;PMC8115596&lt;/custom2&gt;&lt;electronic-resource-num&gt;10.1080/20473869.2018.1439819&lt;/electronic-resource-num&gt;&lt;remote-database-provider&gt;NLM&lt;/remote-database-provider&gt;&lt;language&gt;eng&lt;/language&gt;&lt;/record&gt;&lt;/Cite&gt;&lt;/EndNote&gt;</w:instrText>
      </w:r>
      <w:r w:rsidRPr="0053581F">
        <w:fldChar w:fldCharType="separate"/>
      </w:r>
      <w:r w:rsidRPr="0053581F">
        <w:t>(Damianidou et al., 2018)</w:t>
      </w:r>
      <w:r w:rsidRPr="0053581F">
        <w:fldChar w:fldCharType="end"/>
      </w:r>
      <w:r w:rsidRPr="0053581F">
        <w:t>.</w:t>
      </w:r>
    </w:p>
    <w:p w14:paraId="4EF26613" w14:textId="77777777" w:rsidR="00D0002F" w:rsidRPr="0018252F" w:rsidRDefault="00D0002F" w:rsidP="00D0002F">
      <w:r w:rsidRPr="0053581F">
        <w:rPr>
          <w:b/>
          <w:bCs/>
        </w:rPr>
        <w:t>Implications for service design and training:</w:t>
      </w:r>
      <w:r w:rsidRPr="0018252F">
        <w:t xml:space="preserve"> bridging/continuity supports should prioritise (i) high</w:t>
      </w:r>
      <w:r>
        <w:t>-</w:t>
      </w:r>
      <w:r w:rsidRPr="0018252F">
        <w:t>fidelity placement and on</w:t>
      </w:r>
      <w:r>
        <w:t>-</w:t>
      </w:r>
      <w:r w:rsidRPr="0018252F">
        <w:t>the</w:t>
      </w:r>
      <w:r>
        <w:t>-</w:t>
      </w:r>
      <w:r w:rsidRPr="0018252F">
        <w:t>job training, (ii) explicit strategies for sustaining employment (including support ‘fading’ plans and re</w:t>
      </w:r>
      <w:r>
        <w:t>-</w:t>
      </w:r>
      <w:r w:rsidRPr="0018252F">
        <w:t>intensification triggers), and (iii) systematic measurement of durability and job quality (including worker</w:t>
      </w:r>
      <w:r>
        <w:t>-</w:t>
      </w:r>
      <w:r w:rsidRPr="0018252F">
        <w:t>defined quality and inclusion outcomes).</w:t>
      </w:r>
    </w:p>
    <w:p w14:paraId="4442C6A9" w14:textId="46B89A16" w:rsidR="00D0002F" w:rsidRPr="00ED411B" w:rsidRDefault="00D0002F" w:rsidP="00807628">
      <w:pPr>
        <w:pStyle w:val="Numberedheading2"/>
      </w:pPr>
      <w:bookmarkStart w:id="51" w:name="_Toc231220065"/>
      <w:r w:rsidRPr="004A5567">
        <w:t>MIP-CIE framework</w:t>
      </w:r>
      <w:r w:rsidRPr="00ED411B">
        <w:t xml:space="preserve"> in </w:t>
      </w:r>
      <w:r>
        <w:t>p</w:t>
      </w:r>
      <w:r w:rsidRPr="00ED411B">
        <w:t xml:space="preserve">ractice: </w:t>
      </w:r>
      <w:r>
        <w:t>e</w:t>
      </w:r>
      <w:r w:rsidRPr="00ED411B">
        <w:t>vidence-</w:t>
      </w:r>
      <w:r>
        <w:t>i</w:t>
      </w:r>
      <w:r w:rsidRPr="00ED411B">
        <w:t xml:space="preserve">nformed </w:t>
      </w:r>
      <w:r>
        <w:t>m</w:t>
      </w:r>
      <w:r w:rsidRPr="00ED411B">
        <w:t>atrix</w:t>
      </w:r>
      <w:bookmarkEnd w:id="51"/>
    </w:p>
    <w:p w14:paraId="50CC207A" w14:textId="69827908" w:rsidR="00D0002F" w:rsidRPr="0018252F" w:rsidRDefault="00930DBD" w:rsidP="00D0002F">
      <w:r>
        <w:t>Table 5.3.</w:t>
      </w:r>
      <w:r w:rsidR="00D0002F" w:rsidRPr="0018252F">
        <w:t xml:space="preserve"> </w:t>
      </w:r>
      <w:r w:rsidR="00604ED6">
        <w:t xml:space="preserve">below </w:t>
      </w:r>
      <w:r w:rsidR="00D0002F" w:rsidRPr="0018252F">
        <w:t xml:space="preserve">integrates </w:t>
      </w:r>
      <w:r w:rsidR="008D2D42">
        <w:t>with</w:t>
      </w:r>
      <w:r>
        <w:t xml:space="preserve"> </w:t>
      </w:r>
      <w:r w:rsidR="00D0002F" w:rsidRPr="0018252F">
        <w:t xml:space="preserve">the </w:t>
      </w:r>
      <w:r w:rsidR="00D0002F" w:rsidRPr="004A5567">
        <w:rPr>
          <w:b/>
          <w:bCs/>
        </w:rPr>
        <w:t>MIP-CIE framework from Section 3</w:t>
      </w:r>
      <w:r w:rsidR="00D0002F" w:rsidRPr="0018252F">
        <w:t xml:space="preserve"> </w:t>
      </w:r>
      <w:r w:rsidR="00A16EF5">
        <w:t>(</w:t>
      </w:r>
      <w:r w:rsidR="008D2D42">
        <w:t xml:space="preserve">Table 3.1.) </w:t>
      </w:r>
      <w:r w:rsidR="00D0002F" w:rsidRPr="0018252F">
        <w:t>with evidence anchors from the synthesis. It illustrates how specific challenges are addressed by design requirements and supported by the evidence base.</w:t>
      </w:r>
    </w:p>
    <w:p w14:paraId="4206D56B" w14:textId="1F4DC242" w:rsidR="00D0002F" w:rsidRDefault="00D0002F" w:rsidP="00517EA3">
      <w:pPr>
        <w:pStyle w:val="TableCaption"/>
      </w:pPr>
      <w:r>
        <w:lastRenderedPageBreak/>
        <w:t xml:space="preserve">Table </w:t>
      </w:r>
      <w:r w:rsidR="00517EA3">
        <w:t>5.3</w:t>
      </w:r>
      <w:r>
        <w:t>. MIP-CIE framework Matrix with Evidence Anchors</w:t>
      </w:r>
    </w:p>
    <w:tbl>
      <w:tblPr>
        <w:tblStyle w:val="CIETable"/>
        <w:tblW w:w="5239" w:type="pct"/>
        <w:tblLayout w:type="fixed"/>
        <w:tblLook w:val="04A0" w:firstRow="1" w:lastRow="0" w:firstColumn="1" w:lastColumn="0" w:noHBand="0" w:noVBand="1"/>
      </w:tblPr>
      <w:tblGrid>
        <w:gridCol w:w="1900"/>
        <w:gridCol w:w="2631"/>
        <w:gridCol w:w="2052"/>
        <w:gridCol w:w="1812"/>
        <w:gridCol w:w="1693"/>
      </w:tblGrid>
      <w:tr w:rsidR="0079384E" w:rsidRPr="00875026" w14:paraId="281E9DFC" w14:textId="77777777" w:rsidTr="0079384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2" w:type="pct"/>
            <w:hideMark/>
          </w:tcPr>
          <w:p w14:paraId="3D042F80" w14:textId="77777777" w:rsidR="0079384E" w:rsidRPr="00875026" w:rsidRDefault="0079384E" w:rsidP="0079384E">
            <w:pPr>
              <w:pStyle w:val="TableHeading"/>
            </w:pPr>
            <w:r w:rsidRPr="00875026">
              <w:t>Level</w:t>
            </w:r>
          </w:p>
        </w:tc>
        <w:tc>
          <w:tcPr>
            <w:tcW w:w="1304" w:type="pct"/>
            <w:hideMark/>
          </w:tcPr>
          <w:p w14:paraId="649F217B" w14:textId="77777777" w:rsidR="0079384E" w:rsidRPr="00875026" w:rsidRDefault="0079384E" w:rsidP="0079384E">
            <w:pPr>
              <w:pStyle w:val="TableHeading"/>
              <w:cnfStyle w:val="100000000000" w:firstRow="1" w:lastRow="0" w:firstColumn="0" w:lastColumn="0" w:oddVBand="0" w:evenVBand="0" w:oddHBand="0" w:evenHBand="0" w:firstRowFirstColumn="0" w:firstRowLastColumn="0" w:lastRowFirstColumn="0" w:lastRowLastColumn="0"/>
            </w:pPr>
            <w:r w:rsidRPr="00875026">
              <w:t>Challenge / Determinant</w:t>
            </w:r>
          </w:p>
        </w:tc>
        <w:tc>
          <w:tcPr>
            <w:tcW w:w="1017" w:type="pct"/>
            <w:hideMark/>
          </w:tcPr>
          <w:p w14:paraId="47D45FAC" w14:textId="77777777" w:rsidR="0079384E" w:rsidRPr="00875026" w:rsidRDefault="0079384E" w:rsidP="0079384E">
            <w:pPr>
              <w:pStyle w:val="TableHeading"/>
              <w:cnfStyle w:val="100000000000" w:firstRow="1" w:lastRow="0" w:firstColumn="0" w:lastColumn="0" w:oddVBand="0" w:evenVBand="0" w:oddHBand="0" w:evenHBand="0" w:firstRowFirstColumn="0" w:firstRowLastColumn="0" w:lastRowFirstColumn="0" w:lastRowLastColumn="0"/>
            </w:pPr>
            <w:r w:rsidRPr="00875026">
              <w:t>Mechanism (How the Challenge Blocks CIE)</w:t>
            </w:r>
          </w:p>
        </w:tc>
        <w:tc>
          <w:tcPr>
            <w:tcW w:w="898" w:type="pct"/>
            <w:hideMark/>
          </w:tcPr>
          <w:p w14:paraId="39672A38" w14:textId="77777777" w:rsidR="0079384E" w:rsidRPr="00875026" w:rsidRDefault="0079384E" w:rsidP="0079384E">
            <w:pPr>
              <w:pStyle w:val="TableHeading"/>
              <w:cnfStyle w:val="100000000000" w:firstRow="1" w:lastRow="0" w:firstColumn="0" w:lastColumn="0" w:oddVBand="0" w:evenVBand="0" w:oddHBand="0" w:evenHBand="0" w:firstRowFirstColumn="0" w:firstRowLastColumn="0" w:lastRowFirstColumn="0" w:lastRowLastColumn="0"/>
            </w:pPr>
            <w:r w:rsidRPr="00875026">
              <w:t>Design Requirement for CIE Supports (Programme Theory)</w:t>
            </w:r>
          </w:p>
        </w:tc>
        <w:tc>
          <w:tcPr>
            <w:tcW w:w="839" w:type="pct"/>
            <w:hideMark/>
          </w:tcPr>
          <w:p w14:paraId="45CB6CED" w14:textId="77777777" w:rsidR="0079384E" w:rsidRPr="00875026" w:rsidRDefault="0079384E" w:rsidP="0079384E">
            <w:pPr>
              <w:pStyle w:val="TableHeading"/>
              <w:cnfStyle w:val="100000000000" w:firstRow="1" w:lastRow="0" w:firstColumn="0" w:lastColumn="0" w:oddVBand="0" w:evenVBand="0" w:oddHBand="0" w:evenHBand="0" w:firstRowFirstColumn="0" w:firstRowLastColumn="0" w:lastRowFirstColumn="0" w:lastRowLastColumn="0"/>
            </w:pPr>
            <w:r w:rsidRPr="00875026">
              <w:t>Evidence Anchor (SRs and/or Australia)</w:t>
            </w:r>
          </w:p>
        </w:tc>
      </w:tr>
      <w:tr w:rsidR="0079384E" w:rsidRPr="00875026" w14:paraId="23F39907" w14:textId="77777777" w:rsidTr="00793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hideMark/>
          </w:tcPr>
          <w:p w14:paraId="399F96E0" w14:textId="77777777" w:rsidR="0079384E" w:rsidRPr="00875026" w:rsidRDefault="0079384E" w:rsidP="0079384E">
            <w:pPr>
              <w:pStyle w:val="TableText"/>
            </w:pPr>
            <w:r w:rsidRPr="00875026">
              <w:t>Macro / Structural Pathways</w:t>
            </w:r>
          </w:p>
        </w:tc>
        <w:tc>
          <w:tcPr>
            <w:tcW w:w="1304" w:type="pct"/>
            <w:hideMark/>
          </w:tcPr>
          <w:p w14:paraId="3A6BF068"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Persistence of segregated pathways with weak transition to open employment</w:t>
            </w:r>
          </w:p>
        </w:tc>
        <w:tc>
          <w:tcPr>
            <w:tcW w:w="1017" w:type="pct"/>
            <w:hideMark/>
          </w:tcPr>
          <w:p w14:paraId="59F2A83C"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Path dependency narrows opportunities and expectations, reducing transition rates to open employment</w:t>
            </w:r>
          </w:p>
        </w:tc>
        <w:tc>
          <w:tcPr>
            <w:tcW w:w="898" w:type="pct"/>
            <w:hideMark/>
          </w:tcPr>
          <w:p w14:paraId="4D2CF990"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Treat de-segregation and transition pathways as system preconditions; specify transition mechanisms</w:t>
            </w:r>
          </w:p>
        </w:tc>
        <w:tc>
          <w:tcPr>
            <w:tcW w:w="839" w:type="pct"/>
            <w:hideMark/>
          </w:tcPr>
          <w:p w14:paraId="516ED524"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SR: Taylor et al., 2022; Taylor et al., 2023; Australia: Supported Employment Plan, ADE reform, Disability Royal Commission</w:t>
            </w:r>
          </w:p>
        </w:tc>
      </w:tr>
      <w:tr w:rsidR="0079384E" w:rsidRPr="00875026" w14:paraId="3E2E9EFD" w14:textId="77777777" w:rsidTr="00793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hideMark/>
          </w:tcPr>
          <w:p w14:paraId="534257F1" w14:textId="77777777" w:rsidR="0079384E" w:rsidRPr="00875026" w:rsidRDefault="0079384E" w:rsidP="0079384E">
            <w:pPr>
              <w:pStyle w:val="TableText"/>
            </w:pPr>
            <w:r w:rsidRPr="00875026">
              <w:t>Macro / Service-System</w:t>
            </w:r>
          </w:p>
        </w:tc>
        <w:tc>
          <w:tcPr>
            <w:tcW w:w="1304" w:type="pct"/>
            <w:hideMark/>
          </w:tcPr>
          <w:p w14:paraId="33348D72"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Programme settings shape service ‘dose’ and continuity</w:t>
            </w:r>
          </w:p>
        </w:tc>
        <w:tc>
          <w:tcPr>
            <w:tcW w:w="1017" w:type="pct"/>
            <w:hideMark/>
          </w:tcPr>
          <w:p w14:paraId="0223208A"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Incentives and rules affect intensity and duration of support; reforms may disrupt continuity</w:t>
            </w:r>
          </w:p>
        </w:tc>
        <w:tc>
          <w:tcPr>
            <w:tcW w:w="898" w:type="pct"/>
            <w:hideMark/>
          </w:tcPr>
          <w:p w14:paraId="18A4049C"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Make platform assumptions explicit; include safeguards for continuity and workforce capability</w:t>
            </w:r>
          </w:p>
        </w:tc>
        <w:tc>
          <w:tcPr>
            <w:tcW w:w="839" w:type="pct"/>
            <w:hideMark/>
          </w:tcPr>
          <w:p w14:paraId="67518A2C" w14:textId="2FE07569"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 xml:space="preserve">Australia: DSS – </w:t>
            </w:r>
            <w:r w:rsidR="0087194D">
              <w:t>Inclusive Employment Australia</w:t>
            </w:r>
            <w:r w:rsidRPr="00875026">
              <w:t xml:space="preserve"> settings (from 1 Nov 2025); Services Australia transition advice; National Panel of Assessors</w:t>
            </w:r>
          </w:p>
        </w:tc>
      </w:tr>
      <w:tr w:rsidR="0079384E" w:rsidRPr="00875026" w14:paraId="2A2DBEDE" w14:textId="77777777" w:rsidTr="00793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hideMark/>
          </w:tcPr>
          <w:p w14:paraId="1D96240F" w14:textId="77777777" w:rsidR="0079384E" w:rsidRPr="00875026" w:rsidRDefault="0079384E" w:rsidP="0079384E">
            <w:pPr>
              <w:pStyle w:val="TableText"/>
            </w:pPr>
            <w:r w:rsidRPr="00875026">
              <w:t>Meso / School-to-Work</w:t>
            </w:r>
          </w:p>
        </w:tc>
        <w:tc>
          <w:tcPr>
            <w:tcW w:w="1304" w:type="pct"/>
            <w:hideMark/>
          </w:tcPr>
          <w:p w14:paraId="23F20641"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Insufficient work-based learning and transition planning</w:t>
            </w:r>
          </w:p>
        </w:tc>
        <w:tc>
          <w:tcPr>
            <w:tcW w:w="1017" w:type="pct"/>
            <w:hideMark/>
          </w:tcPr>
          <w:p w14:paraId="16E6A4F0"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Weak vocational identity and limited networks reduce job-person fit</w:t>
            </w:r>
          </w:p>
        </w:tc>
        <w:tc>
          <w:tcPr>
            <w:tcW w:w="898" w:type="pct"/>
            <w:hideMark/>
          </w:tcPr>
          <w:p w14:paraId="29523CF1"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Specify early transition components: work experience, employer engagement, and pathway coordination</w:t>
            </w:r>
          </w:p>
        </w:tc>
        <w:tc>
          <w:tcPr>
            <w:tcW w:w="839" w:type="pct"/>
            <w:hideMark/>
          </w:tcPr>
          <w:p w14:paraId="52F8B467"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SR: Enticott &amp; Dew 2025; Nevala et al., 2019; Australia: Employment Readiness Programmes, NDIA Participant Employment Strategy (2024–26)</w:t>
            </w:r>
          </w:p>
        </w:tc>
      </w:tr>
      <w:tr w:rsidR="0079384E" w:rsidRPr="00875026" w14:paraId="3A8C4CD4" w14:textId="77777777" w:rsidTr="00793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hideMark/>
          </w:tcPr>
          <w:p w14:paraId="38001042" w14:textId="77777777" w:rsidR="0079384E" w:rsidRDefault="0079384E" w:rsidP="0079384E">
            <w:pPr>
              <w:pStyle w:val="TableText"/>
              <w:rPr>
                <w:b w:val="0"/>
                <w:bCs/>
              </w:rPr>
            </w:pPr>
            <w:r w:rsidRPr="00875026">
              <w:t>Meso / Provider Model</w:t>
            </w:r>
          </w:p>
          <w:p w14:paraId="757C83FF" w14:textId="77777777" w:rsidR="0079384E" w:rsidRDefault="0079384E" w:rsidP="0079384E">
            <w:pPr>
              <w:pStyle w:val="TableText"/>
              <w:rPr>
                <w:b w:val="0"/>
                <w:bCs/>
              </w:rPr>
            </w:pPr>
          </w:p>
          <w:p w14:paraId="44E0CD8A" w14:textId="77777777" w:rsidR="0079384E" w:rsidRDefault="0079384E" w:rsidP="0079384E">
            <w:pPr>
              <w:pStyle w:val="TableText"/>
              <w:rPr>
                <w:b w:val="0"/>
                <w:bCs/>
              </w:rPr>
            </w:pPr>
          </w:p>
          <w:p w14:paraId="7F3A035E" w14:textId="77777777" w:rsidR="0079384E" w:rsidRDefault="0079384E" w:rsidP="0079384E">
            <w:pPr>
              <w:pStyle w:val="TableText"/>
              <w:rPr>
                <w:b w:val="0"/>
                <w:bCs/>
              </w:rPr>
            </w:pPr>
          </w:p>
          <w:p w14:paraId="6FA01DFD" w14:textId="77777777" w:rsidR="0079384E" w:rsidRDefault="0079384E" w:rsidP="0079384E">
            <w:pPr>
              <w:pStyle w:val="TableText"/>
              <w:rPr>
                <w:b w:val="0"/>
                <w:bCs/>
              </w:rPr>
            </w:pPr>
          </w:p>
          <w:p w14:paraId="6CAB61E0" w14:textId="77777777" w:rsidR="0079384E" w:rsidRDefault="0079384E" w:rsidP="0079384E">
            <w:pPr>
              <w:pStyle w:val="TableText"/>
              <w:rPr>
                <w:b w:val="0"/>
                <w:bCs/>
              </w:rPr>
            </w:pPr>
          </w:p>
          <w:p w14:paraId="05D6CF08" w14:textId="77777777" w:rsidR="0079384E" w:rsidRPr="00875026" w:rsidRDefault="0079384E" w:rsidP="0079384E">
            <w:pPr>
              <w:pStyle w:val="TableText"/>
            </w:pPr>
          </w:p>
        </w:tc>
        <w:tc>
          <w:tcPr>
            <w:tcW w:w="1304" w:type="pct"/>
            <w:hideMark/>
          </w:tcPr>
          <w:p w14:paraId="1CD114BD"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lastRenderedPageBreak/>
              <w:t>Inconsistent implementation and support intensity (‘dose’)</w:t>
            </w:r>
          </w:p>
        </w:tc>
        <w:tc>
          <w:tcPr>
            <w:tcW w:w="1017" w:type="pct"/>
            <w:hideMark/>
          </w:tcPr>
          <w:p w14:paraId="1C155E4B"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Low contact frequency and weak sequencing reduce skill acquisition and job fit</w:t>
            </w:r>
          </w:p>
        </w:tc>
        <w:tc>
          <w:tcPr>
            <w:tcW w:w="898" w:type="pct"/>
            <w:hideMark/>
          </w:tcPr>
          <w:p w14:paraId="7ACF2F98"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 xml:space="preserve">Treat dose as a causal moderator; specify sequencing, frequency, and </w:t>
            </w:r>
            <w:r w:rsidRPr="00875026">
              <w:lastRenderedPageBreak/>
              <w:t>re-intensification triggers</w:t>
            </w:r>
          </w:p>
        </w:tc>
        <w:tc>
          <w:tcPr>
            <w:tcW w:w="839" w:type="pct"/>
            <w:hideMark/>
          </w:tcPr>
          <w:p w14:paraId="7961DDF1"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lastRenderedPageBreak/>
              <w:t>SR: Carlson et al., 2020; Nevala et al., 2019; Taubner et al., 2022</w:t>
            </w:r>
          </w:p>
        </w:tc>
      </w:tr>
      <w:tr w:rsidR="0079384E" w:rsidRPr="00875026" w14:paraId="13A56E8F" w14:textId="77777777" w:rsidTr="00793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hideMark/>
          </w:tcPr>
          <w:p w14:paraId="336C389C" w14:textId="77777777" w:rsidR="0079384E" w:rsidRPr="00875026" w:rsidRDefault="0079384E" w:rsidP="0079384E">
            <w:pPr>
              <w:pStyle w:val="TableText"/>
            </w:pPr>
            <w:r w:rsidRPr="00875026">
              <w:t>Workplace / Employer Demand</w:t>
            </w:r>
          </w:p>
        </w:tc>
        <w:tc>
          <w:tcPr>
            <w:tcW w:w="1304" w:type="pct"/>
            <w:hideMark/>
          </w:tcPr>
          <w:p w14:paraId="59C4791C"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Employer risk aversion and low expectations</w:t>
            </w:r>
          </w:p>
        </w:tc>
        <w:tc>
          <w:tcPr>
            <w:tcW w:w="1017" w:type="pct"/>
            <w:hideMark/>
          </w:tcPr>
          <w:p w14:paraId="6167091A"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Stigma and uncertainty suppress hiring and advancement opportunities</w:t>
            </w:r>
          </w:p>
        </w:tc>
        <w:tc>
          <w:tcPr>
            <w:tcW w:w="898" w:type="pct"/>
            <w:hideMark/>
          </w:tcPr>
          <w:p w14:paraId="48D513CB"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Position employer engagement as a core component; include coaching and natural supports</w:t>
            </w:r>
          </w:p>
        </w:tc>
        <w:tc>
          <w:tcPr>
            <w:tcW w:w="839" w:type="pct"/>
            <w:hideMark/>
          </w:tcPr>
          <w:p w14:paraId="31653B6C"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SR: Taubner et al., 2022; Carlson et al., 2020; Australia: JobAccess, EAF</w:t>
            </w:r>
          </w:p>
        </w:tc>
      </w:tr>
      <w:tr w:rsidR="0079384E" w:rsidRPr="00875026" w14:paraId="7F1EDE7B" w14:textId="77777777" w:rsidTr="00793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hideMark/>
          </w:tcPr>
          <w:p w14:paraId="4C8F3300" w14:textId="77777777" w:rsidR="0079384E" w:rsidRPr="00875026" w:rsidRDefault="0079384E" w:rsidP="0079384E">
            <w:pPr>
              <w:pStyle w:val="TableText"/>
            </w:pPr>
            <w:r w:rsidRPr="00875026">
              <w:t>Workplace / Job Design</w:t>
            </w:r>
          </w:p>
        </w:tc>
        <w:tc>
          <w:tcPr>
            <w:tcW w:w="1304" w:type="pct"/>
            <w:hideMark/>
          </w:tcPr>
          <w:p w14:paraId="2CA452AE"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High cognitive/communicative load relative to processing affordances</w:t>
            </w:r>
          </w:p>
        </w:tc>
        <w:tc>
          <w:tcPr>
            <w:tcW w:w="1017" w:type="pct"/>
            <w:hideMark/>
          </w:tcPr>
          <w:p w14:paraId="3704A239"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Mismatch leads to errors and exclusion; performance issues misattributed to the person</w:t>
            </w:r>
          </w:p>
        </w:tc>
        <w:tc>
          <w:tcPr>
            <w:tcW w:w="898" w:type="pct"/>
            <w:hideMark/>
          </w:tcPr>
          <w:p w14:paraId="47D02359"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Make mismatch assessable and modifiable; include job redesign, visual supports, and adjustments</w:t>
            </w:r>
          </w:p>
        </w:tc>
        <w:tc>
          <w:tcPr>
            <w:tcW w:w="839" w:type="pct"/>
            <w:hideMark/>
          </w:tcPr>
          <w:p w14:paraId="16E8E17B"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SR: Carlson et al., 2020; Morash-Macneil et al., 2018; Australia: EAF, JobAccess, DDA</w:t>
            </w:r>
          </w:p>
        </w:tc>
      </w:tr>
      <w:tr w:rsidR="0079384E" w:rsidRPr="00875026" w14:paraId="7A5B393A" w14:textId="77777777" w:rsidTr="007938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tcBorders>
              <w:bottom w:val="single" w:sz="4" w:space="0" w:color="C0C0C0" w:themeColor="accent5"/>
            </w:tcBorders>
            <w:hideMark/>
          </w:tcPr>
          <w:p w14:paraId="5E4A1ABB" w14:textId="77777777" w:rsidR="0079384E" w:rsidRPr="00875026" w:rsidRDefault="0079384E" w:rsidP="0079384E">
            <w:pPr>
              <w:pStyle w:val="TableText"/>
            </w:pPr>
            <w:r w:rsidRPr="00875026">
              <w:t>Workplace / Retention</w:t>
            </w:r>
          </w:p>
        </w:tc>
        <w:tc>
          <w:tcPr>
            <w:tcW w:w="1304" w:type="pct"/>
            <w:tcBorders>
              <w:bottom w:val="single" w:sz="4" w:space="0" w:color="C0C0C0" w:themeColor="accent5"/>
            </w:tcBorders>
            <w:hideMark/>
          </w:tcPr>
          <w:p w14:paraId="5BF0501F"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Lack of follow-along support and slow response to workplace changes</w:t>
            </w:r>
          </w:p>
        </w:tc>
        <w:tc>
          <w:tcPr>
            <w:tcW w:w="1017" w:type="pct"/>
            <w:tcBorders>
              <w:bottom w:val="single" w:sz="4" w:space="0" w:color="C0C0C0" w:themeColor="accent5"/>
            </w:tcBorders>
            <w:hideMark/>
          </w:tcPr>
          <w:p w14:paraId="2D3EAD73"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Accumulated issues lead to preventable job exits</w:t>
            </w:r>
          </w:p>
        </w:tc>
        <w:tc>
          <w:tcPr>
            <w:tcW w:w="898" w:type="pct"/>
            <w:tcBorders>
              <w:bottom w:val="single" w:sz="4" w:space="0" w:color="C0C0C0" w:themeColor="accent5"/>
            </w:tcBorders>
            <w:hideMark/>
          </w:tcPr>
          <w:p w14:paraId="5890D5BD" w14:textId="77777777"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Specify maintenance architecture; include early warning systems and re-intensification protocols</w:t>
            </w:r>
          </w:p>
        </w:tc>
        <w:tc>
          <w:tcPr>
            <w:tcW w:w="839" w:type="pct"/>
            <w:tcBorders>
              <w:bottom w:val="single" w:sz="4" w:space="0" w:color="C0C0C0" w:themeColor="accent5"/>
            </w:tcBorders>
            <w:hideMark/>
          </w:tcPr>
          <w:p w14:paraId="4764A002" w14:textId="51D0F992" w:rsidR="0079384E" w:rsidRPr="00875026" w:rsidRDefault="0079384E" w:rsidP="0079384E">
            <w:pPr>
              <w:pStyle w:val="TableText"/>
              <w:cnfStyle w:val="000000100000" w:firstRow="0" w:lastRow="0" w:firstColumn="0" w:lastColumn="0" w:oddVBand="0" w:evenVBand="0" w:oddHBand="1" w:evenHBand="0" w:firstRowFirstColumn="0" w:firstRowLastColumn="0" w:lastRowFirstColumn="0" w:lastRowLastColumn="0"/>
            </w:pPr>
            <w:r w:rsidRPr="00875026">
              <w:t xml:space="preserve">SR: Taubner et al., 2022; Carlson et al., 2020; Australia: </w:t>
            </w:r>
            <w:r w:rsidR="0087194D">
              <w:t>Inclusive Employment Australia</w:t>
            </w:r>
            <w:r w:rsidRPr="00875026">
              <w:t>, NDIA, provider continuity settings</w:t>
            </w:r>
          </w:p>
        </w:tc>
      </w:tr>
      <w:tr w:rsidR="0079384E" w:rsidRPr="00875026" w14:paraId="68FA20E9" w14:textId="77777777" w:rsidTr="007938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2" w:type="pct"/>
            <w:tcBorders>
              <w:bottom w:val="single" w:sz="4" w:space="0" w:color="C0C0C0" w:themeColor="accent5"/>
            </w:tcBorders>
            <w:hideMark/>
          </w:tcPr>
          <w:p w14:paraId="18AF515F" w14:textId="77777777" w:rsidR="0079384E" w:rsidRPr="00875026" w:rsidRDefault="0079384E" w:rsidP="0079384E">
            <w:pPr>
              <w:pStyle w:val="TableText"/>
            </w:pPr>
            <w:r w:rsidRPr="00875026">
              <w:t>Contextual Determinants</w:t>
            </w:r>
          </w:p>
        </w:tc>
        <w:tc>
          <w:tcPr>
            <w:tcW w:w="1304" w:type="pct"/>
            <w:tcBorders>
              <w:bottom w:val="single" w:sz="4" w:space="0" w:color="C0C0C0" w:themeColor="accent5"/>
            </w:tcBorders>
            <w:hideMark/>
          </w:tcPr>
          <w:p w14:paraId="18D16130"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Income support and wage-setting interfaces</w:t>
            </w:r>
          </w:p>
        </w:tc>
        <w:tc>
          <w:tcPr>
            <w:tcW w:w="1017" w:type="pct"/>
            <w:tcBorders>
              <w:bottom w:val="single" w:sz="4" w:space="0" w:color="C0C0C0" w:themeColor="accent5"/>
            </w:tcBorders>
            <w:hideMark/>
          </w:tcPr>
          <w:p w14:paraId="338A2057"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Financial risk and complexity bias decisions toward minimal hours or segregated options</w:t>
            </w:r>
          </w:p>
        </w:tc>
        <w:tc>
          <w:tcPr>
            <w:tcW w:w="898" w:type="pct"/>
            <w:tcBorders>
              <w:bottom w:val="single" w:sz="4" w:space="0" w:color="C0C0C0" w:themeColor="accent5"/>
            </w:tcBorders>
            <w:hideMark/>
          </w:tcPr>
          <w:p w14:paraId="55078265"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Treat as contextual determinants: include navigation supports where embedded in service models</w:t>
            </w:r>
          </w:p>
        </w:tc>
        <w:tc>
          <w:tcPr>
            <w:tcW w:w="839" w:type="pct"/>
            <w:tcBorders>
              <w:bottom w:val="single" w:sz="4" w:space="0" w:color="C0C0C0" w:themeColor="accent5"/>
            </w:tcBorders>
            <w:hideMark/>
          </w:tcPr>
          <w:p w14:paraId="1C223FE6" w14:textId="77777777" w:rsidR="0079384E" w:rsidRPr="00875026" w:rsidRDefault="0079384E" w:rsidP="0079384E">
            <w:pPr>
              <w:pStyle w:val="TableText"/>
              <w:cnfStyle w:val="000000010000" w:firstRow="0" w:lastRow="0" w:firstColumn="0" w:lastColumn="0" w:oddVBand="0" w:evenVBand="0" w:oddHBand="0" w:evenHBand="1" w:firstRowFirstColumn="0" w:firstRowLastColumn="0" w:lastRowFirstColumn="0" w:lastRowLastColumn="0"/>
            </w:pPr>
            <w:r w:rsidRPr="00875026">
              <w:t>Australia: DSP rules, SWS, Supported Employment Services Award, Services Australia guidance</w:t>
            </w:r>
          </w:p>
        </w:tc>
      </w:tr>
    </w:tbl>
    <w:p w14:paraId="22236FBC" w14:textId="77777777" w:rsidR="00D0002F" w:rsidRDefault="00D0002F" w:rsidP="00D0002F">
      <w:r>
        <w:br w:type="page"/>
      </w:r>
    </w:p>
    <w:p w14:paraId="44824BCC" w14:textId="77777777" w:rsidR="00D0002F" w:rsidRPr="00ED411B" w:rsidRDefault="00D0002F" w:rsidP="000E25CA">
      <w:pPr>
        <w:pStyle w:val="Numberedheading1"/>
      </w:pPr>
      <w:bookmarkStart w:id="52" w:name="_Toc231220066"/>
      <w:r w:rsidRPr="00ED411B">
        <w:lastRenderedPageBreak/>
        <w:t xml:space="preserve">Implementation and </w:t>
      </w:r>
      <w:r>
        <w:t>s</w:t>
      </w:r>
      <w:r w:rsidRPr="00ED411B">
        <w:t xml:space="preserve">ervice </w:t>
      </w:r>
      <w:r>
        <w:t>d</w:t>
      </w:r>
      <w:r w:rsidRPr="00ED411B">
        <w:t xml:space="preserve">elivery: </w:t>
      </w:r>
      <w:r>
        <w:t>d</w:t>
      </w:r>
      <w:r w:rsidRPr="00ED411B">
        <w:t xml:space="preserve">eterminants of </w:t>
      </w:r>
      <w:r>
        <w:t>u</w:t>
      </w:r>
      <w:r w:rsidRPr="00ED411B">
        <w:t xml:space="preserve">ptake and </w:t>
      </w:r>
      <w:r>
        <w:t>f</w:t>
      </w:r>
      <w:r w:rsidRPr="00ED411B">
        <w:t>idelity</w:t>
      </w:r>
      <w:bookmarkEnd w:id="52"/>
    </w:p>
    <w:p w14:paraId="55A2BC68" w14:textId="10635ACB" w:rsidR="00D0002F" w:rsidRPr="0053581F" w:rsidRDefault="00D0002F" w:rsidP="00D0002F">
      <w:r w:rsidRPr="0053581F">
        <w:t>This section summarises the implementation conditions that influence whether evidence-informed competitive integrated employment</w:t>
      </w:r>
      <w:r w:rsidR="00B03462">
        <w:t>/</w:t>
      </w:r>
      <w:r w:rsidRPr="0053581F">
        <w:t xml:space="preserve">open employment practices achieve outcomes in routine Australian settings. Implementation is treated as an overlay to the </w:t>
      </w:r>
      <w:r w:rsidRPr="004A5567">
        <w:t>MIP-CIE framework</w:t>
      </w:r>
      <w:r w:rsidRPr="0053581F">
        <w:t>: the same practice components can yield different results depending on workforce capability, support intensity (‘dose’), employer partnerships, and cross</w:t>
      </w:r>
      <w:r>
        <w:t>-</w:t>
      </w:r>
      <w:r w:rsidRPr="0053581F">
        <w:t>system coordination.</w:t>
      </w:r>
    </w:p>
    <w:p w14:paraId="5F22BFD1" w14:textId="6ADA9633" w:rsidR="00D0002F" w:rsidRPr="0053581F" w:rsidRDefault="00D0002F" w:rsidP="00D0002F">
      <w:r w:rsidRPr="0053581F">
        <w:t xml:space="preserve">Implementation pathways and determinants align with the </w:t>
      </w:r>
      <w:r w:rsidRPr="004A5567">
        <w:t xml:space="preserve">MIP-CIE framework </w:t>
      </w:r>
      <w:r w:rsidRPr="0053581F">
        <w:t xml:space="preserve">matrix (Table 3.1A), particularly the rows addressing </w:t>
      </w:r>
      <w:r w:rsidR="0087194D">
        <w:t>Inclusive Employment Australia</w:t>
      </w:r>
      <w:r w:rsidRPr="0053581F">
        <w:t xml:space="preserve"> reform, NDIS/Employment Readiness Programmes interfaces, provider capability and fidelity, employer engagement, job design and mismatch reduction, and follow</w:t>
      </w:r>
      <w:r>
        <w:t>-</w:t>
      </w:r>
      <w:r w:rsidRPr="0053581F">
        <w:t>along supports.</w:t>
      </w:r>
    </w:p>
    <w:p w14:paraId="53258D31" w14:textId="660CBB3B" w:rsidR="00D0002F" w:rsidRPr="00ED411B" w:rsidRDefault="00D0002F" w:rsidP="00807628">
      <w:pPr>
        <w:pStyle w:val="Numberedheading2"/>
      </w:pPr>
      <w:bookmarkStart w:id="53" w:name="_Toc231220067"/>
      <w:r w:rsidRPr="00ED411B">
        <w:t xml:space="preserve">Key </w:t>
      </w:r>
      <w:r>
        <w:t>d</w:t>
      </w:r>
      <w:r w:rsidRPr="00ED411B">
        <w:t xml:space="preserve">eterminants of </w:t>
      </w:r>
      <w:r>
        <w:t>p</w:t>
      </w:r>
      <w:r w:rsidRPr="00ED411B">
        <w:t>ractice-</w:t>
      </w:r>
      <w:r>
        <w:t>i</w:t>
      </w:r>
      <w:r w:rsidRPr="00ED411B">
        <w:t xml:space="preserve">mplementation </w:t>
      </w:r>
      <w:r>
        <w:t>f</w:t>
      </w:r>
      <w:r w:rsidRPr="00ED411B">
        <w:t>it</w:t>
      </w:r>
      <w:bookmarkEnd w:id="53"/>
    </w:p>
    <w:p w14:paraId="62A66997" w14:textId="77777777" w:rsidR="00D0002F" w:rsidRPr="0094002F" w:rsidRDefault="00D0002F" w:rsidP="00D0002F">
      <w:r w:rsidRPr="0094002F">
        <w:t>Implementation success is most consistently shaped by:</w:t>
      </w:r>
    </w:p>
    <w:p w14:paraId="252DA910" w14:textId="77777777" w:rsidR="00D0002F" w:rsidRPr="0094002F" w:rsidRDefault="00D0002F" w:rsidP="000E25CA">
      <w:pPr>
        <w:pStyle w:val="ListBullet"/>
      </w:pPr>
      <w:r w:rsidRPr="0094002F">
        <w:rPr>
          <w:b/>
          <w:bCs/>
        </w:rPr>
        <w:t>Sufficient time and skilled labour</w:t>
      </w:r>
      <w:r w:rsidRPr="0094002F">
        <w:t xml:space="preserve"> for discovery, job development, and job matching.</w:t>
      </w:r>
    </w:p>
    <w:p w14:paraId="63BB912B" w14:textId="77777777" w:rsidR="00D0002F" w:rsidRPr="0094002F" w:rsidRDefault="00D0002F" w:rsidP="000E25CA">
      <w:pPr>
        <w:pStyle w:val="ListBullet"/>
      </w:pPr>
      <w:r w:rsidRPr="0094002F">
        <w:t>Capacity to deliver structured on</w:t>
      </w:r>
      <w:r>
        <w:t>-</w:t>
      </w:r>
      <w:r w:rsidRPr="0094002F">
        <w:t>the</w:t>
      </w:r>
      <w:r>
        <w:t>-</w:t>
      </w:r>
      <w:r w:rsidRPr="0094002F">
        <w:t>job training and to fade/re</w:t>
      </w:r>
      <w:r>
        <w:t>-</w:t>
      </w:r>
      <w:r w:rsidRPr="0094002F">
        <w:t>intensify coaching responsively.</w:t>
      </w:r>
    </w:p>
    <w:p w14:paraId="2DBD0DF7" w14:textId="77777777" w:rsidR="00D0002F" w:rsidRPr="0094002F" w:rsidRDefault="00D0002F" w:rsidP="000E25CA">
      <w:pPr>
        <w:pStyle w:val="ListBullet"/>
      </w:pPr>
      <w:r w:rsidRPr="0094002F">
        <w:t>Employer capability and inclusive workplace practices, including natural supports.</w:t>
      </w:r>
    </w:p>
    <w:p w14:paraId="48CD936C" w14:textId="77777777" w:rsidR="00D0002F" w:rsidRPr="0094002F" w:rsidRDefault="00D0002F" w:rsidP="000E25CA">
      <w:pPr>
        <w:pStyle w:val="ListBullet"/>
      </w:pPr>
      <w:r w:rsidRPr="00017F6D">
        <w:t>Timely provision of reasonable adjustments and assistive technology</w:t>
      </w:r>
      <w:r w:rsidRPr="0094002F">
        <w:t>.</w:t>
      </w:r>
    </w:p>
    <w:p w14:paraId="119D7625" w14:textId="77777777" w:rsidR="00D0002F" w:rsidRPr="0094002F" w:rsidRDefault="00D0002F" w:rsidP="000E25CA">
      <w:pPr>
        <w:pStyle w:val="ListBullet"/>
      </w:pPr>
      <w:r w:rsidRPr="00017F6D">
        <w:rPr>
          <w:b/>
          <w:bCs/>
        </w:rPr>
        <w:t>Continuity of supports across transitions</w:t>
      </w:r>
      <w:r w:rsidRPr="0094002F">
        <w:t xml:space="preserve"> (e.g. school</w:t>
      </w:r>
      <w:r>
        <w:t>-</w:t>
      </w:r>
      <w:r w:rsidRPr="0094002F">
        <w:t>to</w:t>
      </w:r>
      <w:r>
        <w:t>-</w:t>
      </w:r>
      <w:r w:rsidRPr="0094002F">
        <w:t>work, provider changes, workplace changes, or episodic life events).</w:t>
      </w:r>
    </w:p>
    <w:p w14:paraId="60CA3019" w14:textId="77777777" w:rsidR="00D0002F" w:rsidRPr="0094002F" w:rsidRDefault="00D0002F" w:rsidP="00D0002F">
      <w:r w:rsidRPr="0094002F">
        <w:t>For people with intellectual disability, these determinants are amplified by cognitive and communicative mismatch risks. High semiotic density and structural complexity in workplace environments require deliberate redesign, scaffolding, and predictable routines.</w:t>
      </w:r>
    </w:p>
    <w:p w14:paraId="47A413EF" w14:textId="08A88CD7" w:rsidR="00D0002F" w:rsidRPr="00ED411B" w:rsidRDefault="00D0002F" w:rsidP="00807628">
      <w:pPr>
        <w:pStyle w:val="Numberedheading2"/>
      </w:pPr>
      <w:bookmarkStart w:id="54" w:name="_Toc231220068"/>
      <w:r w:rsidRPr="00ED411B">
        <w:t xml:space="preserve">Implementation </w:t>
      </w:r>
      <w:r>
        <w:t>l</w:t>
      </w:r>
      <w:r w:rsidRPr="00ED411B">
        <w:t xml:space="preserve">evers by </w:t>
      </w:r>
      <w:r>
        <w:t>d</w:t>
      </w:r>
      <w:r w:rsidRPr="00ED411B">
        <w:t xml:space="preserve">elivery </w:t>
      </w:r>
      <w:r>
        <w:t>i</w:t>
      </w:r>
      <w:r w:rsidRPr="00ED411B">
        <w:t>nterface (Australia)</w:t>
      </w:r>
      <w:bookmarkEnd w:id="54"/>
    </w:p>
    <w:p w14:paraId="7C9DA464" w14:textId="77777777" w:rsidR="00D0002F" w:rsidRPr="00017F6D" w:rsidRDefault="00D0002F" w:rsidP="00D0002F">
      <w:r w:rsidRPr="00017F6D">
        <w:lastRenderedPageBreak/>
        <w:t>The Australian policy and service system shapes how core practice components are delivered and sustained. These delivery interfaces influence feasibility (what can be delivered), dose (how much and for how long), and continuity (whether support can be re</w:t>
      </w:r>
      <w:r>
        <w:t>-</w:t>
      </w:r>
      <w:r w:rsidRPr="00017F6D">
        <w:t>intensified after change). They are treated as contextual determinants and implementation mechanisms.</w:t>
      </w:r>
    </w:p>
    <w:p w14:paraId="46B89819" w14:textId="77777777" w:rsidR="00D0002F" w:rsidRPr="00017F6D" w:rsidRDefault="00D0002F" w:rsidP="00D0002F">
      <w:r w:rsidRPr="00017F6D">
        <w:t>Key delivery interfaces include:</w:t>
      </w:r>
    </w:p>
    <w:p w14:paraId="32AFD604" w14:textId="3166FCCE" w:rsidR="00D0002F" w:rsidRPr="00017F6D" w:rsidRDefault="00D0002F" w:rsidP="0018367E">
      <w:pPr>
        <w:pStyle w:val="ListBullet"/>
      </w:pPr>
      <w:r w:rsidRPr="00017F6D">
        <w:rPr>
          <w:b/>
          <w:bCs/>
        </w:rPr>
        <w:t>Inclusive Employment Australia (</w:t>
      </w:r>
      <w:r w:rsidR="0087194D">
        <w:rPr>
          <w:b/>
          <w:bCs/>
        </w:rPr>
        <w:t>Inclusive Employment Australia</w:t>
      </w:r>
      <w:r w:rsidRPr="00017F6D">
        <w:rPr>
          <w:b/>
          <w:bCs/>
        </w:rPr>
        <w:t>, formerly DES):</w:t>
      </w:r>
      <w:r w:rsidRPr="00017F6D">
        <w:t xml:space="preserve"> the primary platform for job development, employer partnerships, placement, and follow</w:t>
      </w:r>
      <w:r>
        <w:t>-</w:t>
      </w:r>
      <w:r w:rsidRPr="00017F6D">
        <w:t>along, contingent on provider workforce capability and contract settings.</w:t>
      </w:r>
    </w:p>
    <w:p w14:paraId="1EB2369D" w14:textId="77777777" w:rsidR="00D0002F" w:rsidRPr="00017F6D" w:rsidRDefault="00D0002F" w:rsidP="0018367E">
      <w:pPr>
        <w:pStyle w:val="ListBullet"/>
      </w:pPr>
      <w:r w:rsidRPr="00017F6D">
        <w:rPr>
          <w:b/>
          <w:bCs/>
        </w:rPr>
        <w:t>NDIS employment</w:t>
      </w:r>
      <w:r>
        <w:rPr>
          <w:b/>
          <w:bCs/>
        </w:rPr>
        <w:t>-</w:t>
      </w:r>
      <w:r w:rsidRPr="00017F6D">
        <w:rPr>
          <w:b/>
          <w:bCs/>
        </w:rPr>
        <w:t>related supports (including Employment Readiness Programmes and ‘supports in employment’):</w:t>
      </w:r>
      <w:r w:rsidRPr="00017F6D">
        <w:t xml:space="preserve"> enable higher</w:t>
      </w:r>
      <w:r>
        <w:t>-</w:t>
      </w:r>
      <w:r w:rsidRPr="00017F6D">
        <w:t>intensity coaching, assistive technology, and continuity across transitions, especially for participants with higher support needs.</w:t>
      </w:r>
    </w:p>
    <w:p w14:paraId="35E5F2BD" w14:textId="77777777" w:rsidR="00D0002F" w:rsidRPr="00017F6D" w:rsidRDefault="00D0002F" w:rsidP="0018367E">
      <w:pPr>
        <w:pStyle w:val="ListBullet"/>
      </w:pPr>
      <w:r w:rsidRPr="00017F6D">
        <w:rPr>
          <w:b/>
          <w:bCs/>
        </w:rPr>
        <w:t>Transition ecosystem models (e.g. Ticket to Work</w:t>
      </w:r>
      <w:r>
        <w:rPr>
          <w:b/>
          <w:bCs/>
        </w:rPr>
        <w:t>-</w:t>
      </w:r>
      <w:r w:rsidRPr="00017F6D">
        <w:rPr>
          <w:b/>
          <w:bCs/>
        </w:rPr>
        <w:t>style networks):</w:t>
      </w:r>
      <w:r w:rsidRPr="00017F6D">
        <w:t xml:space="preserve"> coordinate school, training, and employment supports to improve job match quality and reduce fragmentation.</w:t>
      </w:r>
    </w:p>
    <w:p w14:paraId="519DFDFF" w14:textId="77777777" w:rsidR="00D0002F" w:rsidRPr="00017F6D" w:rsidRDefault="00D0002F" w:rsidP="0018367E">
      <w:pPr>
        <w:pStyle w:val="ListBullet"/>
      </w:pPr>
      <w:r w:rsidRPr="00017F6D">
        <w:rPr>
          <w:b/>
          <w:bCs/>
        </w:rPr>
        <w:t>Inclusive enterprise pathways (e.g. social firms):</w:t>
      </w:r>
      <w:r w:rsidRPr="00017F6D">
        <w:t xml:space="preserve"> provide structured, award</w:t>
      </w:r>
      <w:r>
        <w:t>-</w:t>
      </w:r>
      <w:r w:rsidRPr="00017F6D">
        <w:t>wage work with embedded job design and in</w:t>
      </w:r>
      <w:r>
        <w:t>-</w:t>
      </w:r>
      <w:r w:rsidRPr="00017F6D">
        <w:t>work supports.</w:t>
      </w:r>
    </w:p>
    <w:p w14:paraId="35260876" w14:textId="77777777" w:rsidR="00D0002F" w:rsidRPr="00017F6D" w:rsidRDefault="00D0002F" w:rsidP="0018367E">
      <w:pPr>
        <w:pStyle w:val="ListBullet"/>
      </w:pPr>
      <w:r w:rsidRPr="00017F6D">
        <w:t>Employer support infrastructures (e.g. JobAccess, Employment Assistance Fund): enable workplace modifications, adjustments, and employer confidence.</w:t>
      </w:r>
    </w:p>
    <w:p w14:paraId="0F1F7521" w14:textId="77777777" w:rsidR="00D0002F" w:rsidRDefault="00D0002F" w:rsidP="0018367E">
      <w:pPr>
        <w:pStyle w:val="TableCaption"/>
      </w:pPr>
      <w:r>
        <w:t>Table 6.1. Implementation Determinants and Practical Levers for Achieving and Sustaining CIE/Open Employment</w:t>
      </w:r>
    </w:p>
    <w:tbl>
      <w:tblPr>
        <w:tblStyle w:val="CIETable"/>
        <w:tblW w:w="0" w:type="auto"/>
        <w:tblLook w:val="04A0" w:firstRow="1" w:lastRow="0" w:firstColumn="1" w:lastColumn="0" w:noHBand="0" w:noVBand="1"/>
      </w:tblPr>
      <w:tblGrid>
        <w:gridCol w:w="2885"/>
        <w:gridCol w:w="3262"/>
        <w:gridCol w:w="3481"/>
      </w:tblGrid>
      <w:tr w:rsidR="00EE3DB4" w:rsidRPr="00EE3DB4" w14:paraId="3D1E44EC" w14:textId="77777777" w:rsidTr="003F507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07D11C3" w14:textId="77777777" w:rsidR="00EE3DB4" w:rsidRPr="00EE3DB4" w:rsidRDefault="00EE3DB4" w:rsidP="00EE3DB4">
            <w:pPr>
              <w:pStyle w:val="TableHeading"/>
            </w:pPr>
            <w:r w:rsidRPr="00EE3DB4">
              <w:t>Determinant</w:t>
            </w:r>
          </w:p>
        </w:tc>
        <w:tc>
          <w:tcPr>
            <w:tcW w:w="0" w:type="auto"/>
            <w:hideMark/>
          </w:tcPr>
          <w:p w14:paraId="791F3735" w14:textId="77777777" w:rsidR="00EE3DB4" w:rsidRPr="00EE3DB4" w:rsidRDefault="00EE3DB4" w:rsidP="00EE3DB4">
            <w:pPr>
              <w:pStyle w:val="TableHeading"/>
              <w:cnfStyle w:val="100000000000" w:firstRow="1" w:lastRow="0" w:firstColumn="0" w:lastColumn="0" w:oddVBand="0" w:evenVBand="0" w:oddHBand="0" w:evenHBand="0" w:firstRowFirstColumn="0" w:firstRowLastColumn="0" w:lastRowFirstColumn="0" w:lastRowLastColumn="0"/>
            </w:pPr>
            <w:r w:rsidRPr="00EE3DB4">
              <w:t>Why It Matters for ID and CIE</w:t>
            </w:r>
          </w:p>
        </w:tc>
        <w:tc>
          <w:tcPr>
            <w:tcW w:w="0" w:type="auto"/>
            <w:hideMark/>
          </w:tcPr>
          <w:p w14:paraId="3D95F67F" w14:textId="77777777" w:rsidR="00EE3DB4" w:rsidRPr="00EE3DB4" w:rsidRDefault="00EE3DB4" w:rsidP="00EE3DB4">
            <w:pPr>
              <w:pStyle w:val="TableHeading"/>
              <w:cnfStyle w:val="100000000000" w:firstRow="1" w:lastRow="0" w:firstColumn="0" w:lastColumn="0" w:oddVBand="0" w:evenVBand="0" w:oddHBand="0" w:evenHBand="0" w:firstRowFirstColumn="0" w:firstRowLastColumn="0" w:lastRowFirstColumn="0" w:lastRowLastColumn="0"/>
            </w:pPr>
            <w:r w:rsidRPr="00EE3DB4">
              <w:t>Service/Practice Actions (Examples)</w:t>
            </w:r>
          </w:p>
        </w:tc>
      </w:tr>
      <w:tr w:rsidR="00EE3DB4" w:rsidRPr="00ED411B" w14:paraId="537BA627" w14:textId="77777777" w:rsidTr="00EE3D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46E2F5" w14:textId="77777777" w:rsidR="00EE3DB4" w:rsidRPr="00017F6D" w:rsidRDefault="00EE3DB4" w:rsidP="00EE3DB4">
            <w:pPr>
              <w:pStyle w:val="TableText"/>
            </w:pPr>
            <w:r w:rsidRPr="00017F6D">
              <w:t>Workforce capability and stability</w:t>
            </w:r>
          </w:p>
        </w:tc>
        <w:tc>
          <w:tcPr>
            <w:tcW w:w="0" w:type="auto"/>
            <w:hideMark/>
          </w:tcPr>
          <w:p w14:paraId="337DA6F3" w14:textId="77777777" w:rsidR="00EE3DB4" w:rsidRPr="00017F6D" w:rsidRDefault="00EE3DB4" w:rsidP="00EE3DB4">
            <w:pPr>
              <w:pStyle w:val="TableText"/>
              <w:cnfStyle w:val="000000100000" w:firstRow="0" w:lastRow="0" w:firstColumn="0" w:lastColumn="0" w:oddVBand="0" w:evenVBand="0" w:oddHBand="1" w:evenHBand="0" w:firstRowFirstColumn="0" w:firstRowLastColumn="0" w:lastRowFirstColumn="0" w:lastRowLastColumn="0"/>
            </w:pPr>
            <w:r w:rsidRPr="00017F6D">
              <w:t>Specialised skills are required for discovery, job development, instruction, and follow</w:t>
            </w:r>
            <w:r>
              <w:t>-</w:t>
            </w:r>
            <w:r w:rsidRPr="00017F6D">
              <w:t>along. Staff turnover disrupts continuity and employer trust.</w:t>
            </w:r>
          </w:p>
        </w:tc>
        <w:tc>
          <w:tcPr>
            <w:tcW w:w="0" w:type="auto"/>
            <w:hideMark/>
          </w:tcPr>
          <w:p w14:paraId="767A78DD" w14:textId="77777777" w:rsidR="00EE3DB4" w:rsidRPr="00017F6D" w:rsidRDefault="00EE3DB4" w:rsidP="00EE3DB4">
            <w:pPr>
              <w:pStyle w:val="TableText"/>
              <w:cnfStyle w:val="000000100000" w:firstRow="0" w:lastRow="0" w:firstColumn="0" w:lastColumn="0" w:oddVBand="0" w:evenVBand="0" w:oddHBand="1" w:evenHBand="0" w:firstRowFirstColumn="0" w:firstRowLastColumn="0" w:lastRowFirstColumn="0" w:lastRowLastColumn="0"/>
            </w:pPr>
            <w:r w:rsidRPr="00017F6D">
              <w:t>Competency</w:t>
            </w:r>
            <w:r>
              <w:t>-</w:t>
            </w:r>
            <w:r w:rsidRPr="00017F6D">
              <w:t>based training (e.g. job development, systematic instruction); supervision and fidelity monitoring; stabilise key relationships for high</w:t>
            </w:r>
            <w:r>
              <w:t>-</w:t>
            </w:r>
            <w:r w:rsidRPr="00017F6D">
              <w:t>support participants.</w:t>
            </w:r>
          </w:p>
        </w:tc>
      </w:tr>
      <w:tr w:rsidR="00EE3DB4" w:rsidRPr="00ED411B" w14:paraId="33357F83" w14:textId="77777777" w:rsidTr="00EE3D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A2075A" w14:textId="77777777" w:rsidR="00EE3DB4" w:rsidRPr="00017F6D" w:rsidRDefault="00EE3DB4" w:rsidP="00EE3DB4">
            <w:pPr>
              <w:pStyle w:val="TableText"/>
            </w:pPr>
            <w:r w:rsidRPr="00017F6D">
              <w:t>Support intensity (‘dose’) and dose geometry</w:t>
            </w:r>
          </w:p>
        </w:tc>
        <w:tc>
          <w:tcPr>
            <w:tcW w:w="0" w:type="auto"/>
            <w:hideMark/>
          </w:tcPr>
          <w:p w14:paraId="6800D1B9" w14:textId="77777777" w:rsidR="00EE3DB4" w:rsidRPr="00017F6D" w:rsidRDefault="00EE3DB4" w:rsidP="00EE3DB4">
            <w:pPr>
              <w:pStyle w:val="TableText"/>
              <w:cnfStyle w:val="000000010000" w:firstRow="0" w:lastRow="0" w:firstColumn="0" w:lastColumn="0" w:oddVBand="0" w:evenVBand="0" w:oddHBand="0" w:evenHBand="1" w:firstRowFirstColumn="0" w:firstRowLastColumn="0" w:lastRowFirstColumn="0" w:lastRowLastColumn="0"/>
            </w:pPr>
            <w:r w:rsidRPr="00017F6D">
              <w:t>Under</w:t>
            </w:r>
            <w:r>
              <w:t>-</w:t>
            </w:r>
            <w:r w:rsidRPr="00017F6D">
              <w:t>dosing is a common failure mode. People with ID often need tapering and re</w:t>
            </w:r>
            <w:r>
              <w:t>-</w:t>
            </w:r>
            <w:r w:rsidRPr="00017F6D">
              <w:t>intensification after change.</w:t>
            </w:r>
          </w:p>
        </w:tc>
        <w:tc>
          <w:tcPr>
            <w:tcW w:w="0" w:type="auto"/>
            <w:hideMark/>
          </w:tcPr>
          <w:p w14:paraId="027A91BC" w14:textId="77777777" w:rsidR="00EE3DB4" w:rsidRPr="00017F6D" w:rsidRDefault="00EE3DB4" w:rsidP="00EE3DB4">
            <w:pPr>
              <w:pStyle w:val="TableText"/>
              <w:cnfStyle w:val="000000010000" w:firstRow="0" w:lastRow="0" w:firstColumn="0" w:lastColumn="0" w:oddVBand="0" w:evenVBand="0" w:oddHBand="0" w:evenHBand="1" w:firstRowFirstColumn="0" w:firstRowLastColumn="0" w:lastRowFirstColumn="0" w:lastRowLastColumn="0"/>
            </w:pPr>
            <w:r w:rsidRPr="00017F6D">
              <w:t>Specify minimum dose parameters; plan tapering; implement re</w:t>
            </w:r>
            <w:r>
              <w:t>-</w:t>
            </w:r>
            <w:r w:rsidRPr="00017F6D">
              <w:t>coaching triggers (e.g. role or supervisor change).</w:t>
            </w:r>
          </w:p>
        </w:tc>
      </w:tr>
      <w:tr w:rsidR="00EE3DB4" w:rsidRPr="00ED411B" w14:paraId="2FABFA78" w14:textId="77777777" w:rsidTr="00EE3D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69907F" w14:textId="77777777" w:rsidR="00EE3DB4" w:rsidRPr="00017F6D" w:rsidRDefault="00EE3DB4" w:rsidP="00EE3DB4">
            <w:pPr>
              <w:pStyle w:val="TableText"/>
            </w:pPr>
            <w:r w:rsidRPr="00017F6D">
              <w:t>Employer partnership and workplace culture</w:t>
            </w:r>
          </w:p>
        </w:tc>
        <w:tc>
          <w:tcPr>
            <w:tcW w:w="0" w:type="auto"/>
            <w:hideMark/>
          </w:tcPr>
          <w:p w14:paraId="3AD922B1" w14:textId="77777777" w:rsidR="00EE3DB4" w:rsidRPr="00017F6D" w:rsidRDefault="00EE3DB4" w:rsidP="00EE3DB4">
            <w:pPr>
              <w:pStyle w:val="TableText"/>
              <w:cnfStyle w:val="000000100000" w:firstRow="0" w:lastRow="0" w:firstColumn="0" w:lastColumn="0" w:oddVBand="0" w:evenVBand="0" w:oddHBand="1" w:evenHBand="0" w:firstRowFirstColumn="0" w:firstRowLastColumn="0" w:lastRowFirstColumn="0" w:lastRowLastColumn="0"/>
            </w:pPr>
            <w:r w:rsidRPr="00017F6D">
              <w:t xml:space="preserve">Integration and job quality are relational. Supervisor confidence and coworker </w:t>
            </w:r>
            <w:r w:rsidRPr="00017F6D">
              <w:lastRenderedPageBreak/>
              <w:t>practices mediate sustainment and advancement.</w:t>
            </w:r>
          </w:p>
        </w:tc>
        <w:tc>
          <w:tcPr>
            <w:tcW w:w="0" w:type="auto"/>
            <w:hideMark/>
          </w:tcPr>
          <w:p w14:paraId="3714AFE0" w14:textId="77777777" w:rsidR="00EE3DB4" w:rsidRPr="00017F6D" w:rsidRDefault="00EE3DB4" w:rsidP="00EE3DB4">
            <w:pPr>
              <w:pStyle w:val="TableText"/>
              <w:cnfStyle w:val="000000100000" w:firstRow="0" w:lastRow="0" w:firstColumn="0" w:lastColumn="0" w:oddVBand="0" w:evenVBand="0" w:oddHBand="1" w:evenHBand="0" w:firstRowFirstColumn="0" w:firstRowLastColumn="0" w:lastRowFirstColumn="0" w:lastRowLastColumn="0"/>
            </w:pPr>
            <w:r w:rsidRPr="00017F6D">
              <w:lastRenderedPageBreak/>
              <w:t>Supervisor coaching; natural supports development; escalation pathways; co-</w:t>
            </w:r>
            <w:r w:rsidRPr="00017F6D">
              <w:lastRenderedPageBreak/>
              <w:t>designed onboarding and job redesign; rapid</w:t>
            </w:r>
            <w:r>
              <w:t>-</w:t>
            </w:r>
            <w:r w:rsidRPr="00017F6D">
              <w:t>response support.</w:t>
            </w:r>
          </w:p>
        </w:tc>
      </w:tr>
      <w:tr w:rsidR="00EE3DB4" w:rsidRPr="00ED411B" w14:paraId="7DFFCA18" w14:textId="77777777" w:rsidTr="00EE3D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B49C1E" w14:textId="77777777" w:rsidR="00EE3DB4" w:rsidRPr="00017F6D" w:rsidRDefault="00EE3DB4" w:rsidP="00EE3DB4">
            <w:pPr>
              <w:pStyle w:val="TableText"/>
            </w:pPr>
            <w:r w:rsidRPr="00017F6D">
              <w:lastRenderedPageBreak/>
              <w:t>Job design, task structure, and accommodations</w:t>
            </w:r>
          </w:p>
        </w:tc>
        <w:tc>
          <w:tcPr>
            <w:tcW w:w="0" w:type="auto"/>
            <w:hideMark/>
          </w:tcPr>
          <w:p w14:paraId="72D61286" w14:textId="77777777" w:rsidR="00EE3DB4" w:rsidRPr="00017F6D" w:rsidRDefault="00EE3DB4" w:rsidP="00EE3DB4">
            <w:pPr>
              <w:pStyle w:val="TableText"/>
              <w:cnfStyle w:val="000000010000" w:firstRow="0" w:lastRow="0" w:firstColumn="0" w:lastColumn="0" w:oddVBand="0" w:evenVBand="0" w:oddHBand="0" w:evenHBand="1" w:firstRowFirstColumn="0" w:firstRowLastColumn="0" w:lastRowFirstColumn="0" w:lastRowLastColumn="0"/>
            </w:pPr>
            <w:r w:rsidRPr="00017F6D">
              <w:t>Mismatch between task complexity and cognitive affordances drives failure. Accessible communication and predictable routines reduce error and anxiety.</w:t>
            </w:r>
          </w:p>
        </w:tc>
        <w:tc>
          <w:tcPr>
            <w:tcW w:w="0" w:type="auto"/>
            <w:hideMark/>
          </w:tcPr>
          <w:p w14:paraId="1991809D" w14:textId="77777777" w:rsidR="00EE3DB4" w:rsidRPr="00017F6D" w:rsidRDefault="00EE3DB4" w:rsidP="00EE3DB4">
            <w:pPr>
              <w:pStyle w:val="TableText"/>
              <w:cnfStyle w:val="000000010000" w:firstRow="0" w:lastRow="0" w:firstColumn="0" w:lastColumn="0" w:oddVBand="0" w:evenVBand="0" w:oddHBand="0" w:evenHBand="1" w:firstRowFirstColumn="0" w:firstRowLastColumn="0" w:lastRowFirstColumn="0" w:lastRowLastColumn="0"/>
            </w:pPr>
            <w:r w:rsidRPr="00017F6D">
              <w:t>Job analysis; task simplification; visual supports; embed adjustments early; use assistive technology where appropriate.</w:t>
            </w:r>
          </w:p>
        </w:tc>
      </w:tr>
      <w:tr w:rsidR="00EE3DB4" w:rsidRPr="00ED411B" w14:paraId="1EB54567" w14:textId="77777777" w:rsidTr="00F81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58F8EA5C" w14:textId="49D979B4" w:rsidR="00EE3DB4" w:rsidRPr="00017F6D" w:rsidRDefault="00EE3DB4" w:rsidP="00EE3DB4">
            <w:pPr>
              <w:pStyle w:val="TableText"/>
            </w:pPr>
            <w:r w:rsidRPr="00017F6D">
              <w:t>Cross</w:t>
            </w:r>
            <w:r>
              <w:t>-</w:t>
            </w:r>
            <w:r w:rsidRPr="00017F6D">
              <w:t>system coordination (school</w:t>
            </w:r>
            <w:r>
              <w:t>-</w:t>
            </w:r>
            <w:r w:rsidRPr="00017F6D">
              <w:t>post</w:t>
            </w:r>
            <w:r>
              <w:t>-</w:t>
            </w:r>
            <w:r w:rsidRPr="00017F6D">
              <w:t xml:space="preserve">school; </w:t>
            </w:r>
            <w:r w:rsidR="0087194D">
              <w:t>Inclusive Employment Australia</w:t>
            </w:r>
            <w:r w:rsidRPr="00017F6D">
              <w:t>/NDIS interfaces)</w:t>
            </w:r>
          </w:p>
        </w:tc>
        <w:tc>
          <w:tcPr>
            <w:tcW w:w="0" w:type="auto"/>
            <w:tcBorders>
              <w:bottom w:val="single" w:sz="4" w:space="0" w:color="C0C0C0" w:themeColor="accent5"/>
            </w:tcBorders>
            <w:hideMark/>
          </w:tcPr>
          <w:p w14:paraId="6043BDFC" w14:textId="77777777" w:rsidR="00EE3DB4" w:rsidRPr="00017F6D" w:rsidRDefault="00EE3DB4" w:rsidP="00EE3DB4">
            <w:pPr>
              <w:pStyle w:val="TableText"/>
              <w:cnfStyle w:val="000000100000" w:firstRow="0" w:lastRow="0" w:firstColumn="0" w:lastColumn="0" w:oddVBand="0" w:evenVBand="0" w:oddHBand="1" w:evenHBand="0" w:firstRowFirstColumn="0" w:firstRowLastColumn="0" w:lastRowFirstColumn="0" w:lastRowLastColumn="0"/>
            </w:pPr>
            <w:r w:rsidRPr="00017F6D">
              <w:t>Fragmented planning creates service gaps. Transitions are high</w:t>
            </w:r>
            <w:r>
              <w:t>-</w:t>
            </w:r>
            <w:r w:rsidRPr="00017F6D">
              <w:t>risk points for drop</w:t>
            </w:r>
            <w:r>
              <w:t>-</w:t>
            </w:r>
            <w:r w:rsidRPr="00017F6D">
              <w:t>out and re</w:t>
            </w:r>
            <w:r>
              <w:t>-</w:t>
            </w:r>
            <w:r w:rsidRPr="00017F6D">
              <w:t>segregation.</w:t>
            </w:r>
          </w:p>
        </w:tc>
        <w:tc>
          <w:tcPr>
            <w:tcW w:w="0" w:type="auto"/>
            <w:tcBorders>
              <w:bottom w:val="single" w:sz="4" w:space="0" w:color="C0C0C0" w:themeColor="accent5"/>
            </w:tcBorders>
            <w:hideMark/>
          </w:tcPr>
          <w:p w14:paraId="21DC6256" w14:textId="5EA46A6F" w:rsidR="00EE3DB4" w:rsidRPr="00017F6D" w:rsidRDefault="00EE3DB4" w:rsidP="00EE3DB4">
            <w:pPr>
              <w:pStyle w:val="TableText"/>
              <w:cnfStyle w:val="000000100000" w:firstRow="0" w:lastRow="0" w:firstColumn="0" w:lastColumn="0" w:oddVBand="0" w:evenVBand="0" w:oddHBand="1" w:evenHBand="0" w:firstRowFirstColumn="0" w:firstRowLastColumn="0" w:lastRowFirstColumn="0" w:lastRowLastColumn="0"/>
            </w:pPr>
            <w:r w:rsidRPr="00017F6D">
              <w:t xml:space="preserve">Shared planning artefacts; single accountable coordinator; warm handovers between school, </w:t>
            </w:r>
            <w:r w:rsidR="00B37DE6">
              <w:t>Inclusive Employment Australia</w:t>
            </w:r>
            <w:r w:rsidRPr="00017F6D">
              <w:t xml:space="preserve"> providers, and NDIS supports.</w:t>
            </w:r>
          </w:p>
        </w:tc>
      </w:tr>
      <w:tr w:rsidR="00EE3DB4" w:rsidRPr="00ED411B" w14:paraId="71434EC2" w14:textId="77777777" w:rsidTr="00F81A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2B3430D3" w14:textId="77777777" w:rsidR="00EE3DB4" w:rsidRPr="00017F6D" w:rsidRDefault="00EE3DB4" w:rsidP="00EE3DB4">
            <w:pPr>
              <w:pStyle w:val="TableText"/>
            </w:pPr>
            <w:r w:rsidRPr="00017F6D">
              <w:t>Transport and geography</w:t>
            </w:r>
          </w:p>
        </w:tc>
        <w:tc>
          <w:tcPr>
            <w:tcW w:w="0" w:type="auto"/>
            <w:tcBorders>
              <w:bottom w:val="single" w:sz="4" w:space="0" w:color="C0C0C0" w:themeColor="accent5"/>
            </w:tcBorders>
            <w:hideMark/>
          </w:tcPr>
          <w:p w14:paraId="0C41CF2B" w14:textId="77777777" w:rsidR="00EE3DB4" w:rsidRPr="00017F6D" w:rsidRDefault="00EE3DB4" w:rsidP="00EE3DB4">
            <w:pPr>
              <w:pStyle w:val="TableText"/>
              <w:cnfStyle w:val="000000010000" w:firstRow="0" w:lastRow="0" w:firstColumn="0" w:lastColumn="0" w:oddVBand="0" w:evenVBand="0" w:oddHBand="0" w:evenHBand="1" w:firstRowFirstColumn="0" w:firstRowLastColumn="0" w:lastRowFirstColumn="0" w:lastRowLastColumn="0"/>
            </w:pPr>
            <w:r w:rsidRPr="00017F6D">
              <w:t>Commuting feasibility affects job access, hours, and retention</w:t>
            </w:r>
            <w:r>
              <w:t xml:space="preserve">, </w:t>
            </w:r>
            <w:r w:rsidRPr="00017F6D">
              <w:t>especially outside major cities.</w:t>
            </w:r>
          </w:p>
        </w:tc>
        <w:tc>
          <w:tcPr>
            <w:tcW w:w="0" w:type="auto"/>
            <w:tcBorders>
              <w:bottom w:val="single" w:sz="4" w:space="0" w:color="C0C0C0" w:themeColor="accent5"/>
            </w:tcBorders>
            <w:hideMark/>
          </w:tcPr>
          <w:p w14:paraId="53B56728" w14:textId="77777777" w:rsidR="00EE3DB4" w:rsidRPr="00017F6D" w:rsidRDefault="00EE3DB4" w:rsidP="00EE3DB4">
            <w:pPr>
              <w:pStyle w:val="TableText"/>
              <w:cnfStyle w:val="000000010000" w:firstRow="0" w:lastRow="0" w:firstColumn="0" w:lastColumn="0" w:oddVBand="0" w:evenVBand="0" w:oddHBand="0" w:evenHBand="1" w:firstRowFirstColumn="0" w:firstRowLastColumn="0" w:lastRowFirstColumn="0" w:lastRowLastColumn="0"/>
            </w:pPr>
            <w:r w:rsidRPr="00017F6D">
              <w:t>Travel training and route planning; local employer development; coordinate shift times; hybrid support for remote areas.</w:t>
            </w:r>
          </w:p>
        </w:tc>
      </w:tr>
    </w:tbl>
    <w:p w14:paraId="32707D20" w14:textId="55210925" w:rsidR="00EE3DB4" w:rsidRPr="00017F6D" w:rsidRDefault="00EE3DB4" w:rsidP="0018367E">
      <w:pPr>
        <w:pStyle w:val="TableCaption"/>
      </w:pPr>
    </w:p>
    <w:p w14:paraId="265E6F4C" w14:textId="71FDF719" w:rsidR="00D0002F" w:rsidRPr="00ED411B" w:rsidRDefault="00D0002F" w:rsidP="00807628">
      <w:pPr>
        <w:pStyle w:val="Numberedheading2"/>
      </w:pPr>
      <w:bookmarkStart w:id="55" w:name="_Toc231220069"/>
      <w:r w:rsidRPr="00ED411B">
        <w:t xml:space="preserve">Implications for </w:t>
      </w:r>
      <w:r>
        <w:t>t</w:t>
      </w:r>
      <w:r w:rsidRPr="00ED411B">
        <w:t xml:space="preserve">raining, </w:t>
      </w:r>
      <w:r>
        <w:t>s</w:t>
      </w:r>
      <w:r w:rsidRPr="00ED411B">
        <w:t xml:space="preserve">upervision and </w:t>
      </w:r>
      <w:r>
        <w:t>q</w:t>
      </w:r>
      <w:r w:rsidRPr="00ED411B">
        <w:t>uality Improvement</w:t>
      </w:r>
      <w:bookmarkEnd w:id="55"/>
    </w:p>
    <w:p w14:paraId="0FE070D5" w14:textId="77777777" w:rsidR="00D0002F" w:rsidRPr="00060E9B" w:rsidRDefault="00D0002F" w:rsidP="00D0002F">
      <w:r w:rsidRPr="00060E9B">
        <w:t>Training resources should prioritise:</w:t>
      </w:r>
    </w:p>
    <w:p w14:paraId="30555407" w14:textId="77777777" w:rsidR="00D0002F" w:rsidRPr="00060E9B" w:rsidRDefault="00D0002F" w:rsidP="003F5076">
      <w:pPr>
        <w:pStyle w:val="ListBullet"/>
      </w:pPr>
      <w:r w:rsidRPr="00060E9B">
        <w:t>Employer engagement and job development as specialised practice disciplines.</w:t>
      </w:r>
    </w:p>
    <w:p w14:paraId="5485504E" w14:textId="77777777" w:rsidR="00D0002F" w:rsidRPr="00060E9B" w:rsidRDefault="00D0002F" w:rsidP="003F5076">
      <w:pPr>
        <w:pStyle w:val="ListBullet"/>
      </w:pPr>
      <w:r w:rsidRPr="003F5076">
        <w:t>S</w:t>
      </w:r>
      <w:r w:rsidRPr="00060E9B">
        <w:t>ystematic instruction and task analysis.</w:t>
      </w:r>
    </w:p>
    <w:p w14:paraId="1966B048" w14:textId="77777777" w:rsidR="00D0002F" w:rsidRPr="00060E9B" w:rsidRDefault="00D0002F" w:rsidP="003F5076">
      <w:pPr>
        <w:pStyle w:val="ListBullet"/>
      </w:pPr>
      <w:r w:rsidRPr="00060E9B">
        <w:rPr>
          <w:b/>
          <w:bCs/>
        </w:rPr>
        <w:t>Designing accessible cognitive environments</w:t>
      </w:r>
      <w:r w:rsidRPr="00060E9B">
        <w:t xml:space="preserve"> (e.g. plain language, visual supports, predictable routines).</w:t>
      </w:r>
    </w:p>
    <w:p w14:paraId="13857BDF" w14:textId="77777777" w:rsidR="00D0002F" w:rsidRPr="00060E9B" w:rsidRDefault="00D0002F" w:rsidP="003F5076">
      <w:pPr>
        <w:pStyle w:val="ListBullet"/>
      </w:pPr>
      <w:r w:rsidRPr="00060E9B">
        <w:rPr>
          <w:b/>
          <w:bCs/>
        </w:rPr>
        <w:t>Inclusive supervision</w:t>
      </w:r>
      <w:r w:rsidRPr="00060E9B">
        <w:t xml:space="preserve"> (e.g., supervisors adapting tasks or communication to support the employee) and natural supports (informal support from coworkers).</w:t>
      </w:r>
    </w:p>
    <w:p w14:paraId="02EDD8F5" w14:textId="77777777" w:rsidR="00D0002F" w:rsidRPr="00060E9B" w:rsidRDefault="00D0002F" w:rsidP="003F5076">
      <w:pPr>
        <w:pStyle w:val="ListBullet"/>
      </w:pPr>
      <w:r w:rsidRPr="00060E9B">
        <w:rPr>
          <w:b/>
          <w:bCs/>
        </w:rPr>
        <w:t>Follow</w:t>
      </w:r>
      <w:r>
        <w:rPr>
          <w:b/>
          <w:bCs/>
        </w:rPr>
        <w:t>-</w:t>
      </w:r>
      <w:r w:rsidRPr="00060E9B">
        <w:rPr>
          <w:b/>
          <w:bCs/>
        </w:rPr>
        <w:t>along practices</w:t>
      </w:r>
      <w:r w:rsidRPr="00060E9B">
        <w:t>, including escalation and re</w:t>
      </w:r>
      <w:r>
        <w:t>-</w:t>
      </w:r>
      <w:r w:rsidRPr="00060E9B">
        <w:t>intensification protocols.</w:t>
      </w:r>
    </w:p>
    <w:p w14:paraId="79A8D24B" w14:textId="77777777" w:rsidR="00D0002F" w:rsidRPr="00060E9B" w:rsidRDefault="00D0002F" w:rsidP="00D0002F">
      <w:r w:rsidRPr="00060E9B">
        <w:t>Quality improvement should monitor both employment outcomes and implementation outcomes (e.g. fidelity, feasibility, acceptability) to avoid misattributing poor outcomes to model failure when delivery is under</w:t>
      </w:r>
      <w:r>
        <w:t>-</w:t>
      </w:r>
      <w:r w:rsidRPr="00060E9B">
        <w:lastRenderedPageBreak/>
        <w:t>resourced or inconsistent.</w:t>
      </w:r>
    </w:p>
    <w:p w14:paraId="5FFEECFE" w14:textId="77777777" w:rsidR="00D0002F" w:rsidRPr="00ED411B" w:rsidRDefault="00D0002F" w:rsidP="003F5076">
      <w:pPr>
        <w:pStyle w:val="Numberedheading1"/>
      </w:pPr>
      <w:bookmarkStart w:id="56" w:name="_Toc231220070"/>
      <w:r w:rsidRPr="00ED411B">
        <w:t xml:space="preserve">Lived </w:t>
      </w:r>
      <w:r>
        <w:t>e</w:t>
      </w:r>
      <w:r w:rsidRPr="00ED411B">
        <w:t xml:space="preserve">xperience and </w:t>
      </w:r>
      <w:r>
        <w:t>s</w:t>
      </w:r>
      <w:r w:rsidRPr="00ED411B">
        <w:t xml:space="preserve">takeholder </w:t>
      </w:r>
      <w:r>
        <w:t>p</w:t>
      </w:r>
      <w:r w:rsidRPr="00ED411B">
        <w:t>erspectives</w:t>
      </w:r>
      <w:bookmarkEnd w:id="56"/>
    </w:p>
    <w:p w14:paraId="51D6ACA1" w14:textId="77777777" w:rsidR="00D0002F" w:rsidRPr="00583525" w:rsidRDefault="00D0002F" w:rsidP="00D0002F">
      <w:r w:rsidRPr="00583525">
        <w:t>This section synthesises lived experience and stakeholder perspective evidence including the views of workers with intellectual disability, families, employers and coworkers, educators, and employment professionals to clarify mechanisms of change, acceptability, and implementation considerations. These perspectives are reported separately from quantitative effectiveness findings to avoid diluting outcome estimates and to foreground experiential and contextual factors relevant to service design.</w:t>
      </w:r>
    </w:p>
    <w:p w14:paraId="33A98CF5" w14:textId="4E9ED352" w:rsidR="00D0002F" w:rsidRPr="00583525" w:rsidRDefault="00D0002F" w:rsidP="00D0002F">
      <w:r w:rsidRPr="00583525">
        <w:t>Studies were included in this section if their primary purpose was to elicit, interpret, or quantify lived experience, stakeholder perspectives, or implementation insights related to competitive integrated employment for people with intellectual disability. This included qualitative interview, focus group, and ethnographic studies, as well as a small number of quantitative or organisational</w:t>
      </w:r>
      <w:r>
        <w:t>-</w:t>
      </w:r>
      <w:r w:rsidRPr="00583525">
        <w:t>level sources where perspectives were the primary analytic focus. Sixteen studies met these criteria (13 qualitative; 3 survey or organisational level). Where studies also appeared in the Within</w:t>
      </w:r>
      <w:r>
        <w:t>-</w:t>
      </w:r>
      <w:r w:rsidRPr="00583525">
        <w:t>SR inventory, they were retained here for thematic insight but not double</w:t>
      </w:r>
      <w:r>
        <w:t>-</w:t>
      </w:r>
      <w:r w:rsidRPr="00583525">
        <w:t>counted in effectiveness synthesis.</w:t>
      </w:r>
    </w:p>
    <w:p w14:paraId="0A915F22" w14:textId="2290E7BF" w:rsidR="00D0002F" w:rsidRPr="00ED411B" w:rsidRDefault="00D0002F" w:rsidP="00807628">
      <w:pPr>
        <w:pStyle w:val="Numberedheading2"/>
      </w:pPr>
      <w:bookmarkStart w:id="57" w:name="_Toc231220071"/>
      <w:r w:rsidRPr="00ED411B">
        <w:t xml:space="preserve">Theme 1. </w:t>
      </w:r>
      <w:r w:rsidR="003F5076">
        <w:t>W</w:t>
      </w:r>
      <w:r w:rsidRPr="00ED411B">
        <w:t>orkplace inclusion is relational and enacted</w:t>
      </w:r>
      <w:bookmarkEnd w:id="57"/>
    </w:p>
    <w:p w14:paraId="05FB63D0" w14:textId="77777777" w:rsidR="00D0002F" w:rsidRPr="00583525" w:rsidRDefault="00D0002F" w:rsidP="00D0002F">
      <w:r w:rsidRPr="00583525">
        <w:t>Workers with intellectual disability describe ‘good work’ in terms of belonging, being valued, and being treated as legitimate members of the workplace. Inclusion is enacted through everyday interactions (e.g. respectful communication, meaningful tasks, and social connection), rather than formal employment status alone.</w:t>
      </w:r>
    </w:p>
    <w:p w14:paraId="1830C87B" w14:textId="77777777" w:rsidR="00D0002F" w:rsidRPr="00583525" w:rsidRDefault="00D0002F" w:rsidP="00D0002F">
      <w:r w:rsidRPr="00583525">
        <w:rPr>
          <w:b/>
          <w:bCs/>
        </w:rPr>
        <w:t>Practice Implications</w:t>
      </w:r>
      <w:r w:rsidRPr="00583525">
        <w:t>: Workplace Inclusion</w:t>
      </w:r>
    </w:p>
    <w:p w14:paraId="2287C6B7" w14:textId="77777777" w:rsidR="00D0002F" w:rsidRPr="00583525" w:rsidRDefault="00D0002F" w:rsidP="003F5076">
      <w:pPr>
        <w:pStyle w:val="ListBullet"/>
      </w:pPr>
      <w:r w:rsidRPr="00583525">
        <w:t>Prioritise job matching for relational fit as well as task fit, including assessment of team culture and supervision style.</w:t>
      </w:r>
    </w:p>
    <w:p w14:paraId="4DDF1E84" w14:textId="77777777" w:rsidR="00D0002F" w:rsidRPr="00583525" w:rsidRDefault="00D0002F" w:rsidP="003F5076">
      <w:pPr>
        <w:pStyle w:val="ListBullet"/>
      </w:pPr>
      <w:r w:rsidRPr="00583525">
        <w:t>Train supervisors and coworkers in accessible communication and inclusive day-to-day practices (e.g. feedback, social invitations, clarification strategies).</w:t>
      </w:r>
    </w:p>
    <w:p w14:paraId="03A28519" w14:textId="77777777" w:rsidR="00D0002F" w:rsidRDefault="00D0002F" w:rsidP="003F5076">
      <w:pPr>
        <w:pStyle w:val="ListBullet"/>
      </w:pPr>
      <w:r w:rsidRPr="00583525">
        <w:rPr>
          <w:b/>
          <w:bCs/>
        </w:rPr>
        <w:t>Include explicit ‘belonging’ and inclusion indicators</w:t>
      </w:r>
      <w:r w:rsidRPr="00583525">
        <w:t xml:space="preserve"> in service monitoring alongside attainment and tenure metrics.</w:t>
      </w:r>
    </w:p>
    <w:p w14:paraId="0CD8CD14" w14:textId="77777777" w:rsidR="00D0002F" w:rsidRPr="007A3E69" w:rsidRDefault="00D0002F" w:rsidP="00D0002F"/>
    <w:p w14:paraId="74402632" w14:textId="77A6A3DF" w:rsidR="00D0002F" w:rsidRPr="00ED411B" w:rsidRDefault="00D0002F" w:rsidP="00807628">
      <w:pPr>
        <w:pStyle w:val="Numberedheading2"/>
      </w:pPr>
      <w:bookmarkStart w:id="58" w:name="_Toc231220072"/>
      <w:r w:rsidRPr="00ED411B">
        <w:t xml:space="preserve">Theme 2. Natural </w:t>
      </w:r>
      <w:r>
        <w:t>s</w:t>
      </w:r>
      <w:r w:rsidRPr="00ED411B">
        <w:t xml:space="preserve">upports and </w:t>
      </w:r>
      <w:r>
        <w:t>w</w:t>
      </w:r>
      <w:r w:rsidRPr="00ED411B">
        <w:t xml:space="preserve">orkplace </w:t>
      </w:r>
      <w:r>
        <w:t>c</w:t>
      </w:r>
      <w:r w:rsidRPr="00ED411B">
        <w:t xml:space="preserve">apability </w:t>
      </w:r>
      <w:r>
        <w:t>s</w:t>
      </w:r>
      <w:r w:rsidRPr="00ED411B">
        <w:t xml:space="preserve">hape </w:t>
      </w:r>
      <w:r>
        <w:t>d</w:t>
      </w:r>
      <w:r w:rsidRPr="00ED411B">
        <w:t xml:space="preserve">urability and </w:t>
      </w:r>
      <w:r>
        <w:t>j</w:t>
      </w:r>
      <w:r w:rsidRPr="00ED411B">
        <w:t xml:space="preserve">ob </w:t>
      </w:r>
      <w:r>
        <w:t>q</w:t>
      </w:r>
      <w:r w:rsidRPr="00ED411B">
        <w:t>uality</w:t>
      </w:r>
      <w:bookmarkEnd w:id="58"/>
    </w:p>
    <w:p w14:paraId="5C063344" w14:textId="77777777" w:rsidR="00D0002F" w:rsidRPr="00583525" w:rsidRDefault="00D0002F" w:rsidP="00D0002F">
      <w:r w:rsidRPr="00583525">
        <w:t>Coworker and supervisor practices (‘natural supports’) are critical for sustainment and job quality. Structured orientation, mentoring, and coaching can reduce reliance on external job coaches and strengthen workplace capability.</w:t>
      </w:r>
    </w:p>
    <w:p w14:paraId="74E98F24" w14:textId="77777777" w:rsidR="00D0002F" w:rsidRPr="00583525" w:rsidRDefault="00D0002F" w:rsidP="00D0002F">
      <w:r w:rsidRPr="00583525">
        <w:t>Practice Implications: Natural Supports</w:t>
      </w:r>
    </w:p>
    <w:p w14:paraId="3F25574F" w14:textId="77777777" w:rsidR="00D0002F" w:rsidRPr="00583525" w:rsidRDefault="00D0002F" w:rsidP="003F5076">
      <w:pPr>
        <w:pStyle w:val="ListBullet"/>
      </w:pPr>
      <w:r w:rsidRPr="00583525">
        <w:rPr>
          <w:b/>
          <w:bCs/>
        </w:rPr>
        <w:t>Embed natural support development in service models</w:t>
      </w:r>
      <w:r w:rsidRPr="00583525">
        <w:t>, including structured coworker orientation and mentoring roles.</w:t>
      </w:r>
    </w:p>
    <w:p w14:paraId="16933583" w14:textId="77777777" w:rsidR="00D0002F" w:rsidRPr="00583525" w:rsidRDefault="00D0002F" w:rsidP="003F5076">
      <w:pPr>
        <w:pStyle w:val="ListBullet"/>
      </w:pPr>
      <w:r w:rsidRPr="00583525">
        <w:rPr>
          <w:b/>
          <w:bCs/>
        </w:rPr>
        <w:t>Plan support fading explicitly</w:t>
      </w:r>
      <w:r w:rsidRPr="00583525">
        <w:t>, with re</w:t>
      </w:r>
      <w:r>
        <w:t>-</w:t>
      </w:r>
      <w:r w:rsidRPr="00583525">
        <w:t>intensification triggers for role changes, performance dips, or workplace transitions.</w:t>
      </w:r>
    </w:p>
    <w:p w14:paraId="2878A4D4" w14:textId="77777777" w:rsidR="00D0002F" w:rsidRPr="00583525" w:rsidRDefault="00D0002F" w:rsidP="003F5076">
      <w:pPr>
        <w:pStyle w:val="ListBullet"/>
      </w:pPr>
      <w:r w:rsidRPr="00583525">
        <w:rPr>
          <w:b/>
          <w:bCs/>
        </w:rPr>
        <w:t>Support employment consultants</w:t>
      </w:r>
      <w:r w:rsidRPr="00583525">
        <w:t xml:space="preserve"> to work with supervisors on task design, feedback routines, and reasonable adjustments.</w:t>
      </w:r>
    </w:p>
    <w:p w14:paraId="3758225F" w14:textId="058090EC" w:rsidR="00D0002F" w:rsidRPr="00ED411B" w:rsidRDefault="00D0002F" w:rsidP="00807628">
      <w:pPr>
        <w:pStyle w:val="Numberedheading2"/>
      </w:pPr>
      <w:bookmarkStart w:id="59" w:name="_Toc231220073"/>
      <w:r w:rsidRPr="00ED411B">
        <w:t xml:space="preserve">Theme 3. Disclosure, </w:t>
      </w:r>
      <w:r>
        <w:t>s</w:t>
      </w:r>
      <w:r w:rsidRPr="00ED411B">
        <w:t xml:space="preserve">tigma and </w:t>
      </w:r>
      <w:r>
        <w:t>d</w:t>
      </w:r>
      <w:r w:rsidRPr="00ED411B">
        <w:t xml:space="preserve">isability </w:t>
      </w:r>
      <w:r>
        <w:t>v</w:t>
      </w:r>
      <w:r w:rsidRPr="00ED411B">
        <w:t xml:space="preserve">isibility </w:t>
      </w:r>
      <w:r>
        <w:t>i</w:t>
      </w:r>
      <w:r w:rsidRPr="00ED411B">
        <w:t xml:space="preserve">nfluence </w:t>
      </w:r>
      <w:r>
        <w:t>o</w:t>
      </w:r>
      <w:r w:rsidRPr="00ED411B">
        <w:t xml:space="preserve">pportunities and </w:t>
      </w:r>
      <w:r>
        <w:t>o</w:t>
      </w:r>
      <w:r w:rsidRPr="00ED411B">
        <w:t>utcomes</w:t>
      </w:r>
      <w:bookmarkEnd w:id="59"/>
    </w:p>
    <w:p w14:paraId="4B2B69AF" w14:textId="77777777" w:rsidR="00D0002F" w:rsidRPr="00583525" w:rsidRDefault="00D0002F" w:rsidP="00D0002F">
      <w:r w:rsidRPr="00583525">
        <w:t>Participants describe balancing the perceived benefits and risks of disclosing disability. Concerns about stigma, lowered expectations, and discrimination influence role access, participation, and willingness to seek adjustments.</w:t>
      </w:r>
    </w:p>
    <w:p w14:paraId="5B8229E0" w14:textId="77777777" w:rsidR="00D0002F" w:rsidRPr="00583525" w:rsidRDefault="00D0002F" w:rsidP="00D0002F">
      <w:r w:rsidRPr="00583525">
        <w:rPr>
          <w:b/>
          <w:bCs/>
        </w:rPr>
        <w:t>Practice Implications</w:t>
      </w:r>
      <w:r w:rsidRPr="00583525">
        <w:t>: Stigma and Disclosure</w:t>
      </w:r>
    </w:p>
    <w:p w14:paraId="2B8D6545" w14:textId="77777777" w:rsidR="00D0002F" w:rsidRPr="00583525" w:rsidRDefault="00D0002F" w:rsidP="003F5076">
      <w:pPr>
        <w:pStyle w:val="ListBullet"/>
      </w:pPr>
      <w:r w:rsidRPr="00583525">
        <w:t>Include disclosure planning and rights</w:t>
      </w:r>
      <w:r>
        <w:t>-</w:t>
      </w:r>
      <w:r w:rsidRPr="00583525">
        <w:t>based benefits/risks conversations in pre</w:t>
      </w:r>
      <w:r>
        <w:t>-</w:t>
      </w:r>
      <w:r w:rsidRPr="00583525">
        <w:t>placement support.</w:t>
      </w:r>
    </w:p>
    <w:p w14:paraId="6A72DB4F" w14:textId="77777777" w:rsidR="00D0002F" w:rsidRPr="00583525" w:rsidRDefault="00D0002F" w:rsidP="003F5076">
      <w:pPr>
        <w:pStyle w:val="ListBullet"/>
      </w:pPr>
      <w:r w:rsidRPr="00583525">
        <w:rPr>
          <w:b/>
          <w:bCs/>
        </w:rPr>
        <w:t>Provide employers with practical guidance</w:t>
      </w:r>
      <w:r w:rsidRPr="00583525">
        <w:t xml:space="preserve"> on inclusive supervision and adjustments, linked to anti</w:t>
      </w:r>
      <w:r>
        <w:t>-</w:t>
      </w:r>
      <w:r w:rsidRPr="00583525">
        <w:t>stigma training.</w:t>
      </w:r>
    </w:p>
    <w:p w14:paraId="53545E55" w14:textId="77777777" w:rsidR="00D0002F" w:rsidRPr="00583525" w:rsidRDefault="00D0002F" w:rsidP="003F5076">
      <w:pPr>
        <w:pStyle w:val="ListBullet"/>
      </w:pPr>
      <w:r w:rsidRPr="00583525">
        <w:rPr>
          <w:b/>
          <w:bCs/>
        </w:rPr>
        <w:t>Monitor and respond to discrimination risks</w:t>
      </w:r>
      <w:r w:rsidRPr="00583525">
        <w:t>, particularly in small workplaces or where disability is highly visible.</w:t>
      </w:r>
    </w:p>
    <w:p w14:paraId="66B3CDA6" w14:textId="160B9E97" w:rsidR="00D0002F" w:rsidRPr="00ED411B" w:rsidRDefault="00D0002F" w:rsidP="00807628">
      <w:pPr>
        <w:pStyle w:val="Numberedheading2"/>
      </w:pPr>
      <w:bookmarkStart w:id="60" w:name="_Toc231220074"/>
      <w:r w:rsidRPr="00ED411B">
        <w:t xml:space="preserve">Theme 4. Transition </w:t>
      </w:r>
      <w:r>
        <w:t>p</w:t>
      </w:r>
      <w:r w:rsidRPr="00ED411B">
        <w:t xml:space="preserve">athways </w:t>
      </w:r>
      <w:r>
        <w:t>r</w:t>
      </w:r>
      <w:r w:rsidRPr="00ED411B">
        <w:t xml:space="preserve">equire </w:t>
      </w:r>
      <w:r>
        <w:t>c</w:t>
      </w:r>
      <w:r w:rsidRPr="00ED411B">
        <w:t xml:space="preserve">ontinuity </w:t>
      </w:r>
      <w:r>
        <w:t>a</w:t>
      </w:r>
      <w:r w:rsidRPr="00ED411B">
        <w:t xml:space="preserve">cross </w:t>
      </w:r>
      <w:r>
        <w:t>s</w:t>
      </w:r>
      <w:r w:rsidRPr="00ED411B">
        <w:t>ystems</w:t>
      </w:r>
      <w:bookmarkEnd w:id="60"/>
    </w:p>
    <w:p w14:paraId="1AE5534A" w14:textId="77777777" w:rsidR="00D0002F" w:rsidRPr="00583525" w:rsidRDefault="00D0002F" w:rsidP="00D0002F">
      <w:r w:rsidRPr="00583525">
        <w:t xml:space="preserve">Young people and families describe transition as navigating fragmented systems with variable service quality. Where Employment Readiness Programmes or similar programmes span settings, participants emphasise the </w:t>
      </w:r>
      <w:r w:rsidRPr="00583525">
        <w:lastRenderedPageBreak/>
        <w:t>importance of clear pathway planning, coordinated handovers, and consistent expectations.</w:t>
      </w:r>
    </w:p>
    <w:p w14:paraId="58267905" w14:textId="1F0C10DE" w:rsidR="00D0002F" w:rsidRPr="00583525" w:rsidRDefault="00D0002F" w:rsidP="00D0002F">
      <w:r w:rsidRPr="00583525">
        <w:rPr>
          <w:b/>
          <w:bCs/>
        </w:rPr>
        <w:t>Practice Implications</w:t>
      </w:r>
      <w:r w:rsidRPr="00583525">
        <w:t>: Transition Continuity</w:t>
      </w:r>
    </w:p>
    <w:p w14:paraId="56FD8A4F" w14:textId="77777777" w:rsidR="00D0002F" w:rsidRPr="00583525" w:rsidRDefault="00D0002F" w:rsidP="003F5076">
      <w:pPr>
        <w:pStyle w:val="ListBullet"/>
      </w:pPr>
      <w:r w:rsidRPr="00583525">
        <w:rPr>
          <w:b/>
          <w:bCs/>
        </w:rPr>
        <w:t>Implement shared pathway planning tools</w:t>
      </w:r>
      <w:r w:rsidRPr="00583525">
        <w:t xml:space="preserve"> across school and post-school phases, including clearly defined roles and handover protocols.</w:t>
      </w:r>
    </w:p>
    <w:p w14:paraId="57AFDC34" w14:textId="77777777" w:rsidR="00D0002F" w:rsidRPr="00583525" w:rsidRDefault="00D0002F" w:rsidP="003F5076">
      <w:pPr>
        <w:pStyle w:val="ListBullet"/>
      </w:pPr>
      <w:r w:rsidRPr="00583525">
        <w:rPr>
          <w:b/>
          <w:bCs/>
        </w:rPr>
        <w:t>Use work experience/work trials</w:t>
      </w:r>
      <w:r w:rsidRPr="00583525">
        <w:t xml:space="preserve"> as ‘bridging infrastructure’ with structured reflection and employer engagement to convert exposure into jobs.</w:t>
      </w:r>
    </w:p>
    <w:p w14:paraId="109F9920" w14:textId="77777777" w:rsidR="00D0002F" w:rsidRPr="00583525" w:rsidRDefault="00D0002F" w:rsidP="003F5076">
      <w:pPr>
        <w:pStyle w:val="ListBullet"/>
      </w:pPr>
      <w:r w:rsidRPr="00583525">
        <w:rPr>
          <w:b/>
          <w:bCs/>
        </w:rPr>
        <w:t>Ensure transition programmes</w:t>
      </w:r>
      <w:r w:rsidRPr="00583525">
        <w:t xml:space="preserve"> specify continuity arrangements (who supports the person, for how long, and how support is re-intensified when needed).</w:t>
      </w:r>
    </w:p>
    <w:p w14:paraId="55C2191F" w14:textId="74532B8B" w:rsidR="00D0002F" w:rsidRPr="00ED411B" w:rsidRDefault="00D0002F" w:rsidP="00807628">
      <w:pPr>
        <w:pStyle w:val="Numberedheading2"/>
      </w:pPr>
      <w:bookmarkStart w:id="61" w:name="_Toc231220075"/>
      <w:r w:rsidRPr="00ED411B">
        <w:t xml:space="preserve">Theme 5. Job </w:t>
      </w:r>
      <w:r>
        <w:t>d</w:t>
      </w:r>
      <w:r w:rsidRPr="00ED411B">
        <w:t xml:space="preserve">esign, </w:t>
      </w:r>
      <w:r>
        <w:t>a</w:t>
      </w:r>
      <w:r w:rsidRPr="00ED411B">
        <w:t xml:space="preserve">djustments and </w:t>
      </w:r>
      <w:r>
        <w:t>s</w:t>
      </w:r>
      <w:r w:rsidRPr="00ED411B">
        <w:t>upport ‘</w:t>
      </w:r>
      <w:r>
        <w:t>d</w:t>
      </w:r>
      <w:r w:rsidRPr="00ED411B">
        <w:t xml:space="preserve">ose’ </w:t>
      </w:r>
      <w:r>
        <w:t>d</w:t>
      </w:r>
      <w:r w:rsidRPr="00ED411B">
        <w:t xml:space="preserve">istinguish </w:t>
      </w:r>
      <w:r>
        <w:t>p</w:t>
      </w:r>
      <w:r w:rsidRPr="00ED411B">
        <w:t xml:space="preserve">lacement from </w:t>
      </w:r>
      <w:r>
        <w:t>s</w:t>
      </w:r>
      <w:r w:rsidRPr="00ED411B">
        <w:t xml:space="preserve">ustained </w:t>
      </w:r>
      <w:r>
        <w:t>p</w:t>
      </w:r>
      <w:r w:rsidRPr="00ED411B">
        <w:t>articipation</w:t>
      </w:r>
      <w:bookmarkEnd w:id="61"/>
    </w:p>
    <w:p w14:paraId="124A9275" w14:textId="77777777" w:rsidR="00D0002F" w:rsidRPr="00AF6EA8" w:rsidRDefault="00D0002F" w:rsidP="00D0002F">
      <w:r w:rsidRPr="00AF6EA8">
        <w:t>Stakeholders emphasise that practical accommodations (e.g., task redesign, pacing, communication supports, transport, and routine supports) are often decisive. Inconsistent or mis</w:t>
      </w:r>
      <w:r>
        <w:t>-</w:t>
      </w:r>
      <w:r w:rsidRPr="00AF6EA8">
        <w:t>matched support increases stress and risk of job loss.</w:t>
      </w:r>
    </w:p>
    <w:p w14:paraId="51E13DF6" w14:textId="77777777" w:rsidR="00D0002F" w:rsidRPr="00AF6EA8" w:rsidRDefault="00D0002F" w:rsidP="00D0002F">
      <w:r w:rsidRPr="00AF6EA8">
        <w:rPr>
          <w:b/>
          <w:bCs/>
        </w:rPr>
        <w:t>Practice Implications</w:t>
      </w:r>
      <w:r w:rsidRPr="00AF6EA8">
        <w:t>: Job Design and Adjustments</w:t>
      </w:r>
    </w:p>
    <w:p w14:paraId="4912EDB1" w14:textId="77777777" w:rsidR="00D0002F" w:rsidRPr="00AF6EA8" w:rsidRDefault="00D0002F" w:rsidP="003F5076">
      <w:pPr>
        <w:pStyle w:val="ListBullet"/>
      </w:pPr>
      <w:r w:rsidRPr="00AF6EA8">
        <w:rPr>
          <w:b/>
          <w:bCs/>
        </w:rPr>
        <w:t>Standardise job analysis and task redesign procedures</w:t>
      </w:r>
      <w:r w:rsidRPr="00AF6EA8">
        <w:t>, including identification of adjustment options and training plans.</w:t>
      </w:r>
    </w:p>
    <w:p w14:paraId="76358BA5" w14:textId="77777777" w:rsidR="00D0002F" w:rsidRPr="00AF6EA8" w:rsidRDefault="00D0002F" w:rsidP="003F5076">
      <w:pPr>
        <w:pStyle w:val="ListBullet"/>
      </w:pPr>
      <w:r w:rsidRPr="00AF6EA8">
        <w:rPr>
          <w:b/>
          <w:bCs/>
        </w:rPr>
        <w:t>Adopt a ‘dose geometry’ approach</w:t>
      </w:r>
      <w:r w:rsidRPr="00AF6EA8">
        <w:t>: front-load supports at onboarding, taper during stabilisation, and re-intensify at transition points.</w:t>
      </w:r>
    </w:p>
    <w:p w14:paraId="7F3B2BCE" w14:textId="77777777" w:rsidR="00D0002F" w:rsidRPr="00AF6EA8" w:rsidRDefault="00D0002F" w:rsidP="003F5076">
      <w:pPr>
        <w:pStyle w:val="ListBullet"/>
      </w:pPr>
      <w:r w:rsidRPr="00AF6EA8">
        <w:rPr>
          <w:b/>
          <w:bCs/>
        </w:rPr>
        <w:t>Include worker-defined job quality goals</w:t>
      </w:r>
      <w:r w:rsidRPr="00AF6EA8">
        <w:t xml:space="preserve"> (choice, autonomy, progression) in planning and review cycles.</w:t>
      </w:r>
    </w:p>
    <w:p w14:paraId="1C0C6936" w14:textId="58946C9F" w:rsidR="00D0002F" w:rsidRPr="00ED411B" w:rsidRDefault="00D0002F" w:rsidP="00807628">
      <w:pPr>
        <w:pStyle w:val="Numberedheading2"/>
      </w:pPr>
      <w:bookmarkStart w:id="62" w:name="_Toc231220076"/>
      <w:r w:rsidRPr="00ED411B">
        <w:t xml:space="preserve">Theme 6. Families’ </w:t>
      </w:r>
      <w:r>
        <w:t>p</w:t>
      </w:r>
      <w:r w:rsidRPr="00ED411B">
        <w:t xml:space="preserve">riorities and </w:t>
      </w:r>
      <w:r>
        <w:t>r</w:t>
      </w:r>
      <w:r w:rsidRPr="00ED411B">
        <w:t xml:space="preserve">isk </w:t>
      </w:r>
      <w:r>
        <w:t>a</w:t>
      </w:r>
      <w:r w:rsidRPr="00ED411B">
        <w:t xml:space="preserve">ssessments </w:t>
      </w:r>
      <w:r>
        <w:t>s</w:t>
      </w:r>
      <w:r w:rsidRPr="00ED411B">
        <w:t xml:space="preserve">hape </w:t>
      </w:r>
      <w:r>
        <w:t>e</w:t>
      </w:r>
      <w:r w:rsidRPr="00ED411B">
        <w:t xml:space="preserve">mployment </w:t>
      </w:r>
      <w:r>
        <w:t>c</w:t>
      </w:r>
      <w:r w:rsidRPr="00ED411B">
        <w:t>hoices</w:t>
      </w:r>
      <w:bookmarkEnd w:id="62"/>
    </w:p>
    <w:p w14:paraId="232CFB56" w14:textId="77777777" w:rsidR="00D0002F" w:rsidRPr="00AF6EA8" w:rsidRDefault="00D0002F" w:rsidP="00D0002F">
      <w:r w:rsidRPr="00AF6EA8">
        <w:t>Families often prioritise safe, respectful, and inclusive workplaces over narrowly defined economic outcomes. Their perceptions of risk and support adequacy influence job choices and persistence through early challenges.</w:t>
      </w:r>
    </w:p>
    <w:p w14:paraId="0FB2C6FF" w14:textId="77777777" w:rsidR="00D0002F" w:rsidRPr="00AF6EA8" w:rsidRDefault="00D0002F" w:rsidP="00D0002F">
      <w:r w:rsidRPr="00AF6EA8">
        <w:t>Practice Implications: Family Engagement</w:t>
      </w:r>
    </w:p>
    <w:p w14:paraId="5888D351" w14:textId="77777777" w:rsidR="00D0002F" w:rsidRPr="00AF6EA8" w:rsidRDefault="00D0002F" w:rsidP="003F5076">
      <w:pPr>
        <w:pStyle w:val="ListBullet"/>
      </w:pPr>
      <w:r w:rsidRPr="00AF6EA8">
        <w:rPr>
          <w:b/>
          <w:bCs/>
        </w:rPr>
        <w:t>Incorporate families</w:t>
      </w:r>
      <w:r w:rsidRPr="00AF6EA8">
        <w:t xml:space="preserve"> (where desired by the worker) into shared decision-making, particularly during transitions and early employment.</w:t>
      </w:r>
    </w:p>
    <w:p w14:paraId="141FAA7D" w14:textId="77777777" w:rsidR="00D0002F" w:rsidRPr="00AF6EA8" w:rsidRDefault="00D0002F" w:rsidP="003F5076">
      <w:pPr>
        <w:pStyle w:val="ListBullet"/>
      </w:pPr>
      <w:r w:rsidRPr="00AF6EA8">
        <w:rPr>
          <w:b/>
          <w:bCs/>
        </w:rPr>
        <w:lastRenderedPageBreak/>
        <w:t>Provide clear, accessible information</w:t>
      </w:r>
      <w:r w:rsidRPr="00AF6EA8">
        <w:t xml:space="preserve"> on workplace expectations, support plans, rights, and safeguards to support informed consent.</w:t>
      </w:r>
    </w:p>
    <w:p w14:paraId="18EA91C3" w14:textId="45533F12" w:rsidR="00D0002F" w:rsidRDefault="00D0002F" w:rsidP="00D0002F">
      <w:pPr>
        <w:pStyle w:val="ListBullet"/>
      </w:pPr>
      <w:r w:rsidRPr="00AF6EA8">
        <w:rPr>
          <w:b/>
          <w:bCs/>
        </w:rPr>
        <w:t>Align service metrics</w:t>
      </w:r>
      <w:r w:rsidRPr="00AF6EA8">
        <w:t xml:space="preserve"> with what matters to workers and families (e.g. safety, respect, inclusion) alongside attainment and tenure.</w:t>
      </w:r>
    </w:p>
    <w:p w14:paraId="79E699D6" w14:textId="1B658379" w:rsidR="00D0002F" w:rsidRDefault="00D0002F" w:rsidP="00D0002F">
      <w:r w:rsidRPr="00AF6EA8">
        <w:t xml:space="preserve">These themes reinforce the importance of relational inclusion, continuity, and workplace capability as outlined in the </w:t>
      </w:r>
      <w:r w:rsidRPr="004A5567">
        <w:t xml:space="preserve">MIP-CIE framework </w:t>
      </w:r>
      <w:r w:rsidRPr="00AF6EA8">
        <w:t>(</w:t>
      </w:r>
      <w:r w:rsidRPr="00AF6EA8">
        <w:rPr>
          <w:b/>
          <w:bCs/>
        </w:rPr>
        <w:t>Section 3</w:t>
      </w:r>
      <w:r w:rsidRPr="00AF6EA8">
        <w:t>) and implementation conditions (</w:t>
      </w:r>
      <w:r w:rsidRPr="00AF6EA8">
        <w:rPr>
          <w:b/>
          <w:bCs/>
        </w:rPr>
        <w:t>Section 6</w:t>
      </w:r>
      <w:r w:rsidRPr="00AF6EA8">
        <w:t>). The perspectives summarised here are shaped by the roles and interactions of multiple stakeholders across the CIE</w:t>
      </w:r>
      <w:r>
        <w:t xml:space="preserve"> </w:t>
      </w:r>
      <w:r w:rsidRPr="00AF6EA8">
        <w:t xml:space="preserve">ecosystem. For an overview of these stakeholder groups and their contributions to CIE delivery, see </w:t>
      </w:r>
      <w:r w:rsidR="00F24E1C">
        <w:rPr>
          <w:b/>
          <w:bCs/>
        </w:rPr>
        <w:t>Table 1.1.</w:t>
      </w:r>
      <w:r w:rsidRPr="00AF6EA8">
        <w:rPr>
          <w:b/>
          <w:bCs/>
        </w:rPr>
        <w:t xml:space="preserve"> in Section 1</w:t>
      </w:r>
      <w:r w:rsidRPr="00AF6EA8">
        <w:t xml:space="preserve"> </w:t>
      </w:r>
      <w:r w:rsidRPr="00AF6EA8">
        <w:rPr>
          <w:b/>
          <w:bCs/>
        </w:rPr>
        <w:t xml:space="preserve">Background and </w:t>
      </w:r>
      <w:r>
        <w:rPr>
          <w:b/>
          <w:bCs/>
        </w:rPr>
        <w:t>purpose</w:t>
      </w:r>
      <w:r w:rsidRPr="00AF6EA8">
        <w:t>.</w:t>
      </w:r>
    </w:p>
    <w:p w14:paraId="1EA8A932" w14:textId="77777777" w:rsidR="00D0002F" w:rsidRDefault="00D0002F" w:rsidP="00D0002F">
      <w:r>
        <w:br w:type="page"/>
      </w:r>
    </w:p>
    <w:p w14:paraId="476F9FC8" w14:textId="77777777" w:rsidR="00D0002F" w:rsidRPr="00ED411B" w:rsidRDefault="00D0002F" w:rsidP="00EC0087">
      <w:pPr>
        <w:pStyle w:val="Numberedheading1"/>
      </w:pPr>
      <w:bookmarkStart w:id="63" w:name="_Toc231220077"/>
      <w:r w:rsidRPr="00ED411B">
        <w:lastRenderedPageBreak/>
        <w:t xml:space="preserve">Transferability to the Australian </w:t>
      </w:r>
      <w:r>
        <w:t>c</w:t>
      </w:r>
      <w:r w:rsidRPr="00ED411B">
        <w:t>ontext</w:t>
      </w:r>
      <w:bookmarkEnd w:id="63"/>
    </w:p>
    <w:p w14:paraId="20519379" w14:textId="77777777" w:rsidR="00D0002F" w:rsidRPr="00351675" w:rsidRDefault="00D0002F" w:rsidP="00D0002F">
      <w:r w:rsidRPr="00351675">
        <w:t>This section summarises how transferability was assessed when interpreting non</w:t>
      </w:r>
      <w:r>
        <w:t>-</w:t>
      </w:r>
      <w:r w:rsidRPr="00351675">
        <w:t xml:space="preserve">Australian evidence and translating findings into actionable implications for the Australian service ecosystem. Transferability was treated as a structured judgement rather than a binary attribute: evidence was first screened against a priori criteria and then assessed case by case for borderline studies, with decisions and rationales recorded (see </w:t>
      </w:r>
      <w:r w:rsidRPr="00351675">
        <w:rPr>
          <w:b/>
          <w:bCs/>
        </w:rPr>
        <w:t>Appendix H</w:t>
      </w:r>
      <w:r w:rsidRPr="00351675">
        <w:t>).</w:t>
      </w:r>
    </w:p>
    <w:p w14:paraId="74935E4C" w14:textId="1971A458" w:rsidR="00D0002F" w:rsidRPr="00ED411B" w:rsidRDefault="00D0002F" w:rsidP="00807628">
      <w:pPr>
        <w:pStyle w:val="Numberedheading2"/>
      </w:pPr>
      <w:bookmarkStart w:id="64" w:name="_Toc231220078"/>
      <w:r w:rsidRPr="00ED411B">
        <w:t xml:space="preserve">Inclusion </w:t>
      </w:r>
      <w:r>
        <w:t>c</w:t>
      </w:r>
      <w:r w:rsidRPr="00ED411B">
        <w:t xml:space="preserve">riteria for </w:t>
      </w:r>
      <w:r>
        <w:t>t</w:t>
      </w:r>
      <w:r w:rsidRPr="00ED411B">
        <w:t xml:space="preserve">ransferable </w:t>
      </w:r>
      <w:r>
        <w:t>e</w:t>
      </w:r>
      <w:r w:rsidRPr="00ED411B">
        <w:t>vidence</w:t>
      </w:r>
      <w:bookmarkEnd w:id="64"/>
    </w:p>
    <w:p w14:paraId="5495858A" w14:textId="77777777" w:rsidR="00D0002F" w:rsidRPr="00351675" w:rsidRDefault="00D0002F" w:rsidP="00D0002F">
      <w:r w:rsidRPr="00351675">
        <w:t>Non</w:t>
      </w:r>
      <w:r>
        <w:t>-</w:t>
      </w:r>
      <w:r w:rsidRPr="00351675">
        <w:t>Australian studies were considered transferable when they met all of the following conditions:</w:t>
      </w:r>
    </w:p>
    <w:p w14:paraId="0730E99C" w14:textId="77777777" w:rsidR="00D0002F" w:rsidRPr="00CD06CC" w:rsidRDefault="00D0002F" w:rsidP="00EC0087">
      <w:pPr>
        <w:pStyle w:val="ListBullet"/>
      </w:pPr>
      <w:r w:rsidRPr="00CD06CC">
        <w:t>Conducted in high-income or OECD settings with mainstream employment markets.</w:t>
      </w:r>
    </w:p>
    <w:p w14:paraId="7A7EBD6A" w14:textId="77777777" w:rsidR="00D0002F" w:rsidRPr="00CD06CC" w:rsidRDefault="00D0002F" w:rsidP="00EC0087">
      <w:pPr>
        <w:pStyle w:val="ListBullet"/>
      </w:pPr>
      <w:r w:rsidRPr="00CD06CC">
        <w:rPr>
          <w:b/>
          <w:bCs/>
        </w:rPr>
        <w:t>Delivered in integrated/open employment settings</w:t>
      </w:r>
      <w:r w:rsidRPr="00CD06CC">
        <w:t xml:space="preserve"> (not segregated workplaces), with employer participation and workplace</w:t>
      </w:r>
      <w:r>
        <w:t>-</w:t>
      </w:r>
      <w:r w:rsidRPr="00CD06CC">
        <w:t>based supports.</w:t>
      </w:r>
    </w:p>
    <w:p w14:paraId="6B35911A" w14:textId="77777777" w:rsidR="00D0002F" w:rsidRPr="00CD06CC" w:rsidRDefault="00D0002F" w:rsidP="00EC0087">
      <w:pPr>
        <w:pStyle w:val="ListBullet"/>
      </w:pPr>
      <w:r w:rsidRPr="00CD06CC">
        <w:rPr>
          <w:b/>
          <w:bCs/>
        </w:rPr>
        <w:t>Implemented within a supported employment infrastructure</w:t>
      </w:r>
      <w:r w:rsidRPr="00CD06CC">
        <w:t xml:space="preserve"> broadly analogous to the Australian context (e.g. capacity for job development, on</w:t>
      </w:r>
      <w:r>
        <w:t>-</w:t>
      </w:r>
      <w:r w:rsidRPr="00CD06CC">
        <w:t>site training, and follow</w:t>
      </w:r>
      <w:r>
        <w:t>-</w:t>
      </w:r>
      <w:r w:rsidRPr="00CD06CC">
        <w:t>along support).</w:t>
      </w:r>
    </w:p>
    <w:p w14:paraId="010C8D8F" w14:textId="77777777" w:rsidR="00D0002F" w:rsidRPr="00351675" w:rsidRDefault="00D0002F" w:rsidP="00D0002F">
      <w:r w:rsidRPr="00351675">
        <w:t>Studies that did not meet these criteria were retained for contextual learning but were not treated as direct practice models for Australian implementation.</w:t>
      </w:r>
    </w:p>
    <w:p w14:paraId="599F44D8" w14:textId="1A4C6396" w:rsidR="00D0002F" w:rsidRPr="00ED411B" w:rsidRDefault="00D0002F" w:rsidP="00807628">
      <w:pPr>
        <w:pStyle w:val="Numberedheading2"/>
      </w:pPr>
      <w:bookmarkStart w:id="65" w:name="_Toc231220079"/>
      <w:r w:rsidRPr="00ED411B">
        <w:t xml:space="preserve">Australian </w:t>
      </w:r>
      <w:r>
        <w:t>c</w:t>
      </w:r>
      <w:r w:rsidRPr="00ED411B">
        <w:t xml:space="preserve">ontextual </w:t>
      </w:r>
      <w:r>
        <w:t>f</w:t>
      </w:r>
      <w:r w:rsidRPr="00ED411B">
        <w:t xml:space="preserve">actors </w:t>
      </w:r>
      <w:r>
        <w:t>i</w:t>
      </w:r>
      <w:r w:rsidRPr="00ED411B">
        <w:t xml:space="preserve">nfluencing </w:t>
      </w:r>
      <w:r>
        <w:t>a</w:t>
      </w:r>
      <w:r w:rsidRPr="00ED411B">
        <w:t>pplicability</w:t>
      </w:r>
      <w:bookmarkEnd w:id="65"/>
    </w:p>
    <w:p w14:paraId="4E20FE84" w14:textId="77777777" w:rsidR="00D0002F" w:rsidRPr="00CD06CC" w:rsidRDefault="00D0002F" w:rsidP="00D0002F">
      <w:r w:rsidRPr="00CD06CC">
        <w:t>The applicability of international evidence to Australia is shaped by several systemic and structural factors:</w:t>
      </w:r>
    </w:p>
    <w:p w14:paraId="62D0F068" w14:textId="77777777" w:rsidR="00D0002F" w:rsidRPr="00CD06CC" w:rsidRDefault="00D0002F" w:rsidP="00EC0087">
      <w:pPr>
        <w:pStyle w:val="ListBullet"/>
      </w:pPr>
      <w:r w:rsidRPr="00CD06CC">
        <w:rPr>
          <w:b/>
          <w:bCs/>
        </w:rPr>
        <w:t>Funding and performance settings</w:t>
      </w:r>
      <w:r w:rsidRPr="00CD06CC">
        <w:t xml:space="preserve"> that influence the feasible dose of employer engagement, job coaching, and follow</w:t>
      </w:r>
      <w:r>
        <w:t>-</w:t>
      </w:r>
      <w:r w:rsidRPr="00CD06CC">
        <w:t>along (e.g. the post</w:t>
      </w:r>
      <w:r>
        <w:t>-</w:t>
      </w:r>
      <w:r w:rsidRPr="00CD06CC">
        <w:t xml:space="preserve">2025 Inclusive Employment Australia architecture and the NDIS interface). </w:t>
      </w:r>
    </w:p>
    <w:p w14:paraId="04A3B98D" w14:textId="77777777" w:rsidR="00D0002F" w:rsidRPr="00CD06CC" w:rsidRDefault="00D0002F" w:rsidP="00EC0087">
      <w:pPr>
        <w:pStyle w:val="ListBullet"/>
      </w:pPr>
      <w:r w:rsidRPr="00CD06CC">
        <w:t>Labour market structure and local employer demand, particularly in regional and remote areas.</w:t>
      </w:r>
    </w:p>
    <w:p w14:paraId="1811FBB1" w14:textId="77777777" w:rsidR="00D0002F" w:rsidRPr="00CD06CC" w:rsidRDefault="00D0002F" w:rsidP="00EC0087">
      <w:pPr>
        <w:pStyle w:val="ListBullet"/>
      </w:pPr>
      <w:r w:rsidRPr="00CD06CC">
        <w:rPr>
          <w:b/>
          <w:bCs/>
        </w:rPr>
        <w:t>Wage</w:t>
      </w:r>
      <w:r>
        <w:rPr>
          <w:b/>
          <w:bCs/>
        </w:rPr>
        <w:t>-</w:t>
      </w:r>
      <w:r w:rsidRPr="00CD06CC">
        <w:rPr>
          <w:b/>
          <w:bCs/>
        </w:rPr>
        <w:t>setting and employment forms</w:t>
      </w:r>
      <w:r w:rsidRPr="00CD06CC">
        <w:t>, including the persistence of segregated employment pathways and supported wage arrangements.</w:t>
      </w:r>
    </w:p>
    <w:p w14:paraId="04F161E3" w14:textId="77777777" w:rsidR="00D0002F" w:rsidRPr="00CD06CC" w:rsidRDefault="00D0002F" w:rsidP="00EC0087">
      <w:pPr>
        <w:pStyle w:val="ListBullet"/>
      </w:pPr>
      <w:r w:rsidRPr="00CD06CC">
        <w:rPr>
          <w:b/>
          <w:bCs/>
        </w:rPr>
        <w:t>Transport and commuting feasibility</w:t>
      </w:r>
      <w:r w:rsidRPr="00CD06CC">
        <w:t>, which can constrain job access, hours, and retention for people with intellectual disability.</w:t>
      </w:r>
    </w:p>
    <w:p w14:paraId="5FE5AE2D" w14:textId="5C8CA052" w:rsidR="00D0002F" w:rsidRPr="00CD06CC" w:rsidRDefault="00D0002F" w:rsidP="00D0002F">
      <w:r w:rsidRPr="00CD06CC">
        <w:lastRenderedPageBreak/>
        <w:t xml:space="preserve">These factors primarily affect feasibility, fidelity, and sustainment, rather than altering the underlying causal logic of effective supports. For a summary of key legislative and policy milestones shaping open employment in Australia, see </w:t>
      </w:r>
      <w:r w:rsidRPr="00CD06CC">
        <w:rPr>
          <w:b/>
          <w:bCs/>
        </w:rPr>
        <w:t>Appendix J</w:t>
      </w:r>
      <w:r w:rsidRPr="00CD06CC">
        <w:t>.</w:t>
      </w:r>
    </w:p>
    <w:p w14:paraId="061D9D94" w14:textId="202AD929" w:rsidR="00A877BC" w:rsidRPr="004D4D02" w:rsidRDefault="00A877BC" w:rsidP="00522B8E">
      <w:pPr>
        <w:pStyle w:val="BlockText"/>
      </w:pPr>
      <w:r w:rsidRPr="003E7AC9">
        <w:rPr>
          <w:b/>
          <w:bCs/>
        </w:rPr>
        <w:t xml:space="preserve">Box 8.1. </w:t>
      </w:r>
      <w:r w:rsidR="00AD1C72" w:rsidRPr="003E7AC9">
        <w:rPr>
          <w:b/>
          <w:bCs/>
        </w:rPr>
        <w:t>What providers should operationalise</w:t>
      </w:r>
      <w:r w:rsidRPr="003E7AC9">
        <w:rPr>
          <w:b/>
          <w:bCs/>
        </w:rPr>
        <w:t xml:space="preserve"> (</w:t>
      </w:r>
      <w:r w:rsidR="00B37DE6" w:rsidRPr="003E7AC9">
        <w:rPr>
          <w:b/>
          <w:bCs/>
        </w:rPr>
        <w:t>Inclusive Employment Australia</w:t>
      </w:r>
      <w:r w:rsidRPr="003E7AC9">
        <w:rPr>
          <w:b/>
          <w:bCs/>
        </w:rPr>
        <w:t xml:space="preserve">/NDIS </w:t>
      </w:r>
      <w:r w:rsidR="00AD1C72" w:rsidRPr="003E7AC9">
        <w:rPr>
          <w:b/>
          <w:bCs/>
        </w:rPr>
        <w:t>delivery context)</w:t>
      </w:r>
    </w:p>
    <w:p w14:paraId="3932EC0A" w14:textId="7BE3286F" w:rsidR="00A877BC" w:rsidRPr="003E7AC9" w:rsidRDefault="00A877BC" w:rsidP="003A5ACE">
      <w:pPr>
        <w:pStyle w:val="BlockText"/>
        <w:numPr>
          <w:ilvl w:val="0"/>
          <w:numId w:val="44"/>
        </w:numPr>
        <w:rPr>
          <w:i w:val="0"/>
          <w:iCs w:val="0"/>
        </w:rPr>
      </w:pPr>
      <w:r w:rsidRPr="003E7AC9">
        <w:rPr>
          <w:b/>
          <w:bCs/>
          <w:i w:val="0"/>
          <w:iCs w:val="0"/>
        </w:rPr>
        <w:t>Treat employer engagement, job development, and job redesign</w:t>
      </w:r>
      <w:r w:rsidRPr="003E7AC9">
        <w:rPr>
          <w:i w:val="0"/>
          <w:iCs w:val="0"/>
        </w:rPr>
        <w:t xml:space="preserve"> as core specialist practices, not administrative referrals.</w:t>
      </w:r>
    </w:p>
    <w:p w14:paraId="71961B17" w14:textId="75EFD9F9" w:rsidR="00A877BC" w:rsidRPr="003E7AC9" w:rsidRDefault="00A877BC" w:rsidP="003A5ACE">
      <w:pPr>
        <w:pStyle w:val="BlockText"/>
        <w:numPr>
          <w:ilvl w:val="0"/>
          <w:numId w:val="44"/>
        </w:numPr>
        <w:rPr>
          <w:i w:val="0"/>
          <w:iCs w:val="0"/>
        </w:rPr>
      </w:pPr>
      <w:r w:rsidRPr="003E7AC9">
        <w:rPr>
          <w:b/>
          <w:bCs/>
          <w:i w:val="0"/>
          <w:iCs w:val="0"/>
        </w:rPr>
        <w:t>Specify minimum support dose parameters</w:t>
      </w:r>
      <w:r w:rsidRPr="003E7AC9">
        <w:rPr>
          <w:i w:val="0"/>
          <w:iCs w:val="0"/>
        </w:rPr>
        <w:t xml:space="preserve"> (pre-placement, early placement, follow-along) and embed re-intensification triggers.</w:t>
      </w:r>
    </w:p>
    <w:p w14:paraId="269A2AEE" w14:textId="1578EB16" w:rsidR="00A877BC" w:rsidRPr="003E7AC9" w:rsidRDefault="00A877BC" w:rsidP="003A5ACE">
      <w:pPr>
        <w:pStyle w:val="BlockText"/>
        <w:numPr>
          <w:ilvl w:val="0"/>
          <w:numId w:val="44"/>
        </w:numPr>
        <w:rPr>
          <w:i w:val="0"/>
          <w:iCs w:val="0"/>
        </w:rPr>
      </w:pPr>
      <w:r w:rsidRPr="003E7AC9">
        <w:rPr>
          <w:i w:val="0"/>
          <w:iCs w:val="0"/>
        </w:rPr>
        <w:t>Use systematic instruction, task analysis, and visual supports to reduce cognitive mismatch; embed adjustments early.</w:t>
      </w:r>
    </w:p>
    <w:p w14:paraId="036DC3C2" w14:textId="686F6925" w:rsidR="00A877BC" w:rsidRPr="003E7AC9" w:rsidRDefault="00A877BC" w:rsidP="003A5ACE">
      <w:pPr>
        <w:pStyle w:val="BlockText"/>
        <w:numPr>
          <w:ilvl w:val="0"/>
          <w:numId w:val="44"/>
        </w:numPr>
        <w:rPr>
          <w:i w:val="0"/>
          <w:iCs w:val="0"/>
        </w:rPr>
      </w:pPr>
      <w:r w:rsidRPr="003E7AC9">
        <w:rPr>
          <w:b/>
          <w:bCs/>
          <w:i w:val="0"/>
          <w:iCs w:val="0"/>
        </w:rPr>
        <w:t>Build and maintain natural supports</w:t>
      </w:r>
      <w:r w:rsidRPr="003E7AC9">
        <w:rPr>
          <w:i w:val="0"/>
          <w:iCs w:val="0"/>
        </w:rPr>
        <w:t xml:space="preserve"> (supervisor coaching, coworker role clarity, escalation pathways).</w:t>
      </w:r>
    </w:p>
    <w:p w14:paraId="45E0F391" w14:textId="4ECB849A" w:rsidR="00AD1C72" w:rsidRPr="00D4484A" w:rsidRDefault="00A877BC" w:rsidP="003A5ACE">
      <w:pPr>
        <w:pStyle w:val="BlockText"/>
        <w:numPr>
          <w:ilvl w:val="0"/>
          <w:numId w:val="44"/>
        </w:numPr>
      </w:pPr>
      <w:r w:rsidRPr="003E7AC9">
        <w:rPr>
          <w:b/>
          <w:bCs/>
          <w:i w:val="0"/>
          <w:iCs w:val="0"/>
        </w:rPr>
        <w:t>Plan for continuity across transitions</w:t>
      </w:r>
      <w:r w:rsidRPr="003E7AC9">
        <w:rPr>
          <w:i w:val="0"/>
          <w:iCs w:val="0"/>
        </w:rPr>
        <w:t xml:space="preserve"> (school-to-work, provider changes, workplace change).</w:t>
      </w:r>
    </w:p>
    <w:p w14:paraId="43DA1568" w14:textId="77777777" w:rsidR="00D0002F" w:rsidRDefault="00D0002F" w:rsidP="00D0002F"/>
    <w:p w14:paraId="193AB703" w14:textId="77777777" w:rsidR="00A30F0F" w:rsidRDefault="00A30F0F" w:rsidP="00522B8E">
      <w:pPr>
        <w:pStyle w:val="BlockText"/>
      </w:pPr>
      <w:r w:rsidRPr="003E7AC9">
        <w:rPr>
          <w:b/>
          <w:bCs/>
        </w:rPr>
        <w:t>Box 8.2. What employers and workplaces can do (integration and job quality)</w:t>
      </w:r>
    </w:p>
    <w:p w14:paraId="7C8BB50B" w14:textId="6879D7A7" w:rsidR="00A30F0F" w:rsidRPr="003E7AC9" w:rsidRDefault="00A30F0F" w:rsidP="003A5ACE">
      <w:pPr>
        <w:pStyle w:val="BlockText"/>
        <w:numPr>
          <w:ilvl w:val="0"/>
          <w:numId w:val="45"/>
        </w:numPr>
        <w:rPr>
          <w:i w:val="0"/>
          <w:iCs w:val="0"/>
        </w:rPr>
      </w:pPr>
      <w:r w:rsidRPr="003E7AC9">
        <w:rPr>
          <w:b/>
          <w:bCs/>
          <w:i w:val="0"/>
          <w:iCs w:val="0"/>
        </w:rPr>
        <w:t>Embed inclusion in everyday work practices</w:t>
      </w:r>
      <w:r w:rsidRPr="003E7AC9">
        <w:rPr>
          <w:i w:val="0"/>
          <w:iCs w:val="0"/>
        </w:rPr>
        <w:t xml:space="preserve"> (team routines, role clarity, informal networks), not only physical presence.</w:t>
      </w:r>
    </w:p>
    <w:p w14:paraId="16AD67BA" w14:textId="35E85433" w:rsidR="00A30F0F" w:rsidRPr="003E7AC9" w:rsidRDefault="00A30F0F" w:rsidP="003A5ACE">
      <w:pPr>
        <w:pStyle w:val="BlockText"/>
        <w:numPr>
          <w:ilvl w:val="0"/>
          <w:numId w:val="45"/>
        </w:numPr>
        <w:rPr>
          <w:i w:val="0"/>
          <w:iCs w:val="0"/>
        </w:rPr>
      </w:pPr>
      <w:r w:rsidRPr="003E7AC9">
        <w:rPr>
          <w:b/>
          <w:bCs/>
          <w:i w:val="0"/>
          <w:iCs w:val="0"/>
        </w:rPr>
        <w:t>Co-design job tasks and onboarding</w:t>
      </w:r>
      <w:r w:rsidRPr="003E7AC9">
        <w:rPr>
          <w:i w:val="0"/>
          <w:iCs w:val="0"/>
        </w:rPr>
        <w:t xml:space="preserve"> to reduce semiotic and procedural complexity (plain language; step-by-step workflows).</w:t>
      </w:r>
    </w:p>
    <w:p w14:paraId="1571004C" w14:textId="50B6A96E" w:rsidR="00A30F0F" w:rsidRPr="003E7AC9" w:rsidRDefault="00A30F0F" w:rsidP="003A5ACE">
      <w:pPr>
        <w:pStyle w:val="BlockText"/>
        <w:numPr>
          <w:ilvl w:val="0"/>
          <w:numId w:val="45"/>
        </w:numPr>
        <w:rPr>
          <w:i w:val="0"/>
          <w:iCs w:val="0"/>
        </w:rPr>
      </w:pPr>
      <w:r w:rsidRPr="003E7AC9">
        <w:rPr>
          <w:b/>
          <w:bCs/>
          <w:i w:val="0"/>
          <w:iCs w:val="0"/>
        </w:rPr>
        <w:t>Invest in supervisor capability and stable points of contact</w:t>
      </w:r>
      <w:r w:rsidRPr="003E7AC9">
        <w:rPr>
          <w:i w:val="0"/>
          <w:iCs w:val="0"/>
        </w:rPr>
        <w:t>; normalise reasonable adjustments and flexible supervision.</w:t>
      </w:r>
    </w:p>
    <w:p w14:paraId="76363CE2" w14:textId="009531D7" w:rsidR="00985383" w:rsidRPr="00824DD5" w:rsidRDefault="00985383" w:rsidP="003A5ACE">
      <w:pPr>
        <w:pStyle w:val="BlockText"/>
        <w:numPr>
          <w:ilvl w:val="0"/>
          <w:numId w:val="45"/>
        </w:numPr>
      </w:pPr>
      <w:r w:rsidRPr="003E7AC9">
        <w:rPr>
          <w:b/>
          <w:bCs/>
          <w:i w:val="0"/>
          <w:iCs w:val="0"/>
        </w:rPr>
        <w:t>Support progression</w:t>
      </w:r>
      <w:r w:rsidRPr="003E7AC9">
        <w:rPr>
          <w:i w:val="0"/>
          <w:iCs w:val="0"/>
        </w:rPr>
        <w:t xml:space="preserve"> (skill development, increased hours, expanded responsibilities) rather than static entry-level roles</w:t>
      </w:r>
      <w:r w:rsidRPr="00BA4766">
        <w:t>.</w:t>
      </w:r>
    </w:p>
    <w:p w14:paraId="0050DDD0" w14:textId="5F1D2620" w:rsidR="005F1EAE" w:rsidRDefault="00475AE0" w:rsidP="00A30F0F">
      <w:r>
        <w:br w:type="page"/>
      </w:r>
    </w:p>
    <w:p w14:paraId="528F9B47" w14:textId="6C639414" w:rsidR="005F1EAE" w:rsidRDefault="005F1EAE" w:rsidP="00522B8E">
      <w:pPr>
        <w:pStyle w:val="BlockText"/>
      </w:pPr>
      <w:r w:rsidRPr="003E7AC9">
        <w:rPr>
          <w:b/>
          <w:bCs/>
        </w:rPr>
        <w:lastRenderedPageBreak/>
        <w:t>Box 8.3. What system actors should safeguard (policy &amp; implementation conditions)</w:t>
      </w:r>
    </w:p>
    <w:p w14:paraId="2FB6030F" w14:textId="5F5756A9" w:rsidR="005F1EAE" w:rsidRPr="003E7AC9" w:rsidRDefault="005F1EAE" w:rsidP="003A5ACE">
      <w:pPr>
        <w:pStyle w:val="BlockText"/>
        <w:numPr>
          <w:ilvl w:val="0"/>
          <w:numId w:val="46"/>
        </w:numPr>
        <w:rPr>
          <w:i w:val="0"/>
          <w:iCs w:val="0"/>
        </w:rPr>
      </w:pPr>
      <w:r w:rsidRPr="003E7AC9">
        <w:rPr>
          <w:b/>
          <w:bCs/>
          <w:i w:val="0"/>
          <w:iCs w:val="0"/>
        </w:rPr>
        <w:t>Align incentives with CIE/open employment outcomes</w:t>
      </w:r>
      <w:r w:rsidRPr="003E7AC9">
        <w:rPr>
          <w:i w:val="0"/>
          <w:iCs w:val="0"/>
        </w:rPr>
        <w:t>, including sustainment and job quality (not placement-only metrics).</w:t>
      </w:r>
    </w:p>
    <w:p w14:paraId="6AEAA90B" w14:textId="77777777" w:rsidR="005F1EAE" w:rsidRPr="003E7AC9" w:rsidRDefault="005F1EAE" w:rsidP="003A5ACE">
      <w:pPr>
        <w:pStyle w:val="BlockText"/>
        <w:numPr>
          <w:ilvl w:val="0"/>
          <w:numId w:val="46"/>
        </w:numPr>
        <w:rPr>
          <w:i w:val="0"/>
          <w:iCs w:val="0"/>
        </w:rPr>
      </w:pPr>
      <w:r w:rsidRPr="003E7AC9">
        <w:rPr>
          <w:b/>
          <w:bCs/>
          <w:i w:val="0"/>
          <w:iCs w:val="0"/>
        </w:rPr>
        <w:t>Resource higher-support cohorts</w:t>
      </w:r>
      <w:r w:rsidRPr="003E7AC9">
        <w:rPr>
          <w:i w:val="0"/>
          <w:iCs w:val="0"/>
        </w:rPr>
        <w:t xml:space="preserve"> with sufficient duration and intensity to prevent ‘under-dosed’ delivery failures.</w:t>
      </w:r>
    </w:p>
    <w:p w14:paraId="4763FB2A" w14:textId="098933EB" w:rsidR="005F1EAE" w:rsidRPr="003E7AC9" w:rsidRDefault="005F1EAE" w:rsidP="003A5ACE">
      <w:pPr>
        <w:pStyle w:val="BlockText"/>
        <w:numPr>
          <w:ilvl w:val="0"/>
          <w:numId w:val="46"/>
        </w:numPr>
        <w:rPr>
          <w:i w:val="0"/>
          <w:iCs w:val="0"/>
        </w:rPr>
      </w:pPr>
      <w:r w:rsidRPr="003E7AC9">
        <w:rPr>
          <w:b/>
          <w:bCs/>
          <w:i w:val="0"/>
          <w:iCs w:val="0"/>
        </w:rPr>
        <w:t>Reduce interface friction</w:t>
      </w:r>
      <w:r w:rsidRPr="003E7AC9">
        <w:rPr>
          <w:i w:val="0"/>
          <w:iCs w:val="0"/>
        </w:rPr>
        <w:t xml:space="preserve"> across </w:t>
      </w:r>
      <w:r w:rsidR="00B37DE6" w:rsidRPr="003E7AC9">
        <w:rPr>
          <w:i w:val="0"/>
          <w:iCs w:val="0"/>
        </w:rPr>
        <w:t>Inclusive Employment Australia</w:t>
      </w:r>
      <w:r w:rsidRPr="003E7AC9">
        <w:rPr>
          <w:i w:val="0"/>
          <w:iCs w:val="0"/>
        </w:rPr>
        <w:t>/NDIS/Employment Readiness Programmes and income support systems through clearer pathways and coordination.</w:t>
      </w:r>
    </w:p>
    <w:p w14:paraId="4024CA6B" w14:textId="7C726BB0" w:rsidR="005F1EAE" w:rsidRPr="00BA4766" w:rsidRDefault="005F1EAE" w:rsidP="003A5ACE">
      <w:pPr>
        <w:pStyle w:val="BlockText"/>
        <w:numPr>
          <w:ilvl w:val="0"/>
          <w:numId w:val="46"/>
        </w:numPr>
      </w:pPr>
      <w:r w:rsidRPr="003E7AC9">
        <w:rPr>
          <w:b/>
          <w:bCs/>
          <w:i w:val="0"/>
          <w:iCs w:val="0"/>
        </w:rPr>
        <w:t>Monitor implementation quality</w:t>
      </w:r>
      <w:r w:rsidRPr="003E7AC9">
        <w:rPr>
          <w:i w:val="0"/>
          <w:iCs w:val="0"/>
        </w:rPr>
        <w:t xml:space="preserve"> (fidelity, dose, adoption, sustainability) alongside outcomes to support scale-up.</w:t>
      </w:r>
    </w:p>
    <w:p w14:paraId="58C83FB1" w14:textId="77777777" w:rsidR="005F1EAE" w:rsidRDefault="005F1EAE" w:rsidP="00A30F0F"/>
    <w:p w14:paraId="34009F3B" w14:textId="77777777" w:rsidR="00A30F0F" w:rsidRDefault="00A30F0F" w:rsidP="00D0002F"/>
    <w:p w14:paraId="11FF570F" w14:textId="77777777" w:rsidR="00A30F0F" w:rsidRDefault="00A30F0F" w:rsidP="00D0002F"/>
    <w:p w14:paraId="34661899" w14:textId="77777777" w:rsidR="00A30F0F" w:rsidRDefault="00A30F0F" w:rsidP="00D0002F"/>
    <w:p w14:paraId="336759D2" w14:textId="77777777" w:rsidR="00A30F0F" w:rsidRDefault="00A30F0F" w:rsidP="00D0002F"/>
    <w:p w14:paraId="20741D10" w14:textId="77777777" w:rsidR="00D0002F" w:rsidRDefault="00D0002F" w:rsidP="00D0002F">
      <w:r>
        <w:br w:type="page"/>
      </w:r>
    </w:p>
    <w:p w14:paraId="218B9FF8" w14:textId="77777777" w:rsidR="00D0002F" w:rsidRPr="00ED411B" w:rsidRDefault="00D0002F" w:rsidP="00121779">
      <w:pPr>
        <w:pStyle w:val="Numberedheading1"/>
      </w:pPr>
      <w:bookmarkStart w:id="66" w:name="_Toc231220080"/>
      <w:r w:rsidRPr="00ED411B">
        <w:lastRenderedPageBreak/>
        <w:t>Limitations</w:t>
      </w:r>
      <w:bookmarkEnd w:id="66"/>
    </w:p>
    <w:p w14:paraId="0484A691" w14:textId="77777777" w:rsidR="00D0002F" w:rsidRPr="00824DD5" w:rsidRDefault="00D0002F" w:rsidP="00D0002F">
      <w:r w:rsidRPr="00824DD5">
        <w:t>This synthesis was conducted as a rapid evidence review and is subject to several methodological and contextual limitations:</w:t>
      </w:r>
    </w:p>
    <w:p w14:paraId="6FF6C85D" w14:textId="77777777" w:rsidR="00D0002F" w:rsidRPr="00961F4B" w:rsidRDefault="00D0002F" w:rsidP="00121779">
      <w:pPr>
        <w:pStyle w:val="ListBullet"/>
      </w:pPr>
      <w:r w:rsidRPr="00961F4B">
        <w:rPr>
          <w:b/>
          <w:bCs/>
        </w:rPr>
        <w:t>Timeframe and language</w:t>
      </w:r>
      <w:r w:rsidRPr="00961F4B">
        <w:t>: Searches were limited to English-language sources published from 2015 onwards. While systematic reviews included earlier studies, some relevant primary evidence may have been excluded.</w:t>
      </w:r>
    </w:p>
    <w:p w14:paraId="697180C2" w14:textId="77777777" w:rsidR="00D0002F" w:rsidRPr="00961F4B" w:rsidRDefault="00D0002F" w:rsidP="00121779">
      <w:pPr>
        <w:pStyle w:val="ListBullet"/>
      </w:pPr>
      <w:r w:rsidRPr="00961F4B">
        <w:rPr>
          <w:b/>
          <w:bCs/>
        </w:rPr>
        <w:t>Heterogeneity</w:t>
      </w:r>
      <w:r w:rsidRPr="00961F4B">
        <w:t>: Variability in intervention models, outcome measures, and reporting standards limited the feasibility of meta-analysis. Findings were synthesised narratively using structured SWiM principles.</w:t>
      </w:r>
    </w:p>
    <w:p w14:paraId="42657EC0" w14:textId="77777777" w:rsidR="00D0002F" w:rsidRPr="00961F4B" w:rsidRDefault="00D0002F" w:rsidP="00121779">
      <w:pPr>
        <w:pStyle w:val="ListBullet"/>
      </w:pPr>
      <w:r w:rsidRPr="00961F4B">
        <w:rPr>
          <w:b/>
          <w:bCs/>
        </w:rPr>
        <w:t>Evidence quality</w:t>
      </w:r>
      <w:r w:rsidRPr="00961F4B">
        <w:t>: The strength of evidence varied across intervention families and outcomes. Some findings are based on small samples, non-randomised designs, or limited follow-up periods.</w:t>
      </w:r>
    </w:p>
    <w:p w14:paraId="4ABC5148" w14:textId="77777777" w:rsidR="00D0002F" w:rsidRPr="00961F4B" w:rsidRDefault="00D0002F" w:rsidP="00121779">
      <w:pPr>
        <w:pStyle w:val="ListBullet"/>
      </w:pPr>
      <w:r w:rsidRPr="00961F4B">
        <w:rPr>
          <w:b/>
          <w:bCs/>
        </w:rPr>
        <w:t>Transferability</w:t>
      </w:r>
      <w:r w:rsidRPr="00961F4B">
        <w:t>: Although transferability to the Australian context was assessed using structured criteria, differences in funding models, labour markets, and service infrastructure may affect applicability.</w:t>
      </w:r>
    </w:p>
    <w:p w14:paraId="35872693" w14:textId="77777777" w:rsidR="00D0002F" w:rsidRPr="00961F4B" w:rsidRDefault="00D0002F" w:rsidP="00121779">
      <w:pPr>
        <w:pStyle w:val="ListBullet"/>
      </w:pPr>
      <w:r w:rsidRPr="00961F4B">
        <w:rPr>
          <w:b/>
          <w:bCs/>
        </w:rPr>
        <w:t>Implementation data</w:t>
      </w:r>
      <w:r w:rsidRPr="00961F4B">
        <w:t>: Many studies lacked detailed reporting on fidelity, workforce capability, or system-level enablers, limiting insight into real-world delivery conditions.</w:t>
      </w:r>
    </w:p>
    <w:p w14:paraId="1CDFB311" w14:textId="77777777" w:rsidR="00D0002F" w:rsidRPr="00961F4B" w:rsidRDefault="00D0002F" w:rsidP="00121779">
      <w:pPr>
        <w:pStyle w:val="ListBullet"/>
      </w:pPr>
      <w:r w:rsidRPr="00961F4B">
        <w:rPr>
          <w:b/>
          <w:bCs/>
        </w:rPr>
        <w:t>Lived experience</w:t>
      </w:r>
      <w:r w:rsidRPr="00961F4B">
        <w:t>: While a dedicated sub-stream captured stakeholder perspectives, these were not consistently integrated into primary studies, and worker-defined outcomes remain under-represented.</w:t>
      </w:r>
    </w:p>
    <w:p w14:paraId="4CE54899" w14:textId="77777777" w:rsidR="00D0002F" w:rsidRPr="00824DD5" w:rsidRDefault="00D0002F" w:rsidP="00D0002F">
      <w:r w:rsidRPr="00824DD5">
        <w:t>These limitations were mitigated through transparent inclusion criteria, structured synthesis methods, and explicit reporting of certainty and transferability. Nonetheless, findings should be interpreted with attention to context, and further research is needed to strengthen the evidence base for implementation and scale-up.</w:t>
      </w:r>
    </w:p>
    <w:p w14:paraId="131F02FB" w14:textId="77777777" w:rsidR="00D0002F" w:rsidRPr="00ED411B" w:rsidRDefault="00D0002F" w:rsidP="00121779">
      <w:pPr>
        <w:pStyle w:val="Numberedheading1"/>
      </w:pPr>
      <w:bookmarkStart w:id="67" w:name="_Toc231220081"/>
      <w:r w:rsidRPr="00ED411B">
        <w:t xml:space="preserve">Implications and </w:t>
      </w:r>
      <w:r>
        <w:t>r</w:t>
      </w:r>
      <w:r w:rsidRPr="00ED411B">
        <w:t>ecommendations</w:t>
      </w:r>
      <w:bookmarkEnd w:id="67"/>
    </w:p>
    <w:p w14:paraId="27C21227" w14:textId="77777777" w:rsidR="00D0002F" w:rsidRPr="0043508B" w:rsidRDefault="00D0002F" w:rsidP="00D0002F">
      <w:r w:rsidRPr="0043508B">
        <w:t xml:space="preserve">This section translates the </w:t>
      </w:r>
      <w:r w:rsidRPr="004A5567">
        <w:t>MIP-</w:t>
      </w:r>
      <w:r w:rsidRPr="00EF1B47">
        <w:t>CIE framework into actionable implications for Australian practice and system design. Recommendations are derived from the synthesis and MIP-CIE framework as evidence-informed implications, taking into account certainty, transferability, and implementation context. They should be read as guidance informed by the evidence base, not as definitive causal prescriptions.</w:t>
      </w:r>
    </w:p>
    <w:p w14:paraId="5B3F3A22" w14:textId="6C9784AA" w:rsidR="00D0002F" w:rsidRPr="0043508B" w:rsidRDefault="00D0002F" w:rsidP="00D0002F">
      <w:r w:rsidRPr="0043508B">
        <w:lastRenderedPageBreak/>
        <w:t>Recommendations are organised around key implementation pathways</w:t>
      </w:r>
      <w:r>
        <w:t xml:space="preserve">, including </w:t>
      </w:r>
      <w:r w:rsidRPr="0043508B">
        <w:t>Inclusive Employment Australia</w:t>
      </w:r>
      <w:r w:rsidR="00B37DE6">
        <w:t>,</w:t>
      </w:r>
      <w:r w:rsidRPr="0043508B">
        <w:t xml:space="preserve"> NDIS/Employment Readiness Programmes, transition ecosystems, inclusive enterprises, employer engagement, and retention supports that can host the core practice package and reduce person-environment mismatch in mainstream work settings. Recommendations are framed for use by providers, commissioners, and system actors, and are aligned with the evidence boundaries of this synthesis.</w:t>
      </w:r>
    </w:p>
    <w:p w14:paraId="23A60DA2" w14:textId="494D0AF5" w:rsidR="00D0002F" w:rsidRPr="00ED411B" w:rsidRDefault="00B37DE6" w:rsidP="00807628">
      <w:pPr>
        <w:pStyle w:val="Numberedheading2"/>
      </w:pPr>
      <w:bookmarkStart w:id="68" w:name="_Toc231220082"/>
      <w:r>
        <w:t>Inclusive Employment Australia</w:t>
      </w:r>
      <w:r w:rsidR="00D0002F" w:rsidRPr="00ED411B">
        <w:t xml:space="preserve"> </w:t>
      </w:r>
      <w:r w:rsidR="00D0002F">
        <w:t>p</w:t>
      </w:r>
      <w:r w:rsidR="00D0002F" w:rsidRPr="00ED411B">
        <w:t xml:space="preserve">athway: </w:t>
      </w:r>
      <w:r w:rsidR="00D0002F">
        <w:t>s</w:t>
      </w:r>
      <w:r w:rsidR="00D0002F" w:rsidRPr="00ED411B">
        <w:t xml:space="preserve">trengthen the ‘Place-Train-Maintain’ </w:t>
      </w:r>
      <w:r w:rsidR="00D0002F">
        <w:t>f</w:t>
      </w:r>
      <w:r w:rsidR="00D0002F" w:rsidRPr="00ED411B">
        <w:t>unctions</w:t>
      </w:r>
      <w:bookmarkEnd w:id="68"/>
    </w:p>
    <w:p w14:paraId="52B88C92" w14:textId="3E7E16D6" w:rsidR="00123626" w:rsidRPr="00123626" w:rsidRDefault="00123626" w:rsidP="00522B8E">
      <w:pPr>
        <w:pStyle w:val="BlockText"/>
      </w:pPr>
      <w:r w:rsidRPr="00E470E1">
        <w:rPr>
          <w:b/>
          <w:bCs/>
        </w:rPr>
        <w:t xml:space="preserve">Box 10.1. Practice Implications – </w:t>
      </w:r>
      <w:r w:rsidR="00B37DE6" w:rsidRPr="00E470E1">
        <w:rPr>
          <w:b/>
          <w:bCs/>
        </w:rPr>
        <w:t>Inclusive Employment Australia</w:t>
      </w:r>
      <w:r w:rsidRPr="00E470E1">
        <w:rPr>
          <w:b/>
          <w:bCs/>
        </w:rPr>
        <w:t xml:space="preserve"> Delivery Platform</w:t>
      </w:r>
    </w:p>
    <w:p w14:paraId="0CF59AC7" w14:textId="38083D9C" w:rsidR="00123626" w:rsidRPr="00E470E1" w:rsidRDefault="00123626" w:rsidP="003A5ACE">
      <w:pPr>
        <w:pStyle w:val="BlockText"/>
        <w:numPr>
          <w:ilvl w:val="0"/>
          <w:numId w:val="47"/>
        </w:numPr>
        <w:rPr>
          <w:i w:val="0"/>
          <w:iCs w:val="0"/>
        </w:rPr>
      </w:pPr>
      <w:r w:rsidRPr="00E470E1">
        <w:rPr>
          <w:b/>
          <w:bCs/>
          <w:i w:val="0"/>
          <w:iCs w:val="0"/>
        </w:rPr>
        <w:t xml:space="preserve">Use </w:t>
      </w:r>
      <w:r w:rsidR="00B37DE6" w:rsidRPr="00E470E1">
        <w:rPr>
          <w:b/>
          <w:bCs/>
          <w:i w:val="0"/>
          <w:iCs w:val="0"/>
        </w:rPr>
        <w:t>Inclusive Employment Australia</w:t>
      </w:r>
      <w:r w:rsidRPr="00E470E1">
        <w:rPr>
          <w:b/>
          <w:bCs/>
          <w:i w:val="0"/>
          <w:iCs w:val="0"/>
        </w:rPr>
        <w:t xml:space="preserve"> as the primary platform</w:t>
      </w:r>
      <w:r w:rsidRPr="00E470E1">
        <w:rPr>
          <w:i w:val="0"/>
          <w:iCs w:val="0"/>
        </w:rPr>
        <w:t xml:space="preserve"> for job development, employer partnership, placement, and follow-along support.</w:t>
      </w:r>
    </w:p>
    <w:p w14:paraId="453F80AF" w14:textId="3135A591" w:rsidR="00123626" w:rsidRPr="00E470E1" w:rsidRDefault="00123626" w:rsidP="003A5ACE">
      <w:pPr>
        <w:pStyle w:val="BlockText"/>
        <w:numPr>
          <w:ilvl w:val="0"/>
          <w:numId w:val="47"/>
        </w:numPr>
        <w:rPr>
          <w:i w:val="0"/>
          <w:iCs w:val="0"/>
        </w:rPr>
      </w:pPr>
      <w:r w:rsidRPr="00E470E1">
        <w:rPr>
          <w:b/>
          <w:bCs/>
          <w:i w:val="0"/>
          <w:iCs w:val="0"/>
        </w:rPr>
        <w:t>Embed discovery, job matching, and job analysis</w:t>
      </w:r>
      <w:r w:rsidRPr="00E470E1">
        <w:rPr>
          <w:i w:val="0"/>
          <w:iCs w:val="0"/>
        </w:rPr>
        <w:t xml:space="preserve"> as standard practice for participants with higher support needs.</w:t>
      </w:r>
    </w:p>
    <w:p w14:paraId="3038A2DA" w14:textId="72803058" w:rsidR="00123626" w:rsidRPr="00E470E1" w:rsidRDefault="00123626" w:rsidP="003A5ACE">
      <w:pPr>
        <w:pStyle w:val="BlockText"/>
        <w:numPr>
          <w:ilvl w:val="0"/>
          <w:numId w:val="47"/>
        </w:numPr>
        <w:rPr>
          <w:i w:val="0"/>
          <w:iCs w:val="0"/>
        </w:rPr>
      </w:pPr>
      <w:r w:rsidRPr="00E470E1">
        <w:rPr>
          <w:b/>
          <w:bCs/>
          <w:i w:val="0"/>
          <w:iCs w:val="0"/>
        </w:rPr>
        <w:t>Operationalise systematic instruction and accommodation planning</w:t>
      </w:r>
      <w:r w:rsidRPr="00E470E1">
        <w:rPr>
          <w:i w:val="0"/>
          <w:iCs w:val="0"/>
        </w:rPr>
        <w:t xml:space="preserve"> in the workplace, with defined tapering and re-intensification protocols.</w:t>
      </w:r>
    </w:p>
    <w:p w14:paraId="07CC408B" w14:textId="2219165B" w:rsidR="00123626" w:rsidRPr="00E470E1" w:rsidRDefault="00123626" w:rsidP="003A5ACE">
      <w:pPr>
        <w:pStyle w:val="BlockText"/>
        <w:numPr>
          <w:ilvl w:val="0"/>
          <w:numId w:val="47"/>
        </w:numPr>
        <w:rPr>
          <w:i w:val="0"/>
          <w:iCs w:val="0"/>
        </w:rPr>
      </w:pPr>
      <w:r w:rsidRPr="00E470E1">
        <w:rPr>
          <w:b/>
          <w:bCs/>
          <w:i w:val="0"/>
          <w:iCs w:val="0"/>
        </w:rPr>
        <w:t>Record contact frequency, coaching hours, and follow-along cadence</w:t>
      </w:r>
      <w:r w:rsidRPr="00E470E1">
        <w:rPr>
          <w:i w:val="0"/>
          <w:iCs w:val="0"/>
        </w:rPr>
        <w:t xml:space="preserve"> as routine performance indicators.</w:t>
      </w:r>
    </w:p>
    <w:p w14:paraId="41D4C294" w14:textId="7AD913B9" w:rsidR="00123626" w:rsidRPr="00E470E1" w:rsidRDefault="00123626" w:rsidP="003A5ACE">
      <w:pPr>
        <w:pStyle w:val="BlockText"/>
        <w:numPr>
          <w:ilvl w:val="0"/>
          <w:numId w:val="47"/>
        </w:numPr>
        <w:rPr>
          <w:i w:val="0"/>
          <w:iCs w:val="0"/>
        </w:rPr>
      </w:pPr>
      <w:r w:rsidRPr="00E470E1">
        <w:rPr>
          <w:b/>
          <w:bCs/>
          <w:i w:val="0"/>
          <w:iCs w:val="0"/>
        </w:rPr>
        <w:t>Treat employer engagement as a core component</w:t>
      </w:r>
      <w:r w:rsidRPr="00E470E1">
        <w:rPr>
          <w:i w:val="0"/>
          <w:iCs w:val="0"/>
        </w:rPr>
        <w:t>, including role negotiation and job carving.</w:t>
      </w:r>
    </w:p>
    <w:p w14:paraId="1A397671" w14:textId="23DED364" w:rsidR="00123626" w:rsidRPr="00FF517E" w:rsidRDefault="00123626" w:rsidP="003A5ACE">
      <w:pPr>
        <w:pStyle w:val="BlockText"/>
        <w:numPr>
          <w:ilvl w:val="0"/>
          <w:numId w:val="47"/>
        </w:numPr>
      </w:pPr>
      <w:r w:rsidRPr="00E470E1">
        <w:rPr>
          <w:b/>
          <w:bCs/>
          <w:i w:val="0"/>
          <w:iCs w:val="0"/>
        </w:rPr>
        <w:t>Monitor job quality and retention outcomes</w:t>
      </w:r>
      <w:r w:rsidRPr="00E470E1">
        <w:rPr>
          <w:i w:val="0"/>
          <w:iCs w:val="0"/>
        </w:rPr>
        <w:t>, not just placement counts</w:t>
      </w:r>
      <w:r w:rsidRPr="00FF517E">
        <w:t>.</w:t>
      </w:r>
    </w:p>
    <w:p w14:paraId="0C11C6BF" w14:textId="77777777" w:rsidR="009134E1" w:rsidRDefault="009134E1" w:rsidP="001B7301"/>
    <w:p w14:paraId="41116F5D" w14:textId="77777777" w:rsidR="001B7301" w:rsidRDefault="001B7301" w:rsidP="001B7301"/>
    <w:p w14:paraId="356A0B83" w14:textId="77777777" w:rsidR="001B7301" w:rsidRDefault="001B7301" w:rsidP="001B7301"/>
    <w:p w14:paraId="364E8DFD" w14:textId="77777777" w:rsidR="001B7301" w:rsidRDefault="001B7301" w:rsidP="001B7301"/>
    <w:p w14:paraId="1D604CFC" w14:textId="5BACB7BD" w:rsidR="002D5FB8" w:rsidRDefault="00D0002F" w:rsidP="00807628">
      <w:pPr>
        <w:pStyle w:val="Numberedheading2"/>
      </w:pPr>
      <w:bookmarkStart w:id="69" w:name="_Toc231220083"/>
      <w:r w:rsidRPr="00196D48">
        <w:lastRenderedPageBreak/>
        <w:t>NDIS</w:t>
      </w:r>
      <w:r w:rsidRPr="00ED411B">
        <w:t>/</w:t>
      </w:r>
      <w:r>
        <w:t>e</w:t>
      </w:r>
      <w:r w:rsidRPr="00ED411B">
        <w:t xml:space="preserve">mployment </w:t>
      </w:r>
      <w:r>
        <w:t>r</w:t>
      </w:r>
      <w:r w:rsidRPr="00ED411B">
        <w:t xml:space="preserve">eadiness </w:t>
      </w:r>
      <w:r>
        <w:t>p</w:t>
      </w:r>
      <w:r w:rsidRPr="00ED411B">
        <w:t xml:space="preserve">rogrammes </w:t>
      </w:r>
      <w:r>
        <w:t>p</w:t>
      </w:r>
      <w:r w:rsidRPr="00ED411B">
        <w:t xml:space="preserve">athway: </w:t>
      </w:r>
      <w:r>
        <w:t>r</w:t>
      </w:r>
      <w:r w:rsidRPr="00ED411B">
        <w:t xml:space="preserve">esource </w:t>
      </w:r>
      <w:r>
        <w:t>i</w:t>
      </w:r>
      <w:r w:rsidRPr="00ED411B">
        <w:t xml:space="preserve">ntensity, </w:t>
      </w:r>
      <w:r>
        <w:t>c</w:t>
      </w:r>
      <w:r w:rsidRPr="00ED411B">
        <w:t xml:space="preserve">ontinuity and </w:t>
      </w:r>
      <w:r>
        <w:t>e</w:t>
      </w:r>
      <w:r w:rsidRPr="00ED411B">
        <w:t xml:space="preserve">nabling </w:t>
      </w:r>
      <w:r>
        <w:t>s</w:t>
      </w:r>
      <w:r w:rsidRPr="00ED411B">
        <w:t>upports</w:t>
      </w:r>
      <w:bookmarkEnd w:id="69"/>
    </w:p>
    <w:p w14:paraId="562BB609" w14:textId="5A237DBE" w:rsidR="002D5FB8" w:rsidRDefault="002D5FB8" w:rsidP="00522B8E">
      <w:pPr>
        <w:pStyle w:val="BlockText"/>
      </w:pPr>
      <w:r w:rsidRPr="00E470E1">
        <w:rPr>
          <w:b/>
          <w:bCs/>
        </w:rPr>
        <w:t>Box 10.2. Practice Implications – NDIS and Employment Readiness Programmes Interfaces</w:t>
      </w:r>
    </w:p>
    <w:p w14:paraId="413D7B4E" w14:textId="513AC6E5" w:rsidR="00A75F8B" w:rsidRPr="00E470E1" w:rsidRDefault="00A75F8B" w:rsidP="003A5ACE">
      <w:pPr>
        <w:pStyle w:val="BlockText"/>
        <w:numPr>
          <w:ilvl w:val="0"/>
          <w:numId w:val="48"/>
        </w:numPr>
        <w:rPr>
          <w:i w:val="0"/>
          <w:iCs w:val="0"/>
        </w:rPr>
      </w:pPr>
      <w:r w:rsidRPr="00E470E1">
        <w:rPr>
          <w:b/>
          <w:bCs/>
          <w:i w:val="0"/>
          <w:iCs w:val="0"/>
        </w:rPr>
        <w:t>Use NDIS-funded supports</w:t>
      </w:r>
      <w:r w:rsidRPr="00E470E1">
        <w:rPr>
          <w:i w:val="0"/>
          <w:iCs w:val="0"/>
        </w:rPr>
        <w:t xml:space="preserve"> to resource higher-intensity coaching, assistive technology, and continuity across transitions.</w:t>
      </w:r>
    </w:p>
    <w:p w14:paraId="177E61A8" w14:textId="77777777" w:rsidR="00A75F8B" w:rsidRPr="00E470E1" w:rsidRDefault="00A75F8B" w:rsidP="003A5ACE">
      <w:pPr>
        <w:pStyle w:val="BlockText"/>
        <w:numPr>
          <w:ilvl w:val="0"/>
          <w:numId w:val="48"/>
        </w:numPr>
        <w:rPr>
          <w:i w:val="0"/>
          <w:iCs w:val="0"/>
        </w:rPr>
      </w:pPr>
      <w:r w:rsidRPr="00E470E1">
        <w:rPr>
          <w:b/>
          <w:bCs/>
          <w:i w:val="0"/>
          <w:iCs w:val="0"/>
        </w:rPr>
        <w:t>Position Employment Readiness Programmes</w:t>
      </w:r>
      <w:r w:rsidRPr="00E470E1">
        <w:rPr>
          <w:i w:val="0"/>
          <w:iCs w:val="0"/>
        </w:rPr>
        <w:t xml:space="preserve"> as a bridge to real work exposure, not a default ‘readiness’ holding pattern.</w:t>
      </w:r>
    </w:p>
    <w:p w14:paraId="66753448" w14:textId="77777777" w:rsidR="00A75F8B" w:rsidRPr="00E470E1" w:rsidRDefault="00A75F8B" w:rsidP="003A5ACE">
      <w:pPr>
        <w:pStyle w:val="BlockText"/>
        <w:numPr>
          <w:ilvl w:val="0"/>
          <w:numId w:val="48"/>
        </w:numPr>
        <w:rPr>
          <w:i w:val="0"/>
          <w:iCs w:val="0"/>
        </w:rPr>
      </w:pPr>
      <w:r w:rsidRPr="00E470E1">
        <w:rPr>
          <w:b/>
          <w:bCs/>
          <w:i w:val="0"/>
          <w:iCs w:val="0"/>
        </w:rPr>
        <w:t>Fund enabling supports</w:t>
      </w:r>
      <w:r w:rsidRPr="00E470E1">
        <w:rPr>
          <w:i w:val="0"/>
          <w:iCs w:val="0"/>
        </w:rPr>
        <w:t xml:space="preserve"> (e.g. travel training, communication aids, routine-building).</w:t>
      </w:r>
    </w:p>
    <w:p w14:paraId="3963AE96" w14:textId="77777777" w:rsidR="00A75F8B" w:rsidRPr="00E470E1" w:rsidRDefault="00A75F8B" w:rsidP="003A5ACE">
      <w:pPr>
        <w:pStyle w:val="BlockText"/>
        <w:numPr>
          <w:ilvl w:val="0"/>
          <w:numId w:val="48"/>
        </w:numPr>
        <w:rPr>
          <w:i w:val="0"/>
          <w:iCs w:val="0"/>
        </w:rPr>
      </w:pPr>
      <w:r w:rsidRPr="00E470E1">
        <w:rPr>
          <w:b/>
          <w:bCs/>
          <w:i w:val="0"/>
          <w:iCs w:val="0"/>
        </w:rPr>
        <w:t>Clarify follow-along responsibilities and escalation protocols</w:t>
      </w:r>
      <w:r w:rsidRPr="00E470E1">
        <w:rPr>
          <w:i w:val="0"/>
          <w:iCs w:val="0"/>
        </w:rPr>
        <w:t xml:space="preserve"> post-placement.</w:t>
      </w:r>
    </w:p>
    <w:p w14:paraId="402D70B5" w14:textId="77777777" w:rsidR="00A75F8B" w:rsidRPr="00E470E1" w:rsidRDefault="00A75F8B" w:rsidP="003A5ACE">
      <w:pPr>
        <w:pStyle w:val="BlockText"/>
        <w:numPr>
          <w:ilvl w:val="0"/>
          <w:numId w:val="48"/>
        </w:numPr>
        <w:rPr>
          <w:i w:val="0"/>
          <w:iCs w:val="0"/>
        </w:rPr>
      </w:pPr>
      <w:r w:rsidRPr="00E470E1">
        <w:rPr>
          <w:b/>
          <w:bCs/>
          <w:i w:val="0"/>
          <w:iCs w:val="0"/>
        </w:rPr>
        <w:t>Provide financial counselling and navigation suppor</w:t>
      </w:r>
      <w:r w:rsidRPr="00E470E1">
        <w:rPr>
          <w:i w:val="0"/>
          <w:iCs w:val="0"/>
        </w:rPr>
        <w:t>t to address perceived risks.</w:t>
      </w:r>
    </w:p>
    <w:p w14:paraId="23E2C746" w14:textId="2A499CC8" w:rsidR="00A75F8B" w:rsidRPr="00A75F8B" w:rsidRDefault="00A75F8B" w:rsidP="003A5ACE">
      <w:pPr>
        <w:pStyle w:val="BlockText"/>
        <w:numPr>
          <w:ilvl w:val="0"/>
          <w:numId w:val="48"/>
        </w:numPr>
      </w:pPr>
      <w:r w:rsidRPr="00E470E1">
        <w:rPr>
          <w:b/>
          <w:bCs/>
          <w:i w:val="0"/>
          <w:iCs w:val="0"/>
        </w:rPr>
        <w:t>Define provider roles and information-sharing</w:t>
      </w:r>
      <w:r w:rsidRPr="00E470E1">
        <w:rPr>
          <w:i w:val="0"/>
          <w:iCs w:val="0"/>
        </w:rPr>
        <w:t xml:space="preserve"> to prevent handoff failures</w:t>
      </w:r>
      <w:r w:rsidRPr="001A45E4">
        <w:t>.</w:t>
      </w:r>
    </w:p>
    <w:p w14:paraId="1C20E177" w14:textId="77246DF5" w:rsidR="0020721E" w:rsidRDefault="0020721E" w:rsidP="0020721E">
      <w:r>
        <w:br w:type="page"/>
      </w:r>
    </w:p>
    <w:p w14:paraId="2D7ABC97" w14:textId="33F0134B" w:rsidR="00D0002F" w:rsidRDefault="00D0002F" w:rsidP="00807628">
      <w:pPr>
        <w:pStyle w:val="Numberedheading2"/>
      </w:pPr>
      <w:bookmarkStart w:id="70" w:name="_Toc231220084"/>
      <w:r w:rsidRPr="00ED411B">
        <w:lastRenderedPageBreak/>
        <w:t xml:space="preserve">Transition </w:t>
      </w:r>
      <w:r>
        <w:t>e</w:t>
      </w:r>
      <w:r w:rsidRPr="00ED411B">
        <w:t xml:space="preserve">cosystem </w:t>
      </w:r>
      <w:r>
        <w:t>p</w:t>
      </w:r>
      <w:r w:rsidRPr="00ED411B">
        <w:t xml:space="preserve">athway: </w:t>
      </w:r>
      <w:r>
        <w:t>b</w:t>
      </w:r>
      <w:r w:rsidRPr="00ED411B">
        <w:t xml:space="preserve">uild </w:t>
      </w:r>
      <w:r>
        <w:t>l</w:t>
      </w:r>
      <w:r w:rsidRPr="00ED411B">
        <w:t xml:space="preserve">ocal </w:t>
      </w:r>
      <w:r>
        <w:t>n</w:t>
      </w:r>
      <w:r w:rsidRPr="00ED411B">
        <w:t xml:space="preserve">etworks </w:t>
      </w:r>
      <w:r>
        <w:t>t</w:t>
      </w:r>
      <w:r w:rsidRPr="00ED411B">
        <w:t xml:space="preserve">hat </w:t>
      </w:r>
      <w:r>
        <w:t>g</w:t>
      </w:r>
      <w:r w:rsidRPr="00ED411B">
        <w:t xml:space="preserve">enerate </w:t>
      </w:r>
      <w:r>
        <w:t>o</w:t>
      </w:r>
      <w:r w:rsidRPr="00ED411B">
        <w:t>pportunities</w:t>
      </w:r>
      <w:bookmarkEnd w:id="70"/>
      <w:r w:rsidRPr="00ED411B">
        <w:t xml:space="preserve"> </w:t>
      </w:r>
    </w:p>
    <w:p w14:paraId="092E18CA" w14:textId="77777777" w:rsidR="00877175" w:rsidRDefault="00B61626" w:rsidP="00522B8E">
      <w:pPr>
        <w:pStyle w:val="BlockText"/>
      </w:pPr>
      <w:r w:rsidRPr="00E470E1">
        <w:rPr>
          <w:b/>
          <w:bCs/>
        </w:rPr>
        <w:t>Box 10.3. Practice Implications – Transition Ecosystem</w:t>
      </w:r>
      <w:r w:rsidR="00877175" w:rsidRPr="00E470E1">
        <w:rPr>
          <w:b/>
          <w:bCs/>
        </w:rPr>
        <w:t>s</w:t>
      </w:r>
    </w:p>
    <w:p w14:paraId="4935AC63" w14:textId="5B54E07B" w:rsidR="00920554" w:rsidRPr="006679C9" w:rsidRDefault="00B61626" w:rsidP="003A5ACE">
      <w:pPr>
        <w:pStyle w:val="BlockText"/>
        <w:numPr>
          <w:ilvl w:val="0"/>
          <w:numId w:val="49"/>
        </w:numPr>
        <w:rPr>
          <w:i w:val="0"/>
          <w:iCs w:val="0"/>
        </w:rPr>
      </w:pPr>
      <w:r w:rsidRPr="006679C9">
        <w:rPr>
          <w:b/>
          <w:bCs/>
          <w:i w:val="0"/>
          <w:iCs w:val="0"/>
        </w:rPr>
        <w:t>Use local networks</w:t>
      </w:r>
      <w:r w:rsidR="00920554" w:rsidRPr="006679C9">
        <w:rPr>
          <w:i w:val="0"/>
          <w:iCs w:val="0"/>
        </w:rPr>
        <w:t xml:space="preserve"> (e.g. Ticket to Work-style models) to coordinate early work exposure and reduce fragmentation.</w:t>
      </w:r>
    </w:p>
    <w:p w14:paraId="6F63CDA6" w14:textId="6E8E6F14" w:rsidR="00435D9A" w:rsidRPr="006679C9" w:rsidRDefault="00435D9A" w:rsidP="003A5ACE">
      <w:pPr>
        <w:pStyle w:val="BlockText"/>
        <w:numPr>
          <w:ilvl w:val="0"/>
          <w:numId w:val="49"/>
        </w:numPr>
        <w:rPr>
          <w:i w:val="0"/>
          <w:iCs w:val="0"/>
        </w:rPr>
      </w:pPr>
      <w:r w:rsidRPr="006679C9">
        <w:rPr>
          <w:b/>
          <w:bCs/>
          <w:i w:val="0"/>
          <w:iCs w:val="0"/>
        </w:rPr>
        <w:t xml:space="preserve">Prioritise workplace-based learning and employer engagement </w:t>
      </w:r>
      <w:r w:rsidRPr="006679C9">
        <w:rPr>
          <w:i w:val="0"/>
          <w:iCs w:val="0"/>
        </w:rPr>
        <w:t>during school years.</w:t>
      </w:r>
    </w:p>
    <w:p w14:paraId="0A44D3B5" w14:textId="77777777" w:rsidR="00435D9A" w:rsidRPr="006679C9" w:rsidRDefault="00435D9A" w:rsidP="003A5ACE">
      <w:pPr>
        <w:pStyle w:val="BlockText"/>
        <w:numPr>
          <w:ilvl w:val="0"/>
          <w:numId w:val="49"/>
        </w:numPr>
        <w:rPr>
          <w:i w:val="0"/>
          <w:iCs w:val="0"/>
        </w:rPr>
      </w:pPr>
      <w:r w:rsidRPr="006679C9">
        <w:rPr>
          <w:b/>
          <w:bCs/>
          <w:i w:val="0"/>
          <w:iCs w:val="0"/>
        </w:rPr>
        <w:t>Anchor planning in open employment</w:t>
      </w:r>
      <w:r w:rsidRPr="006679C9">
        <w:rPr>
          <w:i w:val="0"/>
          <w:iCs w:val="0"/>
        </w:rPr>
        <w:t xml:space="preserve"> as the default, avoiding path dependency into segregated options.</w:t>
      </w:r>
    </w:p>
    <w:p w14:paraId="7E242800" w14:textId="1C0516B5" w:rsidR="00435D9A" w:rsidRPr="006679C9" w:rsidRDefault="00435D9A" w:rsidP="003A5ACE">
      <w:pPr>
        <w:pStyle w:val="BlockText"/>
        <w:numPr>
          <w:ilvl w:val="0"/>
          <w:numId w:val="49"/>
        </w:numPr>
        <w:rPr>
          <w:i w:val="0"/>
          <w:iCs w:val="0"/>
        </w:rPr>
      </w:pPr>
      <w:r w:rsidRPr="006679C9">
        <w:rPr>
          <w:b/>
          <w:bCs/>
          <w:i w:val="0"/>
          <w:iCs w:val="0"/>
        </w:rPr>
        <w:t>Apply mismatch-informed planning</w:t>
      </w:r>
      <w:r w:rsidRPr="006679C9">
        <w:rPr>
          <w:i w:val="0"/>
          <w:iCs w:val="0"/>
        </w:rPr>
        <w:t xml:space="preserve"> to align tasks, environments, and individual strengths.</w:t>
      </w:r>
    </w:p>
    <w:p w14:paraId="14C9007B" w14:textId="1FF93193" w:rsidR="00435D9A" w:rsidRPr="006679C9" w:rsidRDefault="00435D9A" w:rsidP="003A5ACE">
      <w:pPr>
        <w:pStyle w:val="BlockText"/>
        <w:numPr>
          <w:ilvl w:val="0"/>
          <w:numId w:val="49"/>
        </w:numPr>
        <w:rPr>
          <w:i w:val="0"/>
          <w:iCs w:val="0"/>
        </w:rPr>
      </w:pPr>
      <w:r w:rsidRPr="006679C9">
        <w:rPr>
          <w:b/>
          <w:bCs/>
          <w:i w:val="0"/>
          <w:iCs w:val="0"/>
        </w:rPr>
        <w:t>Involve families in co-decision-making</w:t>
      </w:r>
      <w:r w:rsidRPr="006679C9">
        <w:rPr>
          <w:i w:val="0"/>
          <w:iCs w:val="0"/>
        </w:rPr>
        <w:t xml:space="preserve"> and clarify available supports.</w:t>
      </w:r>
    </w:p>
    <w:p w14:paraId="2D6E0997" w14:textId="2BDF2C1B" w:rsidR="00435D9A" w:rsidRPr="006679C9" w:rsidRDefault="00435D9A" w:rsidP="003A5ACE">
      <w:pPr>
        <w:pStyle w:val="BlockText"/>
        <w:numPr>
          <w:ilvl w:val="0"/>
          <w:numId w:val="49"/>
        </w:numPr>
        <w:rPr>
          <w:i w:val="0"/>
          <w:iCs w:val="0"/>
        </w:rPr>
      </w:pPr>
      <w:r w:rsidRPr="006679C9">
        <w:rPr>
          <w:b/>
          <w:bCs/>
          <w:i w:val="0"/>
          <w:iCs w:val="0"/>
        </w:rPr>
        <w:t>Track integration outcomes</w:t>
      </w:r>
      <w:r w:rsidRPr="006679C9">
        <w:rPr>
          <w:i w:val="0"/>
          <w:iCs w:val="0"/>
        </w:rPr>
        <w:t xml:space="preserve"> (e.g. belonging, coworker interaction) as part of transition success.</w:t>
      </w:r>
    </w:p>
    <w:p w14:paraId="34D6E57E" w14:textId="657BE7A9" w:rsidR="00D0002F" w:rsidRDefault="00D0002F" w:rsidP="00807628">
      <w:pPr>
        <w:pStyle w:val="Numberedheading2"/>
      </w:pPr>
      <w:bookmarkStart w:id="71" w:name="_Toc231220085"/>
      <w:r w:rsidRPr="00ED411B">
        <w:t>Employer-</w:t>
      </w:r>
      <w:r>
        <w:t>j</w:t>
      </w:r>
      <w:r w:rsidRPr="00ED411B">
        <w:t xml:space="preserve">ob </w:t>
      </w:r>
      <w:r>
        <w:t>d</w:t>
      </w:r>
      <w:r w:rsidRPr="00ED411B">
        <w:t xml:space="preserve">esign </w:t>
      </w:r>
      <w:r>
        <w:t>p</w:t>
      </w:r>
      <w:r w:rsidRPr="00ED411B">
        <w:t xml:space="preserve">athway: </w:t>
      </w:r>
      <w:r>
        <w:t>r</w:t>
      </w:r>
      <w:r w:rsidRPr="00ED411B">
        <w:t xml:space="preserve">educe </w:t>
      </w:r>
      <w:r>
        <w:t>m</w:t>
      </w:r>
      <w:r w:rsidRPr="00ED411B">
        <w:t xml:space="preserve">ismatch &amp; </w:t>
      </w:r>
      <w:r>
        <w:t>e</w:t>
      </w:r>
      <w:r w:rsidRPr="00ED411B">
        <w:t xml:space="preserve">xpand </w:t>
      </w:r>
      <w:r>
        <w:t>j</w:t>
      </w:r>
      <w:r w:rsidRPr="00ED411B">
        <w:t xml:space="preserve">ob </w:t>
      </w:r>
      <w:r>
        <w:t>q</w:t>
      </w:r>
      <w:r w:rsidRPr="00ED411B">
        <w:t>uality</w:t>
      </w:r>
      <w:bookmarkEnd w:id="71"/>
    </w:p>
    <w:p w14:paraId="6B7F8B8D" w14:textId="77777777" w:rsidR="00435D9A" w:rsidRDefault="00435D9A" w:rsidP="00522B8E">
      <w:pPr>
        <w:pStyle w:val="BlockText"/>
      </w:pPr>
      <w:r w:rsidRPr="00F42191">
        <w:rPr>
          <w:b/>
          <w:bCs/>
        </w:rPr>
        <w:t>Box 10.4. Practice Implications – Employer Engagement and Job Design</w:t>
      </w:r>
    </w:p>
    <w:p w14:paraId="3E6DB1E1" w14:textId="43964B84" w:rsidR="00435D9A" w:rsidRPr="006679C9" w:rsidRDefault="00435D9A" w:rsidP="003A5ACE">
      <w:pPr>
        <w:pStyle w:val="BlockText"/>
        <w:numPr>
          <w:ilvl w:val="0"/>
          <w:numId w:val="51"/>
        </w:numPr>
        <w:rPr>
          <w:i w:val="0"/>
          <w:iCs w:val="0"/>
        </w:rPr>
      </w:pPr>
      <w:r w:rsidRPr="00F42191">
        <w:rPr>
          <w:b/>
          <w:bCs/>
          <w:i w:val="0"/>
          <w:iCs w:val="0"/>
        </w:rPr>
        <w:t>Make job analysis and task redesign routine</w:t>
      </w:r>
      <w:r w:rsidRPr="006679C9">
        <w:rPr>
          <w:i w:val="0"/>
          <w:iCs w:val="0"/>
        </w:rPr>
        <w:t xml:space="preserve"> to reduce cognitive load and complexity.</w:t>
      </w:r>
    </w:p>
    <w:p w14:paraId="4AA6F444" w14:textId="2C4B8BD7" w:rsidR="00435D9A" w:rsidRPr="006679C9" w:rsidRDefault="00435D9A" w:rsidP="003A5ACE">
      <w:pPr>
        <w:pStyle w:val="BlockText"/>
        <w:numPr>
          <w:ilvl w:val="0"/>
          <w:numId w:val="51"/>
        </w:numPr>
        <w:rPr>
          <w:i w:val="0"/>
          <w:iCs w:val="0"/>
        </w:rPr>
      </w:pPr>
      <w:r w:rsidRPr="00F42191">
        <w:rPr>
          <w:b/>
          <w:bCs/>
          <w:i w:val="0"/>
          <w:iCs w:val="0"/>
        </w:rPr>
        <w:t>Treat adjustments and assistive technology</w:t>
      </w:r>
      <w:r w:rsidRPr="006679C9">
        <w:rPr>
          <w:i w:val="0"/>
          <w:iCs w:val="0"/>
        </w:rPr>
        <w:t xml:space="preserve"> as core components, not afterthoughts.</w:t>
      </w:r>
    </w:p>
    <w:p w14:paraId="01F5AF12" w14:textId="229D4BDE" w:rsidR="00435D9A" w:rsidRPr="006679C9" w:rsidRDefault="00435D9A" w:rsidP="003A5ACE">
      <w:pPr>
        <w:pStyle w:val="BlockText"/>
        <w:numPr>
          <w:ilvl w:val="0"/>
          <w:numId w:val="51"/>
        </w:numPr>
        <w:rPr>
          <w:i w:val="0"/>
          <w:iCs w:val="0"/>
        </w:rPr>
      </w:pPr>
      <w:r w:rsidRPr="00F42191">
        <w:rPr>
          <w:b/>
          <w:bCs/>
          <w:i w:val="0"/>
          <w:iCs w:val="0"/>
        </w:rPr>
        <w:t>Define supervisor and coworker support roles</w:t>
      </w:r>
      <w:r w:rsidRPr="006679C9">
        <w:rPr>
          <w:i w:val="0"/>
          <w:iCs w:val="0"/>
        </w:rPr>
        <w:t>; establish escalation pathways.</w:t>
      </w:r>
    </w:p>
    <w:p w14:paraId="27FBD0D4" w14:textId="237782E3" w:rsidR="00D0002F" w:rsidRDefault="00435D9A" w:rsidP="003A5ACE">
      <w:pPr>
        <w:pStyle w:val="BlockText"/>
        <w:numPr>
          <w:ilvl w:val="0"/>
          <w:numId w:val="51"/>
        </w:numPr>
      </w:pPr>
      <w:r w:rsidRPr="006679C9">
        <w:rPr>
          <w:b/>
          <w:bCs/>
          <w:i w:val="0"/>
          <w:iCs w:val="0"/>
        </w:rPr>
        <w:t>Measure job quality</w:t>
      </w:r>
      <w:r w:rsidRPr="006679C9">
        <w:rPr>
          <w:i w:val="0"/>
          <w:iCs w:val="0"/>
        </w:rPr>
        <w:t xml:space="preserve"> (e.g. wages, hours, integration, progression), not just attainment</w:t>
      </w:r>
      <w:r>
        <w:t>.</w:t>
      </w:r>
    </w:p>
    <w:p w14:paraId="44F1D41D" w14:textId="77777777" w:rsidR="001961B3" w:rsidRDefault="001961B3" w:rsidP="001961B3"/>
    <w:p w14:paraId="02870D97" w14:textId="63C62E79" w:rsidR="00D0002F" w:rsidRDefault="00D0002F" w:rsidP="00807628">
      <w:pPr>
        <w:pStyle w:val="Numberedheading2"/>
      </w:pPr>
      <w:bookmarkStart w:id="72" w:name="_Toc231220086"/>
      <w:r w:rsidRPr="00ED411B">
        <w:lastRenderedPageBreak/>
        <w:t xml:space="preserve">Retention and </w:t>
      </w:r>
      <w:r>
        <w:t>a</w:t>
      </w:r>
      <w:r w:rsidRPr="00ED411B">
        <w:t xml:space="preserve">dvancement </w:t>
      </w:r>
      <w:r>
        <w:t>p</w:t>
      </w:r>
      <w:r w:rsidRPr="00ED411B">
        <w:t xml:space="preserve">athway: </w:t>
      </w:r>
      <w:r>
        <w:t>f</w:t>
      </w:r>
      <w:r w:rsidRPr="00ED411B">
        <w:t>ollow-</w:t>
      </w:r>
      <w:r>
        <w:t>a</w:t>
      </w:r>
      <w:r w:rsidRPr="00ED411B">
        <w:t xml:space="preserve">long, </w:t>
      </w:r>
      <w:r>
        <w:t>r</w:t>
      </w:r>
      <w:r w:rsidRPr="00ED411B">
        <w:t>e-</w:t>
      </w:r>
      <w:r>
        <w:t>i</w:t>
      </w:r>
      <w:r w:rsidRPr="00ED411B">
        <w:t xml:space="preserve">ntensification and </w:t>
      </w:r>
      <w:r>
        <w:t>c</w:t>
      </w:r>
      <w:r w:rsidRPr="00ED411B">
        <w:t xml:space="preserve">areer </w:t>
      </w:r>
      <w:r>
        <w:t>p</w:t>
      </w:r>
      <w:r w:rsidRPr="00ED411B">
        <w:t>rogression</w:t>
      </w:r>
      <w:bookmarkEnd w:id="72"/>
    </w:p>
    <w:p w14:paraId="12F7EFC1" w14:textId="77777777" w:rsidR="00647C13" w:rsidRPr="00466F7F" w:rsidRDefault="00647C13" w:rsidP="00522B8E">
      <w:pPr>
        <w:pStyle w:val="BlockText"/>
      </w:pPr>
      <w:r w:rsidRPr="00F42191">
        <w:rPr>
          <w:b/>
          <w:bCs/>
        </w:rPr>
        <w:t>Box 10.5. Practice Implications – Retention and Advancement</w:t>
      </w:r>
    </w:p>
    <w:p w14:paraId="4CB5743D" w14:textId="6D669B17" w:rsidR="00647C13" w:rsidRPr="00F42191" w:rsidRDefault="00647C13" w:rsidP="003A5ACE">
      <w:pPr>
        <w:pStyle w:val="BlockText"/>
        <w:numPr>
          <w:ilvl w:val="0"/>
          <w:numId w:val="52"/>
        </w:numPr>
        <w:rPr>
          <w:i w:val="0"/>
          <w:iCs w:val="0"/>
        </w:rPr>
      </w:pPr>
      <w:r w:rsidRPr="00F42191">
        <w:rPr>
          <w:b/>
          <w:bCs/>
          <w:i w:val="0"/>
          <w:iCs w:val="0"/>
        </w:rPr>
        <w:t>Specify a maintenance architecture</w:t>
      </w:r>
      <w:r w:rsidRPr="00F42191">
        <w:rPr>
          <w:i w:val="0"/>
          <w:iCs w:val="0"/>
        </w:rPr>
        <w:t>: follow-along frequency, early-warning systems, and re-coaching triggers.</w:t>
      </w:r>
    </w:p>
    <w:p w14:paraId="6839252E" w14:textId="714679ED" w:rsidR="00647C13" w:rsidRPr="00F42191" w:rsidRDefault="00647C13" w:rsidP="003A5ACE">
      <w:pPr>
        <w:pStyle w:val="BlockText"/>
        <w:numPr>
          <w:ilvl w:val="0"/>
          <w:numId w:val="52"/>
        </w:numPr>
        <w:rPr>
          <w:i w:val="0"/>
          <w:iCs w:val="0"/>
        </w:rPr>
      </w:pPr>
      <w:r w:rsidRPr="00F42191">
        <w:rPr>
          <w:b/>
          <w:bCs/>
          <w:i w:val="0"/>
          <w:iCs w:val="0"/>
        </w:rPr>
        <w:t>Build ‘fade and return’ coaching</w:t>
      </w:r>
      <w:r w:rsidRPr="00F42191">
        <w:rPr>
          <w:i w:val="0"/>
          <w:iCs w:val="0"/>
        </w:rPr>
        <w:t xml:space="preserve"> into service plans and employer agreements.</w:t>
      </w:r>
    </w:p>
    <w:p w14:paraId="73545636" w14:textId="1400CB6A" w:rsidR="00647C13" w:rsidRPr="00F42191" w:rsidRDefault="00647C13" w:rsidP="003A5ACE">
      <w:pPr>
        <w:pStyle w:val="BlockText"/>
        <w:numPr>
          <w:ilvl w:val="0"/>
          <w:numId w:val="52"/>
        </w:numPr>
        <w:rPr>
          <w:i w:val="0"/>
          <w:iCs w:val="0"/>
        </w:rPr>
      </w:pPr>
      <w:r w:rsidRPr="00F42191">
        <w:rPr>
          <w:b/>
          <w:bCs/>
          <w:i w:val="0"/>
          <w:iCs w:val="0"/>
        </w:rPr>
        <w:t>Include career development supports</w:t>
      </w:r>
      <w:r w:rsidRPr="00F42191">
        <w:rPr>
          <w:i w:val="0"/>
          <w:iCs w:val="0"/>
        </w:rPr>
        <w:t xml:space="preserve"> (e.g. progression in hours, wages, training) as explicit outcomes.</w:t>
      </w:r>
    </w:p>
    <w:p w14:paraId="095D1AB8" w14:textId="628836CC" w:rsidR="00647C13" w:rsidRDefault="00647C13" w:rsidP="003A5ACE">
      <w:pPr>
        <w:pStyle w:val="BlockText"/>
        <w:numPr>
          <w:ilvl w:val="0"/>
          <w:numId w:val="52"/>
        </w:numPr>
      </w:pPr>
      <w:r w:rsidRPr="00F42191">
        <w:rPr>
          <w:b/>
          <w:bCs/>
          <w:i w:val="0"/>
          <w:iCs w:val="0"/>
        </w:rPr>
        <w:t>Provide benefits counselling and wage-setting navigation</w:t>
      </w:r>
      <w:r w:rsidRPr="00F42191">
        <w:rPr>
          <w:i w:val="0"/>
          <w:iCs w:val="0"/>
        </w:rPr>
        <w:t xml:space="preserve"> where embedded in service models</w:t>
      </w:r>
      <w:r w:rsidRPr="00466F7F">
        <w:t>.</w:t>
      </w:r>
    </w:p>
    <w:p w14:paraId="0AAEF6CC" w14:textId="796E1924" w:rsidR="00D0002F" w:rsidRPr="00ED411B" w:rsidRDefault="00D0002F" w:rsidP="00807628">
      <w:pPr>
        <w:pStyle w:val="Numberedheading2"/>
      </w:pPr>
      <w:bookmarkStart w:id="73" w:name="_Toc231220087"/>
      <w:r w:rsidRPr="00ED411B">
        <w:t xml:space="preserve">Research </w:t>
      </w:r>
      <w:r>
        <w:t>p</w:t>
      </w:r>
      <w:r w:rsidRPr="00ED411B">
        <w:t xml:space="preserve">ropositions for </w:t>
      </w:r>
      <w:r>
        <w:t>f</w:t>
      </w:r>
      <w:r w:rsidRPr="00ED411B">
        <w:t xml:space="preserve">uture </w:t>
      </w:r>
      <w:r>
        <w:t>e</w:t>
      </w:r>
      <w:r w:rsidRPr="00ED411B">
        <w:t>valuation</w:t>
      </w:r>
      <w:bookmarkEnd w:id="73"/>
    </w:p>
    <w:p w14:paraId="753EB231" w14:textId="77777777" w:rsidR="00D0002F" w:rsidRPr="00466F7F" w:rsidRDefault="00D0002F" w:rsidP="00D0002F">
      <w:r w:rsidRPr="00EF1B47">
        <w:t>These propositions illustrate how the MIP-CIE framework may be empirically tested and refined in future Australian evaluations, including through experimental, quasi</w:t>
      </w:r>
      <w:r w:rsidRPr="00EF1B47">
        <w:rPr>
          <w:rFonts w:cs="Cambria Math"/>
        </w:rPr>
        <w:t>-</w:t>
      </w:r>
      <w:r w:rsidRPr="00EF1B47">
        <w:t>experimental, and longitudinal designs. The following propositions, derived from the MIP-CIE framework matrix and synthesis findings, are suitable</w:t>
      </w:r>
      <w:r w:rsidRPr="00466F7F">
        <w:t xml:space="preserve"> for hypothesis</w:t>
      </w:r>
      <w:r>
        <w:t>-</w:t>
      </w:r>
      <w:r w:rsidRPr="00466F7F">
        <w:t>driven evaluation in the Australian context:</w:t>
      </w:r>
    </w:p>
    <w:p w14:paraId="014709F3" w14:textId="77777777" w:rsidR="00D0002F" w:rsidRPr="00466F7F" w:rsidRDefault="00D0002F" w:rsidP="00647C13">
      <w:pPr>
        <w:pStyle w:val="ListBullet"/>
      </w:pPr>
      <w:r w:rsidRPr="00466F7F">
        <w:rPr>
          <w:b/>
          <w:bCs/>
        </w:rPr>
        <w:t>Dose-Durability Proposition:</w:t>
      </w:r>
      <w:r w:rsidRPr="00466F7F">
        <w:t xml:space="preserve"> Higher on-the-job training and follow-along dose, with defined escalation protocols, will be associated with higher 6</w:t>
      </w:r>
      <w:r>
        <w:t>-</w:t>
      </w:r>
      <w:r w:rsidRPr="00466F7F">
        <w:t>12 month retention for people with ID, after accounting for mismatch and labour market context.</w:t>
      </w:r>
    </w:p>
    <w:p w14:paraId="1D556467" w14:textId="77777777" w:rsidR="00D0002F" w:rsidRPr="00466F7F" w:rsidRDefault="00D0002F" w:rsidP="00647C13">
      <w:pPr>
        <w:pStyle w:val="ListBullet"/>
      </w:pPr>
      <w:r w:rsidRPr="00466F7F">
        <w:rPr>
          <w:b/>
          <w:bCs/>
        </w:rPr>
        <w:t>Mismatch-Reduction Proposition:</w:t>
      </w:r>
      <w:r w:rsidRPr="00466F7F">
        <w:t xml:space="preserve"> Packages that include job/task redesign, visual supports, and adjustments will improve job quality and reduce early exits, especially in high-complexity environments.</w:t>
      </w:r>
    </w:p>
    <w:p w14:paraId="6FF994F0" w14:textId="77777777" w:rsidR="00D0002F" w:rsidRPr="00466F7F" w:rsidRDefault="00D0002F" w:rsidP="00647C13">
      <w:pPr>
        <w:pStyle w:val="ListBullet"/>
      </w:pPr>
      <w:r w:rsidRPr="00466F7F">
        <w:rPr>
          <w:b/>
          <w:bCs/>
        </w:rPr>
        <w:t>Employer-Partnership Proposition:</w:t>
      </w:r>
      <w:r w:rsidRPr="00466F7F">
        <w:t xml:space="preserve"> Employer-facing components (e.g. supervisor coaching, accommodation planning) will improve attainment and workplace outcomes beyond jobseeker-only supports, mediated by reduced perceived risk.</w:t>
      </w:r>
    </w:p>
    <w:p w14:paraId="54D3B881" w14:textId="77777777" w:rsidR="00D0002F" w:rsidRPr="00466F7F" w:rsidRDefault="00D0002F" w:rsidP="00E07416">
      <w:pPr>
        <w:pStyle w:val="ListBullet"/>
      </w:pPr>
      <w:r w:rsidRPr="00E07416">
        <w:rPr>
          <w:b/>
          <w:bCs/>
        </w:rPr>
        <w:t>Maintenance Architecture Proposition:</w:t>
      </w:r>
      <w:r w:rsidRPr="00466F7F">
        <w:t xml:space="preserve"> Programmes with explicit tapering and re-intensification protocols will mediate the relationship between early placement and long-term durability.</w:t>
      </w:r>
    </w:p>
    <w:p w14:paraId="595A11F1" w14:textId="77777777" w:rsidR="00D0002F" w:rsidRPr="00ED411B" w:rsidRDefault="00D0002F" w:rsidP="00E07416">
      <w:pPr>
        <w:pStyle w:val="ListBullet"/>
      </w:pPr>
      <w:r w:rsidRPr="00466F7F">
        <w:rPr>
          <w:b/>
          <w:bCs/>
        </w:rPr>
        <w:t>Transition Pathway Proposition:</w:t>
      </w:r>
      <w:r w:rsidRPr="00466F7F">
        <w:t xml:space="preserve"> Transition models that embed authentic </w:t>
      </w:r>
      <w:r w:rsidRPr="00466F7F">
        <w:lastRenderedPageBreak/>
        <w:t>workplace exposure before school exit and provide post-school continuity will increase attainment and reduce entry into segregated pathways.</w:t>
      </w:r>
      <w:r w:rsidRPr="00ED411B">
        <w:br w:type="page"/>
      </w:r>
    </w:p>
    <w:p w14:paraId="6F6F25A9" w14:textId="77777777" w:rsidR="00D0002F" w:rsidRPr="00ED411B" w:rsidRDefault="00D0002F" w:rsidP="00D0002F">
      <w:pPr>
        <w:pStyle w:val="Heading1"/>
      </w:pPr>
      <w:bookmarkStart w:id="74" w:name="_Toc231220088"/>
      <w:r w:rsidRPr="00ED411B">
        <w:lastRenderedPageBreak/>
        <w:t>Acknowledgement</w:t>
      </w:r>
      <w:bookmarkEnd w:id="74"/>
    </w:p>
    <w:p w14:paraId="1604BFCE" w14:textId="77777777" w:rsidR="00D0002F" w:rsidRPr="00ED411B" w:rsidRDefault="00D0002F" w:rsidP="00D0002F">
      <w:r w:rsidRPr="00ED411B">
        <w:t>The authors acknowledge the work of Shannon Brown at the Flinders University Library Services.</w:t>
      </w:r>
    </w:p>
    <w:p w14:paraId="4F3EFB9B" w14:textId="77777777" w:rsidR="00D0002F" w:rsidRPr="00ED411B" w:rsidRDefault="00D0002F" w:rsidP="00D0002F">
      <w:pPr>
        <w:pStyle w:val="Heading1"/>
      </w:pPr>
      <w:bookmarkStart w:id="75" w:name="_Toc231220089"/>
      <w:r w:rsidRPr="00ED411B">
        <w:t>Appendices</w:t>
      </w:r>
      <w:bookmarkEnd w:id="7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gridCol w:w="9091"/>
      </w:tblGrid>
      <w:tr w:rsidR="00D0002F" w:rsidRPr="00ED411B" w14:paraId="1808D733" w14:textId="77777777" w:rsidTr="00481A4E">
        <w:trPr>
          <w:tblCellSpacing w:w="15" w:type="dxa"/>
        </w:trPr>
        <w:tc>
          <w:tcPr>
            <w:tcW w:w="0" w:type="auto"/>
            <w:vAlign w:val="center"/>
            <w:hideMark/>
          </w:tcPr>
          <w:p w14:paraId="3E4744DF" w14:textId="77777777" w:rsidR="00D0002F" w:rsidRPr="00ED411B" w:rsidRDefault="00D0002F" w:rsidP="00D0002F">
            <w:r w:rsidRPr="00ED411B">
              <w:t>A.</w:t>
            </w:r>
          </w:p>
        </w:tc>
        <w:tc>
          <w:tcPr>
            <w:tcW w:w="0" w:type="auto"/>
            <w:vAlign w:val="center"/>
            <w:hideMark/>
          </w:tcPr>
          <w:p w14:paraId="4F29F780" w14:textId="77777777" w:rsidR="00D0002F" w:rsidRPr="00ED411B" w:rsidRDefault="00D0002F" w:rsidP="00D0002F">
            <w:r w:rsidRPr="00A22BFB">
              <w:t>Table A: Eligibility Criteria (PICOS)</w:t>
            </w:r>
          </w:p>
        </w:tc>
      </w:tr>
      <w:tr w:rsidR="00D0002F" w:rsidRPr="00ED411B" w14:paraId="25A90A09" w14:textId="77777777" w:rsidTr="00481A4E">
        <w:trPr>
          <w:tblCellSpacing w:w="15" w:type="dxa"/>
        </w:trPr>
        <w:tc>
          <w:tcPr>
            <w:tcW w:w="0" w:type="auto"/>
            <w:vAlign w:val="center"/>
            <w:hideMark/>
          </w:tcPr>
          <w:p w14:paraId="26347002" w14:textId="77777777" w:rsidR="00D0002F" w:rsidRPr="00ED411B" w:rsidRDefault="00D0002F" w:rsidP="00D0002F">
            <w:r w:rsidRPr="00ED411B">
              <w:t>B.</w:t>
            </w:r>
          </w:p>
        </w:tc>
        <w:tc>
          <w:tcPr>
            <w:tcW w:w="0" w:type="auto"/>
            <w:vAlign w:val="center"/>
            <w:hideMark/>
          </w:tcPr>
          <w:p w14:paraId="44B9C435" w14:textId="77777777" w:rsidR="00D0002F" w:rsidRPr="00ED411B" w:rsidRDefault="00D0002F" w:rsidP="00D0002F">
            <w:r w:rsidRPr="00ED411B">
              <w:t>Initial Search Strategy and Database Results (August–October 2025)</w:t>
            </w:r>
          </w:p>
        </w:tc>
      </w:tr>
      <w:tr w:rsidR="00D0002F" w:rsidRPr="00ED411B" w14:paraId="5C12B4AC" w14:textId="77777777" w:rsidTr="00481A4E">
        <w:trPr>
          <w:tblCellSpacing w:w="15" w:type="dxa"/>
        </w:trPr>
        <w:tc>
          <w:tcPr>
            <w:tcW w:w="0" w:type="auto"/>
            <w:vAlign w:val="center"/>
            <w:hideMark/>
          </w:tcPr>
          <w:p w14:paraId="60F2BA82" w14:textId="77777777" w:rsidR="00D0002F" w:rsidRPr="00ED411B" w:rsidRDefault="00D0002F" w:rsidP="00D0002F">
            <w:r w:rsidRPr="00ED411B">
              <w:t>C.</w:t>
            </w:r>
          </w:p>
        </w:tc>
        <w:tc>
          <w:tcPr>
            <w:tcW w:w="0" w:type="auto"/>
            <w:vAlign w:val="center"/>
            <w:hideMark/>
          </w:tcPr>
          <w:p w14:paraId="5AE9F2C1" w14:textId="77777777" w:rsidR="00D0002F" w:rsidRPr="00ED411B" w:rsidRDefault="00D0002F" w:rsidP="00D0002F">
            <w:r w:rsidRPr="00ED411B">
              <w:t>Supplementary Search Strategy – Vocational Training Focus</w:t>
            </w:r>
          </w:p>
        </w:tc>
      </w:tr>
      <w:tr w:rsidR="00D0002F" w:rsidRPr="00ED411B" w14:paraId="01E50825" w14:textId="77777777" w:rsidTr="00481A4E">
        <w:trPr>
          <w:tblCellSpacing w:w="15" w:type="dxa"/>
        </w:trPr>
        <w:tc>
          <w:tcPr>
            <w:tcW w:w="0" w:type="auto"/>
            <w:vAlign w:val="center"/>
            <w:hideMark/>
          </w:tcPr>
          <w:p w14:paraId="54AA0D2A" w14:textId="77777777" w:rsidR="00D0002F" w:rsidRPr="00ED411B" w:rsidRDefault="00D0002F" w:rsidP="00D0002F">
            <w:r w:rsidRPr="00ED411B">
              <w:t>D.</w:t>
            </w:r>
          </w:p>
        </w:tc>
        <w:tc>
          <w:tcPr>
            <w:tcW w:w="0" w:type="auto"/>
            <w:vAlign w:val="center"/>
            <w:hideMark/>
          </w:tcPr>
          <w:p w14:paraId="1AC7E691" w14:textId="77777777" w:rsidR="00D0002F" w:rsidRPr="00ED411B" w:rsidRDefault="00D0002F" w:rsidP="00D0002F">
            <w:r w:rsidRPr="00ED411B">
              <w:t>PRISMA 2020 Flow Diagram</w:t>
            </w:r>
          </w:p>
        </w:tc>
      </w:tr>
      <w:tr w:rsidR="00D0002F" w:rsidRPr="00ED411B" w14:paraId="7C7BD7CE" w14:textId="77777777" w:rsidTr="00481A4E">
        <w:trPr>
          <w:tblCellSpacing w:w="15" w:type="dxa"/>
        </w:trPr>
        <w:tc>
          <w:tcPr>
            <w:tcW w:w="0" w:type="auto"/>
            <w:vAlign w:val="center"/>
            <w:hideMark/>
          </w:tcPr>
          <w:p w14:paraId="4A762126" w14:textId="77777777" w:rsidR="00D0002F" w:rsidRPr="00ED411B" w:rsidRDefault="00D0002F" w:rsidP="00D0002F">
            <w:r w:rsidRPr="00ED411B">
              <w:t>E.</w:t>
            </w:r>
          </w:p>
        </w:tc>
        <w:tc>
          <w:tcPr>
            <w:tcW w:w="0" w:type="auto"/>
            <w:vAlign w:val="center"/>
            <w:hideMark/>
          </w:tcPr>
          <w:p w14:paraId="30E28101" w14:textId="77777777" w:rsidR="00D0002F" w:rsidRPr="00ED411B" w:rsidRDefault="00D0002F" w:rsidP="00D0002F">
            <w:r w:rsidRPr="00ED411B">
              <w:t>Extraction Domains and Template Fields</w:t>
            </w:r>
          </w:p>
        </w:tc>
      </w:tr>
      <w:tr w:rsidR="00D0002F" w:rsidRPr="00ED411B" w14:paraId="5DCE9F04" w14:textId="77777777" w:rsidTr="00481A4E">
        <w:trPr>
          <w:tblCellSpacing w:w="15" w:type="dxa"/>
        </w:trPr>
        <w:tc>
          <w:tcPr>
            <w:tcW w:w="0" w:type="auto"/>
            <w:vAlign w:val="center"/>
          </w:tcPr>
          <w:p w14:paraId="3612EEE0" w14:textId="77777777" w:rsidR="00D0002F" w:rsidRPr="00ED411B" w:rsidRDefault="00D0002F" w:rsidP="00D0002F">
            <w:r w:rsidRPr="00ED411B">
              <w:t>F.</w:t>
            </w:r>
          </w:p>
        </w:tc>
        <w:tc>
          <w:tcPr>
            <w:tcW w:w="0" w:type="auto"/>
            <w:vAlign w:val="center"/>
          </w:tcPr>
          <w:p w14:paraId="0F62D694" w14:textId="77777777" w:rsidR="00D0002F" w:rsidRPr="00ED411B" w:rsidRDefault="00D0002F" w:rsidP="00D0002F">
            <w:r w:rsidRPr="00ED411B">
              <w:t>Included Systematic Reviews and Primary Studies</w:t>
            </w:r>
          </w:p>
        </w:tc>
      </w:tr>
      <w:tr w:rsidR="00D0002F" w:rsidRPr="00ED411B" w14:paraId="35D3D734" w14:textId="77777777" w:rsidTr="00481A4E">
        <w:trPr>
          <w:tblCellSpacing w:w="15" w:type="dxa"/>
        </w:trPr>
        <w:tc>
          <w:tcPr>
            <w:tcW w:w="0" w:type="auto"/>
            <w:vAlign w:val="center"/>
            <w:hideMark/>
          </w:tcPr>
          <w:p w14:paraId="5AB73F95" w14:textId="77777777" w:rsidR="00D0002F" w:rsidRPr="00ED411B" w:rsidRDefault="00D0002F" w:rsidP="00D0002F">
            <w:r w:rsidRPr="00ED411B">
              <w:t>G.</w:t>
            </w:r>
          </w:p>
        </w:tc>
        <w:tc>
          <w:tcPr>
            <w:tcW w:w="0" w:type="auto"/>
            <w:vAlign w:val="center"/>
            <w:hideMark/>
          </w:tcPr>
          <w:p w14:paraId="430F1CE2" w14:textId="77777777" w:rsidR="00D0002F" w:rsidRPr="00ED411B" w:rsidRDefault="00D0002F" w:rsidP="00D0002F">
            <w:r w:rsidRPr="00ED411B">
              <w:t>Appraisal Tools and Certainty Assessment Frameworks</w:t>
            </w:r>
          </w:p>
        </w:tc>
      </w:tr>
      <w:tr w:rsidR="00D0002F" w:rsidRPr="00ED411B" w14:paraId="685AB4D6" w14:textId="77777777" w:rsidTr="00481A4E">
        <w:trPr>
          <w:tblCellSpacing w:w="15" w:type="dxa"/>
        </w:trPr>
        <w:tc>
          <w:tcPr>
            <w:tcW w:w="0" w:type="auto"/>
            <w:vAlign w:val="center"/>
          </w:tcPr>
          <w:p w14:paraId="1AF3BC36" w14:textId="77777777" w:rsidR="00D0002F" w:rsidRPr="00ED411B" w:rsidRDefault="00D0002F" w:rsidP="00D0002F">
            <w:r w:rsidRPr="00ED411B">
              <w:t>H.</w:t>
            </w:r>
          </w:p>
        </w:tc>
        <w:tc>
          <w:tcPr>
            <w:tcW w:w="0" w:type="auto"/>
            <w:vAlign w:val="center"/>
          </w:tcPr>
          <w:p w14:paraId="138820B0" w14:textId="77777777" w:rsidR="00D0002F" w:rsidRPr="00ED411B" w:rsidRDefault="00D0002F" w:rsidP="00D0002F">
            <w:r w:rsidRPr="00ED411B">
              <w:t>Transferability to the Australian Context: Assessment Rubric</w:t>
            </w:r>
          </w:p>
        </w:tc>
      </w:tr>
      <w:tr w:rsidR="00D0002F" w:rsidRPr="00ED411B" w14:paraId="53258086" w14:textId="77777777" w:rsidTr="00481A4E">
        <w:trPr>
          <w:tblCellSpacing w:w="15" w:type="dxa"/>
        </w:trPr>
        <w:tc>
          <w:tcPr>
            <w:tcW w:w="0" w:type="auto"/>
            <w:vAlign w:val="center"/>
            <w:hideMark/>
          </w:tcPr>
          <w:p w14:paraId="7AD858B8" w14:textId="77777777" w:rsidR="00D0002F" w:rsidRPr="00ED411B" w:rsidRDefault="00D0002F" w:rsidP="00D0002F">
            <w:r w:rsidRPr="00ED411B">
              <w:t>I.</w:t>
            </w:r>
          </w:p>
        </w:tc>
        <w:tc>
          <w:tcPr>
            <w:tcW w:w="0" w:type="auto"/>
            <w:vAlign w:val="center"/>
            <w:hideMark/>
          </w:tcPr>
          <w:p w14:paraId="58D08906" w14:textId="77777777" w:rsidR="00D0002F" w:rsidRPr="00ED411B" w:rsidRDefault="00D0002F" w:rsidP="00D0002F">
            <w:r w:rsidRPr="00ED411B">
              <w:t>Coding Rules for Transition-to-Work Studies</w:t>
            </w:r>
          </w:p>
        </w:tc>
      </w:tr>
      <w:tr w:rsidR="00D0002F" w:rsidRPr="00ED411B" w14:paraId="5F10F088" w14:textId="77777777" w:rsidTr="00481A4E">
        <w:trPr>
          <w:tblCellSpacing w:w="15" w:type="dxa"/>
        </w:trPr>
        <w:tc>
          <w:tcPr>
            <w:tcW w:w="0" w:type="auto"/>
            <w:vAlign w:val="center"/>
            <w:hideMark/>
          </w:tcPr>
          <w:p w14:paraId="60C06A3F" w14:textId="77777777" w:rsidR="00D0002F" w:rsidRPr="00ED411B" w:rsidRDefault="00D0002F" w:rsidP="00D0002F">
            <w:r w:rsidRPr="00ED411B">
              <w:t>J.</w:t>
            </w:r>
          </w:p>
        </w:tc>
        <w:tc>
          <w:tcPr>
            <w:tcW w:w="0" w:type="auto"/>
            <w:vAlign w:val="center"/>
            <w:hideMark/>
          </w:tcPr>
          <w:p w14:paraId="50B8DD5C" w14:textId="77777777" w:rsidR="00D0002F" w:rsidRPr="00ED411B" w:rsidRDefault="00D0002F" w:rsidP="00D0002F">
            <w:r w:rsidRPr="00ED411B">
              <w:t>Historical and Policy Milestones Relevant to Open Employment in Australia</w:t>
            </w:r>
          </w:p>
        </w:tc>
      </w:tr>
    </w:tbl>
    <w:p w14:paraId="27E870A4" w14:textId="77777777" w:rsidR="00D0002F" w:rsidRDefault="00D0002F" w:rsidP="00D0002F"/>
    <w:p w14:paraId="1B361840" w14:textId="77777777" w:rsidR="00D0002F" w:rsidRDefault="00D0002F" w:rsidP="00D0002F">
      <w:r>
        <w:br w:type="page"/>
      </w:r>
    </w:p>
    <w:p w14:paraId="6C0CEEF9" w14:textId="77777777" w:rsidR="00737872" w:rsidRDefault="00D0002F" w:rsidP="00D0002F">
      <w:pPr>
        <w:pStyle w:val="Heading2"/>
      </w:pPr>
      <w:bookmarkStart w:id="76" w:name="_Toc231220090"/>
      <w:r>
        <w:lastRenderedPageBreak/>
        <w:t>Appendix A.</w:t>
      </w:r>
      <w:bookmarkEnd w:id="76"/>
      <w:r>
        <w:t xml:space="preserve"> </w:t>
      </w:r>
    </w:p>
    <w:p w14:paraId="054D0C78" w14:textId="12308FE5" w:rsidR="00D0002F" w:rsidRPr="00ED411B" w:rsidRDefault="00D0002F" w:rsidP="00737872">
      <w:pPr>
        <w:pStyle w:val="TableCaption"/>
      </w:pPr>
      <w:r w:rsidRPr="00ED411B">
        <w:t>Table A: Eligibility Criteria (PICOS)</w:t>
      </w:r>
    </w:p>
    <w:tbl>
      <w:tblPr>
        <w:tblStyle w:val="CIETable"/>
        <w:tblW w:w="0" w:type="auto"/>
        <w:tblLook w:val="04A0" w:firstRow="1" w:lastRow="0" w:firstColumn="1" w:lastColumn="0" w:noHBand="0" w:noVBand="1"/>
      </w:tblPr>
      <w:tblGrid>
        <w:gridCol w:w="1759"/>
        <w:gridCol w:w="7869"/>
      </w:tblGrid>
      <w:tr w:rsidR="00D0002F" w:rsidRPr="00665C2B" w14:paraId="3EDE53AB" w14:textId="77777777" w:rsidTr="00662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E41A6D" w14:textId="77777777" w:rsidR="00D0002F" w:rsidRPr="00665C2B" w:rsidRDefault="00D0002F" w:rsidP="00662507">
            <w:pPr>
              <w:pStyle w:val="TableHeading"/>
            </w:pPr>
            <w:r w:rsidRPr="00665C2B">
              <w:t>Component</w:t>
            </w:r>
          </w:p>
        </w:tc>
        <w:tc>
          <w:tcPr>
            <w:tcW w:w="0" w:type="auto"/>
            <w:hideMark/>
          </w:tcPr>
          <w:p w14:paraId="04D6C8B4" w14:textId="77777777" w:rsidR="00D0002F" w:rsidRPr="00665C2B" w:rsidRDefault="00D0002F" w:rsidP="00662507">
            <w:pPr>
              <w:pStyle w:val="TableHeading"/>
              <w:cnfStyle w:val="100000000000" w:firstRow="1" w:lastRow="0" w:firstColumn="0" w:lastColumn="0" w:oddVBand="0" w:evenVBand="0" w:oddHBand="0" w:evenHBand="0" w:firstRowFirstColumn="0" w:firstRowLastColumn="0" w:lastRowFirstColumn="0" w:lastRowLastColumn="0"/>
            </w:pPr>
            <w:r w:rsidRPr="00665C2B">
              <w:t>Criteria</w:t>
            </w:r>
          </w:p>
        </w:tc>
      </w:tr>
      <w:tr w:rsidR="00D0002F" w:rsidRPr="00665C2B" w14:paraId="690750C4" w14:textId="77777777" w:rsidTr="00662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3C9C63" w14:textId="77777777" w:rsidR="00D0002F" w:rsidRPr="00665C2B" w:rsidRDefault="00D0002F" w:rsidP="00662507">
            <w:pPr>
              <w:pStyle w:val="TableText"/>
            </w:pPr>
            <w:r w:rsidRPr="00665C2B">
              <w:t>Participants</w:t>
            </w:r>
          </w:p>
        </w:tc>
        <w:tc>
          <w:tcPr>
            <w:tcW w:w="0" w:type="auto"/>
            <w:hideMark/>
          </w:tcPr>
          <w:p w14:paraId="1A4876EE" w14:textId="77777777" w:rsidR="00D0002F" w:rsidRPr="00665C2B"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5C2B">
              <w:t>People with intellectual disability of any age or severity who are seeking, entering or retaining mainstream employment. Data from broader disability groups will be included only if results for intellectual disability are disaggregated.</w:t>
            </w:r>
          </w:p>
        </w:tc>
      </w:tr>
      <w:tr w:rsidR="00D0002F" w:rsidRPr="00665C2B" w14:paraId="45D3FFA8" w14:textId="77777777" w:rsidTr="00662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B253E8" w14:textId="77777777" w:rsidR="00D0002F" w:rsidRPr="00665C2B" w:rsidRDefault="00D0002F" w:rsidP="00662507">
            <w:pPr>
              <w:pStyle w:val="TableText"/>
            </w:pPr>
            <w:r w:rsidRPr="00665C2B">
              <w:t>Interventions</w:t>
            </w:r>
          </w:p>
        </w:tc>
        <w:tc>
          <w:tcPr>
            <w:tcW w:w="0" w:type="auto"/>
            <w:hideMark/>
          </w:tcPr>
          <w:p w14:paraId="4C49C9EA" w14:textId="77777777" w:rsidR="00D0002F" w:rsidRPr="00665C2B" w:rsidRDefault="00D0002F" w:rsidP="00662507">
            <w:pPr>
              <w:pStyle w:val="TableText"/>
              <w:cnfStyle w:val="000000010000" w:firstRow="0" w:lastRow="0" w:firstColumn="0" w:lastColumn="0" w:oddVBand="0" w:evenVBand="0" w:oddHBand="0" w:evenHBand="1" w:firstRowFirstColumn="0" w:firstRowLastColumn="0" w:lastRowFirstColumn="0" w:lastRowLastColumn="0"/>
            </w:pPr>
            <w:r w:rsidRPr="00665C2B">
              <w:t>Any evidence</w:t>
            </w:r>
            <w:r w:rsidRPr="00665C2B">
              <w:noBreakHyphen/>
              <w:t>informed practice, programme, policy or service model aiming to secure or sustain mainstream employment (e.g., customised employment, supported employment, employer training, job carving, wage subsidies, assistive</w:t>
            </w:r>
            <w:r w:rsidRPr="00665C2B">
              <w:noBreakHyphen/>
              <w:t>technology supports).</w:t>
            </w:r>
          </w:p>
        </w:tc>
      </w:tr>
      <w:tr w:rsidR="00D0002F" w:rsidRPr="00665C2B" w14:paraId="5A738D9F" w14:textId="77777777" w:rsidTr="00662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03AE37" w14:textId="77777777" w:rsidR="00D0002F" w:rsidRPr="00665C2B" w:rsidRDefault="00D0002F" w:rsidP="00662507">
            <w:pPr>
              <w:pStyle w:val="TableText"/>
            </w:pPr>
            <w:r w:rsidRPr="00665C2B">
              <w:t>Comparators</w:t>
            </w:r>
          </w:p>
        </w:tc>
        <w:tc>
          <w:tcPr>
            <w:tcW w:w="0" w:type="auto"/>
            <w:hideMark/>
          </w:tcPr>
          <w:p w14:paraId="353F5A2F" w14:textId="77777777" w:rsidR="00D0002F" w:rsidRPr="00665C2B"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5C2B">
              <w:t>Usual practice, alternative intervention, or no comparator.</w:t>
            </w:r>
          </w:p>
        </w:tc>
      </w:tr>
      <w:tr w:rsidR="00D0002F" w:rsidRPr="00665C2B" w14:paraId="06C257FC" w14:textId="77777777" w:rsidTr="00662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0CF0B8" w14:textId="77777777" w:rsidR="00D0002F" w:rsidRPr="00665C2B" w:rsidRDefault="00D0002F" w:rsidP="00662507">
            <w:pPr>
              <w:pStyle w:val="TableText"/>
            </w:pPr>
            <w:r w:rsidRPr="00665C2B">
              <w:t>Outcomes</w:t>
            </w:r>
          </w:p>
        </w:tc>
        <w:tc>
          <w:tcPr>
            <w:tcW w:w="0" w:type="auto"/>
            <w:hideMark/>
          </w:tcPr>
          <w:p w14:paraId="717B8228" w14:textId="77777777" w:rsidR="00D0002F" w:rsidRPr="00665C2B" w:rsidRDefault="00D0002F" w:rsidP="00662507">
            <w:pPr>
              <w:pStyle w:val="TableText"/>
              <w:cnfStyle w:val="000000010000" w:firstRow="0" w:lastRow="0" w:firstColumn="0" w:lastColumn="0" w:oddVBand="0" w:evenVBand="0" w:oddHBand="0" w:evenHBand="1" w:firstRowFirstColumn="0" w:firstRowLastColumn="0" w:lastRowFirstColumn="0" w:lastRowLastColumn="0"/>
            </w:pPr>
            <w:r w:rsidRPr="00665C2B">
              <w:t>Primary: job attainment; job retention (≥3/6/12+ months). </w:t>
            </w:r>
          </w:p>
          <w:p w14:paraId="2A3D2507" w14:textId="77777777" w:rsidR="00D0002F" w:rsidRPr="00665C2B" w:rsidRDefault="00D0002F" w:rsidP="00662507">
            <w:pPr>
              <w:pStyle w:val="TableText"/>
              <w:cnfStyle w:val="000000010000" w:firstRow="0" w:lastRow="0" w:firstColumn="0" w:lastColumn="0" w:oddVBand="0" w:evenVBand="0" w:oddHBand="0" w:evenHBand="1" w:firstRowFirstColumn="0" w:firstRowLastColumn="0" w:lastRowFirstColumn="0" w:lastRowLastColumn="0"/>
            </w:pPr>
            <w:r w:rsidRPr="00665C2B">
              <w:t>Secondary: wages, hours worked, job satisfaction, workplace inclusion, quality of life, cost</w:t>
            </w:r>
            <w:r w:rsidRPr="00665C2B">
              <w:noBreakHyphen/>
              <w:t>effectiveness.</w:t>
            </w:r>
          </w:p>
        </w:tc>
      </w:tr>
      <w:tr w:rsidR="00D0002F" w:rsidRPr="00665C2B" w14:paraId="04660224" w14:textId="77777777" w:rsidTr="00662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B61B3D" w14:textId="77777777" w:rsidR="00D0002F" w:rsidRPr="00665C2B" w:rsidRDefault="00D0002F" w:rsidP="00662507">
            <w:pPr>
              <w:pStyle w:val="TableText"/>
            </w:pPr>
            <w:r w:rsidRPr="00665C2B">
              <w:t>Context</w:t>
            </w:r>
          </w:p>
        </w:tc>
        <w:tc>
          <w:tcPr>
            <w:tcW w:w="0" w:type="auto"/>
            <w:hideMark/>
          </w:tcPr>
          <w:p w14:paraId="2D3FD1F2" w14:textId="77777777" w:rsidR="00D0002F" w:rsidRPr="00665C2B"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5C2B">
              <w:t>Mainstream labour markets; services delivered by DES providers, vocational</w:t>
            </w:r>
            <w:r w:rsidRPr="00665C2B">
              <w:noBreakHyphen/>
              <w:t>rehabilitation agencies, employers or government schemes. Studies limited to sheltered workshops are excluded unless they compare with open employment. Geographical scope is global, but findings must be transferable to Australia.</w:t>
            </w:r>
          </w:p>
        </w:tc>
      </w:tr>
      <w:tr w:rsidR="00D0002F" w:rsidRPr="00665C2B" w14:paraId="125D320E" w14:textId="77777777" w:rsidTr="00662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6CCEA8" w14:textId="77777777" w:rsidR="00D0002F" w:rsidRPr="00665C2B" w:rsidRDefault="00D0002F" w:rsidP="00662507">
            <w:pPr>
              <w:pStyle w:val="TableText"/>
            </w:pPr>
            <w:r w:rsidRPr="00665C2B">
              <w:t>Study designs</w:t>
            </w:r>
          </w:p>
        </w:tc>
        <w:tc>
          <w:tcPr>
            <w:tcW w:w="0" w:type="auto"/>
            <w:hideMark/>
          </w:tcPr>
          <w:p w14:paraId="6140E9FB" w14:textId="77777777" w:rsidR="00D0002F" w:rsidRPr="00665C2B" w:rsidRDefault="00D0002F" w:rsidP="00662507">
            <w:pPr>
              <w:pStyle w:val="TableText"/>
              <w:cnfStyle w:val="000000010000" w:firstRow="0" w:lastRow="0" w:firstColumn="0" w:lastColumn="0" w:oddVBand="0" w:evenVBand="0" w:oddHBand="0" w:evenHBand="1" w:firstRowFirstColumn="0" w:firstRowLastColumn="0" w:lastRowFirstColumn="0" w:lastRowLastColumn="0"/>
            </w:pPr>
            <w:r w:rsidRPr="00665C2B">
              <w:t>Quantitative (RCTs; quasi</w:t>
            </w:r>
            <w:r w:rsidRPr="00665C2B">
              <w:noBreakHyphen/>
              <w:t>experimental; cohort; cross</w:t>
            </w:r>
            <w:r w:rsidRPr="00665C2B">
              <w:noBreakHyphen/>
              <w:t>sectional), qualitative, mixed</w:t>
            </w:r>
            <w:r w:rsidRPr="00665C2B">
              <w:noBreakHyphen/>
              <w:t>methods, and grey literature (government/NGO reports, programme evaluations).</w:t>
            </w:r>
          </w:p>
        </w:tc>
      </w:tr>
      <w:tr w:rsidR="00D0002F" w:rsidRPr="00665C2B" w14:paraId="1A799355" w14:textId="77777777" w:rsidTr="00662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55FDD5" w14:textId="77777777" w:rsidR="00D0002F" w:rsidRPr="00665C2B" w:rsidRDefault="00D0002F" w:rsidP="00662507">
            <w:pPr>
              <w:pStyle w:val="TableText"/>
            </w:pPr>
            <w:r w:rsidRPr="00665C2B">
              <w:t>Timeframe &amp; language</w:t>
            </w:r>
          </w:p>
        </w:tc>
        <w:tc>
          <w:tcPr>
            <w:tcW w:w="0" w:type="auto"/>
            <w:hideMark/>
          </w:tcPr>
          <w:p w14:paraId="29F79771" w14:textId="77777777" w:rsidR="00D0002F" w:rsidRPr="00665C2B"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5C2B">
              <w:t>Publications from 1</w:t>
            </w:r>
            <w:r w:rsidRPr="00665C2B">
              <w:rPr>
                <w:rFonts w:ascii="Times New Roman" w:hAnsi="Times New Roman"/>
              </w:rPr>
              <w:t> </w:t>
            </w:r>
            <w:r w:rsidRPr="00665C2B">
              <w:t>Jan 2015</w:t>
            </w:r>
            <w:r w:rsidRPr="00665C2B">
              <w:rPr>
                <w:rFonts w:ascii="Times New Roman" w:hAnsi="Times New Roman"/>
              </w:rPr>
              <w:t> </w:t>
            </w:r>
            <w:r w:rsidRPr="00665C2B">
              <w:t>–</w:t>
            </w:r>
            <w:r w:rsidRPr="00665C2B">
              <w:rPr>
                <w:rFonts w:ascii="Times New Roman" w:hAnsi="Times New Roman"/>
              </w:rPr>
              <w:t> </w:t>
            </w:r>
            <w:r w:rsidRPr="00665C2B">
              <w:t>present; English language.</w:t>
            </w:r>
          </w:p>
        </w:tc>
      </w:tr>
    </w:tbl>
    <w:p w14:paraId="4515F015" w14:textId="77777777" w:rsidR="00D0002F" w:rsidRDefault="00D0002F" w:rsidP="00D0002F"/>
    <w:p w14:paraId="75A8250D" w14:textId="77777777" w:rsidR="00D0002F" w:rsidRDefault="00D0002F" w:rsidP="00D0002F">
      <w:r>
        <w:br w:type="page"/>
      </w:r>
    </w:p>
    <w:p w14:paraId="4439EB5E" w14:textId="6C203FD2" w:rsidR="00D0002F" w:rsidRPr="004E04D3" w:rsidRDefault="00D0002F" w:rsidP="004E04D3">
      <w:pPr>
        <w:pStyle w:val="Heading2"/>
      </w:pPr>
      <w:bookmarkStart w:id="77" w:name="_Toc231220091"/>
      <w:r>
        <w:lastRenderedPageBreak/>
        <w:t xml:space="preserve">Appendix B. </w:t>
      </w:r>
      <w:r w:rsidR="00737872">
        <w:t>I</w:t>
      </w:r>
      <w:r w:rsidR="00737872" w:rsidRPr="00665C2B">
        <w:t>nitial search strategy and database results</w:t>
      </w:r>
      <w:r w:rsidRPr="00665C2B">
        <w:t xml:space="preserve"> (August</w:t>
      </w:r>
      <w:r>
        <w:t>-</w:t>
      </w:r>
      <w:r w:rsidRPr="00665C2B">
        <w:t>October 2025)</w:t>
      </w:r>
      <w:bookmarkStart w:id="78" w:name="_Hlk485824437"/>
      <w:bookmarkEnd w:id="78"/>
      <w:r w:rsidRPr="00ED411B">
        <w:rPr>
          <w:noProof/>
        </w:rPr>
        <mc:AlternateContent>
          <mc:Choice Requires="wps">
            <w:drawing>
              <wp:anchor distT="0" distB="0" distL="114300" distR="114300" simplePos="0" relativeHeight="251658240" behindDoc="1" locked="0" layoutInCell="1" allowOverlap="1" wp14:anchorId="08297780" wp14:editId="39DA2E82">
                <wp:simplePos x="0" y="0"/>
                <wp:positionH relativeFrom="margin">
                  <wp:posOffset>-2428</wp:posOffset>
                </wp:positionH>
                <wp:positionV relativeFrom="page">
                  <wp:posOffset>1874018</wp:posOffset>
                </wp:positionV>
                <wp:extent cx="0" cy="0"/>
                <wp:effectExtent l="0" t="0" r="0" b="0"/>
                <wp:wrapNone/>
                <wp:docPr id="7" name="Straight Connector 7" descr="yellow line" title="yellow line"/>
                <wp:cNvGraphicFramePr/>
                <a:graphic xmlns:a="http://schemas.openxmlformats.org/drawingml/2006/main">
                  <a:graphicData uri="http://schemas.microsoft.com/office/word/2010/wordprocessingShape">
                    <wps:wsp>
                      <wps:cNvCnPr/>
                      <wps:spPr>
                        <a:xfrm>
                          <a:off x="0" y="0"/>
                          <a:ext cx="0" cy="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w:pict w14:anchorId="7C7E81A5">
              <v:line id="Straight Connector 7" style="position:absolute;z-index:-25165721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alt="Title: yellow line - Description: yellow line" o:spid="_x0000_s1026" strokecolor="#5f2f87 [3044]" strokeweight="1.75pt" from="-.2pt,147.55pt" to="-.2pt,147.55pt" w14:anchorId="6E75EB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nRSBngEAAJ8DAAAOAAAAZHJzL2Uyb0RvYy54bWysU8tu2zAQvAfoPxC815QNNAgEyzkkaC9F&#13;&#10;G6TNBzDU0iLAF5asJf99lpQtB2mAokV1oMjVzuzOcLW9nZxlB8Bkgu/4etVwBl6F3vh9x59+fv54&#13;&#10;w1nK0vfSBg8dP0Lit7sPV9sxtrAJQ7A9ICMSn9oxdnzIObZCJDWAk2kVInj6qAM6memIe9GjHInd&#13;&#10;WbFpmmsxBuwjBgUpUfR+/sh3lV9rUPm71gkysx2n3nJdsa7PZRW7rWz3KONg1KkN+Q9dOGk8FV2o&#13;&#10;7mWW7Bea36icURhS0HmlghNBa6OgaiA16+aNmh+DjFC1kDkpLjal/0ervh3u/AOSDWNMbYoPWFRM&#13;&#10;Gl15U39sqmYdF7NgykzNQXWOigskYspfIDhWNh23xhcFspWHrylTGUo9p5Sw9Wzs+IaeT+UuxKWL&#13;&#10;ustHC3PaI2hmeqq7rnR1QODOIjtIulqpFPi8rhSFlLILTBtrF2DzZ+Apv0ChDs/fgBdErRx8XsDO&#13;&#10;+IDvVc/TuWU9558dmHUXC55Df6z3U62hKagWnia2jNnrc4Vf/qvdCwAAAP//AwBQSwMEFAAGAAgA&#13;&#10;AAAhALAIDofeAAAADAEAAA8AAABkcnMvZG93bnJldi54bWxMj81qwzAQhO+FvoPYQm+JnFCX2rEc&#13;&#10;+kMPpacmpeCbYm1tEWtlJCVx374bKDSXhY/ZnZ2p1pMbxBFDtJ4ULOYZCKTWG0udgs/t6+wBREya&#13;&#10;jB48oYIfjLCur68qXRp/og88blIn2IRiqRX0KY2llLHt0ek49yMSa98+OJ0YQydN0Cc2d4NcZtm9&#13;&#10;dNoSf+j1iM89tvvNwSkI28LnT1/7N6TCyty+N7LxjVK3N9PLisfjCkTCKf1fwLkD54eag+38gUwU&#13;&#10;g4LZHS8qWBb5AgTrZ979sawreVmi/gUAAP//AwBQSwECLQAUAAYACAAAACEAtoM4kv4AAADhAQAA&#13;&#10;EwAAAAAAAAAAAAAAAAAAAAAAW0NvbnRlbnRfVHlwZXNdLnhtbFBLAQItABQABgAIAAAAIQA4/SH/&#13;&#10;1gAAAJQBAAALAAAAAAAAAAAAAAAAAC8BAABfcmVscy8ucmVsc1BLAQItABQABgAIAAAAIQCRnRSB&#13;&#10;ngEAAJ8DAAAOAAAAAAAAAAAAAAAAAC4CAABkcnMvZTJvRG9jLnhtbFBLAQItABQABgAIAAAAIQCw&#13;&#10;CA6H3gAAAAwBAAAPAAAAAAAAAAAAAAAAAPgDAABkcnMvZG93bnJldi54bWxQSwUGAAAAAAQABADz&#13;&#10;AAAAAwUAAAAA&#13;&#10;">
                <w10:wrap anchorx="margin" anchory="page"/>
              </v:line>
            </w:pict>
          </mc:Fallback>
        </mc:AlternateContent>
      </w:r>
      <w:bookmarkEnd w:id="77"/>
    </w:p>
    <w:tbl>
      <w:tblPr>
        <w:tblStyle w:val="CIETable"/>
        <w:tblW w:w="0" w:type="auto"/>
        <w:tblLook w:val="04A0" w:firstRow="1" w:lastRow="0" w:firstColumn="1" w:lastColumn="0" w:noHBand="0" w:noVBand="1"/>
      </w:tblPr>
      <w:tblGrid>
        <w:gridCol w:w="3119"/>
        <w:gridCol w:w="6433"/>
      </w:tblGrid>
      <w:tr w:rsidR="00D0002F" w:rsidRPr="00F07361" w14:paraId="3C420362" w14:textId="77777777" w:rsidTr="00662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D073CA0" w14:textId="77777777" w:rsidR="00D0002F" w:rsidRPr="00F07361" w:rsidRDefault="00D0002F" w:rsidP="00662507">
            <w:pPr>
              <w:pStyle w:val="TableHeading"/>
            </w:pPr>
            <w:r w:rsidRPr="00F07361">
              <w:t>NAME</w:t>
            </w:r>
          </w:p>
        </w:tc>
        <w:tc>
          <w:tcPr>
            <w:tcW w:w="6433" w:type="dxa"/>
          </w:tcPr>
          <w:p w14:paraId="19ADD145" w14:textId="77777777" w:rsidR="00D0002F" w:rsidRPr="00F07361" w:rsidRDefault="00D0002F" w:rsidP="00662507">
            <w:pPr>
              <w:pStyle w:val="TableHeading"/>
              <w:cnfStyle w:val="100000000000" w:firstRow="1" w:lastRow="0" w:firstColumn="0" w:lastColumn="0" w:oddVBand="0" w:evenVBand="0" w:oddHBand="0" w:evenHBand="0" w:firstRowFirstColumn="0" w:firstRowLastColumn="0" w:lastRowFirstColumn="0" w:lastRowLastColumn="0"/>
            </w:pPr>
            <w:r w:rsidRPr="00F07361">
              <w:t>June Alexander</w:t>
            </w:r>
          </w:p>
        </w:tc>
      </w:tr>
      <w:tr w:rsidR="00D0002F" w:rsidRPr="00662507" w14:paraId="2186295B" w14:textId="77777777" w:rsidTr="00662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B888CBC" w14:textId="77777777" w:rsidR="00D0002F" w:rsidRPr="00662507" w:rsidRDefault="00D0002F" w:rsidP="00662507">
            <w:pPr>
              <w:pStyle w:val="TableText"/>
            </w:pPr>
            <w:r w:rsidRPr="00662507">
              <w:t>CONTACT DETAILS</w:t>
            </w:r>
          </w:p>
        </w:tc>
        <w:tc>
          <w:tcPr>
            <w:tcW w:w="6433" w:type="dxa"/>
          </w:tcPr>
          <w:p w14:paraId="508BE2BC"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 xml:space="preserve">Ph: 82013902; Email: </w:t>
            </w:r>
            <w:hyperlink r:id="rId21" w:history="1">
              <w:r w:rsidRPr="00662507">
                <w:t>june.alexander@flinders.edu.au</w:t>
              </w:r>
            </w:hyperlink>
          </w:p>
        </w:tc>
      </w:tr>
      <w:tr w:rsidR="00D0002F" w:rsidRPr="00662507" w14:paraId="7D6ABD38" w14:textId="77777777" w:rsidTr="00662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2ED407B" w14:textId="77777777" w:rsidR="00D0002F" w:rsidRPr="00662507" w:rsidRDefault="00D0002F" w:rsidP="00662507">
            <w:pPr>
              <w:pStyle w:val="TableText"/>
            </w:pPr>
            <w:r w:rsidRPr="00662507">
              <w:t>RESEARCH QUESTION</w:t>
            </w:r>
          </w:p>
        </w:tc>
        <w:tc>
          <w:tcPr>
            <w:tcW w:w="6433" w:type="dxa"/>
          </w:tcPr>
          <w:p w14:paraId="52CF7FE8" w14:textId="77777777" w:rsidR="00D0002F" w:rsidRPr="00662507" w:rsidRDefault="00D0002F" w:rsidP="00662507">
            <w:pPr>
              <w:pStyle w:val="TableText"/>
              <w:cnfStyle w:val="000000010000" w:firstRow="0" w:lastRow="0" w:firstColumn="0" w:lastColumn="0" w:oddVBand="0" w:evenVBand="0" w:oddHBand="0" w:evenHBand="1" w:firstRowFirstColumn="0" w:firstRowLastColumn="0" w:lastRowFirstColumn="0" w:lastRowLastColumn="0"/>
            </w:pPr>
            <w:r w:rsidRPr="00662507">
              <w:t>Employment Support for People with Intellectual Disability</w:t>
            </w:r>
          </w:p>
        </w:tc>
      </w:tr>
      <w:tr w:rsidR="00D0002F" w:rsidRPr="00662507" w14:paraId="07DFB28B" w14:textId="77777777" w:rsidTr="00662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02EA1AAA" w14:textId="77777777" w:rsidR="00D0002F" w:rsidRPr="00662507" w:rsidRDefault="00D0002F" w:rsidP="00662507">
            <w:pPr>
              <w:pStyle w:val="TableText"/>
            </w:pPr>
            <w:r w:rsidRPr="00662507">
              <w:t>RESOURCES SEARCHED</w:t>
            </w:r>
          </w:p>
        </w:tc>
        <w:tc>
          <w:tcPr>
            <w:tcW w:w="6433" w:type="dxa"/>
          </w:tcPr>
          <w:p w14:paraId="6A0D8EE6"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Include Databases here:</w:t>
            </w:r>
          </w:p>
          <w:p w14:paraId="252FEEAB"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PsycINFO (via Ovid)</w:t>
            </w:r>
          </w:p>
          <w:p w14:paraId="3AE3C9D2"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Scopus </w:t>
            </w:r>
          </w:p>
          <w:p w14:paraId="4FC263DE"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Web of Science</w:t>
            </w:r>
          </w:p>
          <w:p w14:paraId="6F7E08AC"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ProQuest Social Science Premium</w:t>
            </w:r>
          </w:p>
          <w:p w14:paraId="511FA432"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ProQuest dissertations &amp; theses global</w:t>
            </w:r>
          </w:p>
          <w:p w14:paraId="45EAF9CA"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Medline</w:t>
            </w:r>
          </w:p>
          <w:p w14:paraId="627D9C3D"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CINAHL Ultimate</w:t>
            </w:r>
          </w:p>
        </w:tc>
      </w:tr>
      <w:tr w:rsidR="00D0002F" w:rsidRPr="00662507" w14:paraId="505744B7" w14:textId="77777777" w:rsidTr="00662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2BD144EE" w14:textId="77777777" w:rsidR="00D0002F" w:rsidRPr="00662507" w:rsidRDefault="00D0002F" w:rsidP="00662507">
            <w:pPr>
              <w:pStyle w:val="TableText"/>
            </w:pPr>
            <w:r w:rsidRPr="00662507">
              <w:t>DATE COMPLETED</w:t>
            </w:r>
          </w:p>
        </w:tc>
        <w:tc>
          <w:tcPr>
            <w:tcW w:w="6433" w:type="dxa"/>
          </w:tcPr>
          <w:p w14:paraId="164E2E6A" w14:textId="77777777" w:rsidR="00D0002F" w:rsidRPr="00662507" w:rsidRDefault="00D0002F" w:rsidP="00662507">
            <w:pPr>
              <w:pStyle w:val="TableText"/>
              <w:cnfStyle w:val="000000010000" w:firstRow="0" w:lastRow="0" w:firstColumn="0" w:lastColumn="0" w:oddVBand="0" w:evenVBand="0" w:oddHBand="0" w:evenHBand="1" w:firstRowFirstColumn="0" w:firstRowLastColumn="0" w:lastRowFirstColumn="0" w:lastRowLastColumn="0"/>
            </w:pPr>
            <w:r w:rsidRPr="00662507">
              <w:t>07/08/2025</w:t>
            </w:r>
          </w:p>
        </w:tc>
      </w:tr>
      <w:tr w:rsidR="00D0002F" w:rsidRPr="00662507" w14:paraId="4C0833DA" w14:textId="77777777" w:rsidTr="00662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EF400C4" w14:textId="77777777" w:rsidR="00D0002F" w:rsidRPr="00662507" w:rsidRDefault="00D0002F" w:rsidP="00662507">
            <w:pPr>
              <w:pStyle w:val="TableText"/>
            </w:pPr>
            <w:r w:rsidRPr="00662507">
              <w:t>TYPE OF SEARCH STRATEGY</w:t>
            </w:r>
          </w:p>
        </w:tc>
        <w:tc>
          <w:tcPr>
            <w:tcW w:w="6433" w:type="dxa"/>
          </w:tcPr>
          <w:p w14:paraId="31CE2257"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Scoping</w:t>
            </w:r>
          </w:p>
        </w:tc>
      </w:tr>
      <w:tr w:rsidR="00D0002F" w:rsidRPr="00662507" w14:paraId="192564F3" w14:textId="77777777" w:rsidTr="00662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1BA20A3" w14:textId="77777777" w:rsidR="00D0002F" w:rsidRPr="00662507" w:rsidRDefault="00D0002F" w:rsidP="00662507">
            <w:pPr>
              <w:pStyle w:val="TableText"/>
            </w:pPr>
            <w:r w:rsidRPr="00662507">
              <w:t>ENDNOTE FILE REQUIRED?</w:t>
            </w:r>
          </w:p>
        </w:tc>
        <w:tc>
          <w:tcPr>
            <w:tcW w:w="6433" w:type="dxa"/>
          </w:tcPr>
          <w:p w14:paraId="0C830361" w14:textId="77777777" w:rsidR="00D0002F" w:rsidRPr="00662507" w:rsidRDefault="00D0002F" w:rsidP="00662507">
            <w:pPr>
              <w:pStyle w:val="TableText"/>
              <w:cnfStyle w:val="000000010000" w:firstRow="0" w:lastRow="0" w:firstColumn="0" w:lastColumn="0" w:oddVBand="0" w:evenVBand="0" w:oddHBand="0" w:evenHBand="1" w:firstRowFirstColumn="0" w:firstRowLastColumn="0" w:lastRowFirstColumn="0" w:lastRowLastColumn="0"/>
            </w:pPr>
            <w:r w:rsidRPr="00662507">
              <w:t>Not yet</w:t>
            </w:r>
          </w:p>
        </w:tc>
      </w:tr>
      <w:tr w:rsidR="00D0002F" w:rsidRPr="00662507" w14:paraId="07B3E4D0" w14:textId="77777777" w:rsidTr="00662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C0C0C0" w:themeColor="accent5"/>
            </w:tcBorders>
          </w:tcPr>
          <w:p w14:paraId="4A9E8768" w14:textId="77777777" w:rsidR="00D0002F" w:rsidRPr="00662507" w:rsidRDefault="00D0002F" w:rsidP="00662507">
            <w:pPr>
              <w:pStyle w:val="TableText"/>
            </w:pPr>
            <w:r w:rsidRPr="00662507">
              <w:t>LIBRARIAN</w:t>
            </w:r>
          </w:p>
        </w:tc>
        <w:tc>
          <w:tcPr>
            <w:tcW w:w="6433" w:type="dxa"/>
            <w:tcBorders>
              <w:bottom w:val="single" w:sz="4" w:space="0" w:color="C0C0C0" w:themeColor="accent5"/>
            </w:tcBorders>
          </w:tcPr>
          <w:p w14:paraId="3EBD8569" w14:textId="77777777" w:rsidR="00D0002F" w:rsidRPr="00662507" w:rsidRDefault="00D0002F" w:rsidP="00662507">
            <w:pPr>
              <w:pStyle w:val="TableText"/>
              <w:cnfStyle w:val="000000100000" w:firstRow="0" w:lastRow="0" w:firstColumn="0" w:lastColumn="0" w:oddVBand="0" w:evenVBand="0" w:oddHBand="1" w:evenHBand="0" w:firstRowFirstColumn="0" w:firstRowLastColumn="0" w:lastRowFirstColumn="0" w:lastRowLastColumn="0"/>
            </w:pPr>
            <w:r w:rsidRPr="00662507">
              <w:t>Shannon Brown</w:t>
            </w:r>
          </w:p>
        </w:tc>
      </w:tr>
      <w:tr w:rsidR="00D0002F" w:rsidRPr="00662507" w14:paraId="5B3488A4" w14:textId="77777777" w:rsidTr="00662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C0C0C0" w:themeColor="accent5"/>
            </w:tcBorders>
          </w:tcPr>
          <w:p w14:paraId="1B5DC6F9" w14:textId="77777777" w:rsidR="00D0002F" w:rsidRPr="00662507" w:rsidRDefault="00D0002F" w:rsidP="00662507">
            <w:pPr>
              <w:pStyle w:val="TableText"/>
            </w:pPr>
            <w:r w:rsidRPr="00662507">
              <w:t>DISCLAIMER</w:t>
            </w:r>
          </w:p>
        </w:tc>
        <w:tc>
          <w:tcPr>
            <w:tcW w:w="6433" w:type="dxa"/>
            <w:tcBorders>
              <w:bottom w:val="single" w:sz="4" w:space="0" w:color="C0C0C0" w:themeColor="accent5"/>
            </w:tcBorders>
          </w:tcPr>
          <w:p w14:paraId="77A6F5E7" w14:textId="77777777" w:rsidR="00D0002F" w:rsidRPr="00662507" w:rsidRDefault="00D0002F" w:rsidP="00662507">
            <w:pPr>
              <w:pStyle w:val="TableText"/>
              <w:cnfStyle w:val="000000010000" w:firstRow="0" w:lastRow="0" w:firstColumn="0" w:lastColumn="0" w:oddVBand="0" w:evenVBand="0" w:oddHBand="0" w:evenHBand="1" w:firstRowFirstColumn="0" w:firstRowLastColumn="0" w:lastRowFirstColumn="0" w:lastRowLastColumn="0"/>
            </w:pPr>
            <w:r w:rsidRPr="00662507">
              <w:t>Results of database searches are subject to the limitations of the database(s) searched. The information is gathered from standard sources licensed by the Flinders University Library and may not provide exhaustive coverage of the subject.</w:t>
            </w:r>
          </w:p>
        </w:tc>
      </w:tr>
    </w:tbl>
    <w:p w14:paraId="643F27E2" w14:textId="3DA2F7BE" w:rsidR="00D0002F" w:rsidRPr="00F07361" w:rsidRDefault="00D0002F" w:rsidP="00D0002F">
      <w:r w:rsidRPr="00F07361">
        <w:t>This appendix documents the initial scoping search conducted by June Alexander and Shannon Brown, including databases searched, search terms, search dates, and result counts. It also includes detailed search strings and links to database queries.</w:t>
      </w:r>
    </w:p>
    <w:p w14:paraId="65E9FC44" w14:textId="60BD167D" w:rsidR="00D0002F" w:rsidRPr="002B3A2E" w:rsidRDefault="002B3A2E" w:rsidP="002B3A2E">
      <w:pPr>
        <w:rPr>
          <w:b/>
          <w:bCs/>
        </w:rPr>
      </w:pPr>
      <w:r w:rsidRPr="002B3A2E">
        <w:rPr>
          <w:b/>
          <w:bCs/>
        </w:rPr>
        <w:t>OVERVIEW OF RESULTS</w:t>
      </w:r>
    </w:p>
    <w:tbl>
      <w:tblPr>
        <w:tblStyle w:val="CIETable"/>
        <w:tblW w:w="5000" w:type="pct"/>
        <w:tblLook w:val="04A0" w:firstRow="1" w:lastRow="0" w:firstColumn="1" w:lastColumn="0" w:noHBand="0" w:noVBand="1"/>
      </w:tblPr>
      <w:tblGrid>
        <w:gridCol w:w="5191"/>
        <w:gridCol w:w="2446"/>
        <w:gridCol w:w="1991"/>
      </w:tblGrid>
      <w:tr w:rsidR="00D0002F" w:rsidRPr="002B3A2E" w14:paraId="1D91E72D" w14:textId="77777777" w:rsidTr="000B3A18">
        <w:trPr>
          <w:cnfStyle w:val="100000000000" w:firstRow="1" w:lastRow="0" w:firstColumn="0" w:lastColumn="0" w:oddVBand="0" w:evenVBand="0" w:oddHBand="0" w:evenHBand="0" w:firstRowFirstColumn="0" w:firstRowLastColumn="0" w:lastRowFirstColumn="0" w:lastRowLastColumn="0"/>
          <w:trHeight w:val="444"/>
          <w:tblHeader/>
        </w:trPr>
        <w:tc>
          <w:tcPr>
            <w:cnfStyle w:val="001000000000" w:firstRow="0" w:lastRow="0" w:firstColumn="1" w:lastColumn="0" w:oddVBand="0" w:evenVBand="0" w:oddHBand="0" w:evenHBand="0" w:firstRowFirstColumn="0" w:firstRowLastColumn="0" w:lastRowFirstColumn="0" w:lastRowLastColumn="0"/>
            <w:tcW w:w="2696" w:type="pct"/>
          </w:tcPr>
          <w:p w14:paraId="5C7F9D82" w14:textId="77777777" w:rsidR="00D0002F" w:rsidRPr="002B3A2E" w:rsidRDefault="00D0002F" w:rsidP="002B3A2E">
            <w:pPr>
              <w:pStyle w:val="TableHeading"/>
            </w:pPr>
            <w:bookmarkStart w:id="79" w:name="_Hlk205824841"/>
            <w:r w:rsidRPr="002B3A2E">
              <w:t>Database</w:t>
            </w:r>
          </w:p>
        </w:tc>
        <w:tc>
          <w:tcPr>
            <w:tcW w:w="1270" w:type="pct"/>
          </w:tcPr>
          <w:p w14:paraId="26CA7824" w14:textId="77777777" w:rsidR="00D0002F" w:rsidRPr="002B3A2E" w:rsidRDefault="00D0002F" w:rsidP="002B3A2E">
            <w:pPr>
              <w:pStyle w:val="TableHeading"/>
              <w:cnfStyle w:val="100000000000" w:firstRow="1" w:lastRow="0" w:firstColumn="0" w:lastColumn="0" w:oddVBand="0" w:evenVBand="0" w:oddHBand="0" w:evenHBand="0" w:firstRowFirstColumn="0" w:firstRowLastColumn="0" w:lastRowFirstColumn="0" w:lastRowLastColumn="0"/>
            </w:pPr>
            <w:r w:rsidRPr="002B3A2E">
              <w:t>Result</w:t>
            </w:r>
          </w:p>
        </w:tc>
        <w:tc>
          <w:tcPr>
            <w:tcW w:w="1035" w:type="pct"/>
          </w:tcPr>
          <w:p w14:paraId="406FD6D8" w14:textId="77777777" w:rsidR="00D0002F" w:rsidRPr="002B3A2E" w:rsidRDefault="00D0002F" w:rsidP="002B3A2E">
            <w:pPr>
              <w:pStyle w:val="TableHeading"/>
              <w:cnfStyle w:val="100000000000" w:firstRow="1" w:lastRow="0" w:firstColumn="0" w:lastColumn="0" w:oddVBand="0" w:evenVBand="0" w:oddHBand="0" w:evenHBand="0" w:firstRowFirstColumn="0" w:firstRowLastColumn="0" w:lastRowFirstColumn="0" w:lastRowLastColumn="0"/>
            </w:pPr>
            <w:r w:rsidRPr="002B3A2E">
              <w:t>Date run</w:t>
            </w:r>
          </w:p>
        </w:tc>
      </w:tr>
      <w:tr w:rsidR="00D0002F" w:rsidRPr="00F07361" w14:paraId="1D0E4929" w14:textId="77777777" w:rsidTr="002B3A2E">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696" w:type="pct"/>
          </w:tcPr>
          <w:p w14:paraId="015E6080" w14:textId="77777777" w:rsidR="00D0002F" w:rsidRPr="00F07361" w:rsidRDefault="00D0002F" w:rsidP="002B3A2E">
            <w:pPr>
              <w:pStyle w:val="TableText"/>
            </w:pPr>
            <w:r w:rsidRPr="00F07361">
              <w:t>PsycINFO</w:t>
            </w:r>
          </w:p>
        </w:tc>
        <w:tc>
          <w:tcPr>
            <w:tcW w:w="1270" w:type="pct"/>
          </w:tcPr>
          <w:p w14:paraId="1CA8B5FD"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202</w:t>
            </w:r>
          </w:p>
        </w:tc>
        <w:tc>
          <w:tcPr>
            <w:tcW w:w="1035" w:type="pct"/>
          </w:tcPr>
          <w:p w14:paraId="0F5A7A30"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11/08/2025</w:t>
            </w:r>
          </w:p>
        </w:tc>
      </w:tr>
      <w:tr w:rsidR="00D0002F" w:rsidRPr="00F07361" w14:paraId="21459406" w14:textId="77777777" w:rsidTr="002B3A2E">
        <w:trPr>
          <w:cnfStyle w:val="000000010000" w:firstRow="0" w:lastRow="0" w:firstColumn="0" w:lastColumn="0" w:oddVBand="0" w:evenVBand="0" w:oddHBand="0" w:evenHBand="1"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696" w:type="pct"/>
          </w:tcPr>
          <w:p w14:paraId="12DCF561" w14:textId="77777777" w:rsidR="00024065" w:rsidRDefault="00024065">
            <w:pPr>
              <w:pStyle w:val="TOC2"/>
              <w:rPr>
                <w:color w:val="000000"/>
                <w:lang w:eastAsia="en-GB"/>
              </w:rPr>
            </w:pPr>
            <w:hyperlink w:anchor="_Toc231217543" w:history="1">
              <w:r>
                <w:rPr>
                  <w:rStyle w:val="Hyperlink"/>
                  <w:szCs w:val="20"/>
                </w:rPr>
                <w:t>10.6. Research propositions for future evaluation</w:t>
              </w:r>
              <w:r>
                <w:rPr>
                  <w:rStyle w:val="Hyperlink"/>
                  <w:rFonts w:ascii="Montserrat" w:hAnsi="Montserrat"/>
                  <w:color w:val="auto"/>
                </w:rPr>
                <w:t>. 56</w:t>
              </w:r>
            </w:hyperlink>
          </w:p>
          <w:p w14:paraId="48197130" w14:textId="7891F7D1" w:rsidR="00D0002F" w:rsidRPr="00F07361" w:rsidRDefault="00D0002F" w:rsidP="002B3A2E">
            <w:pPr>
              <w:pStyle w:val="TableText"/>
            </w:pPr>
          </w:p>
        </w:tc>
        <w:tc>
          <w:tcPr>
            <w:tcW w:w="1270" w:type="pct"/>
          </w:tcPr>
          <w:p w14:paraId="131824FB"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382</w:t>
            </w:r>
          </w:p>
        </w:tc>
        <w:tc>
          <w:tcPr>
            <w:tcW w:w="1035" w:type="pct"/>
          </w:tcPr>
          <w:p w14:paraId="204F6795"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11/08/2025</w:t>
            </w:r>
          </w:p>
        </w:tc>
      </w:tr>
      <w:tr w:rsidR="00D0002F" w:rsidRPr="00F07361" w14:paraId="703A72CF" w14:textId="77777777" w:rsidTr="002B3A2E">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696" w:type="pct"/>
          </w:tcPr>
          <w:p w14:paraId="054C7C4E" w14:textId="77777777" w:rsidR="00D0002F" w:rsidRPr="00F07361" w:rsidRDefault="00D0002F" w:rsidP="002B3A2E">
            <w:pPr>
              <w:pStyle w:val="TableText"/>
            </w:pPr>
            <w:r w:rsidRPr="00F07361">
              <w:t>Web of Science</w:t>
            </w:r>
          </w:p>
        </w:tc>
        <w:tc>
          <w:tcPr>
            <w:tcW w:w="1270" w:type="pct"/>
          </w:tcPr>
          <w:p w14:paraId="624972CF"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835</w:t>
            </w:r>
          </w:p>
        </w:tc>
        <w:tc>
          <w:tcPr>
            <w:tcW w:w="1035" w:type="pct"/>
          </w:tcPr>
          <w:p w14:paraId="36C64B10"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11/08/2025</w:t>
            </w:r>
          </w:p>
        </w:tc>
      </w:tr>
      <w:tr w:rsidR="00D0002F" w:rsidRPr="00F07361" w14:paraId="12657E28" w14:textId="77777777" w:rsidTr="002B3A2E">
        <w:trPr>
          <w:cnfStyle w:val="000000010000" w:firstRow="0" w:lastRow="0" w:firstColumn="0" w:lastColumn="0" w:oddVBand="0" w:evenVBand="0" w:oddHBand="0" w:evenHBand="1"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696" w:type="pct"/>
          </w:tcPr>
          <w:p w14:paraId="0D5372C7" w14:textId="77777777" w:rsidR="00D0002F" w:rsidRPr="00F07361" w:rsidRDefault="00D0002F" w:rsidP="002B3A2E">
            <w:pPr>
              <w:pStyle w:val="TableText"/>
            </w:pPr>
            <w:r w:rsidRPr="00F07361">
              <w:t>ProQuest Social Science Premium</w:t>
            </w:r>
          </w:p>
          <w:p w14:paraId="5566EE45" w14:textId="77777777" w:rsidR="00D0002F" w:rsidRPr="00F07361" w:rsidRDefault="00D0002F" w:rsidP="002B3A2E">
            <w:pPr>
              <w:pStyle w:val="TableText"/>
            </w:pPr>
          </w:p>
        </w:tc>
        <w:tc>
          <w:tcPr>
            <w:tcW w:w="1270" w:type="pct"/>
          </w:tcPr>
          <w:p w14:paraId="68CFACD3"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lastRenderedPageBreak/>
              <w:t>313 journal articles</w:t>
            </w:r>
          </w:p>
          <w:p w14:paraId="0225F9BE"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lastRenderedPageBreak/>
              <w:t>20 reports</w:t>
            </w:r>
          </w:p>
        </w:tc>
        <w:tc>
          <w:tcPr>
            <w:tcW w:w="1035" w:type="pct"/>
          </w:tcPr>
          <w:p w14:paraId="05EA8E65"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lastRenderedPageBreak/>
              <w:t>11/08/2025</w:t>
            </w:r>
          </w:p>
        </w:tc>
      </w:tr>
      <w:tr w:rsidR="00D0002F" w:rsidRPr="00F07361" w14:paraId="6083EB3F" w14:textId="77777777" w:rsidTr="002B3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tcPr>
          <w:p w14:paraId="5AA57740" w14:textId="77777777" w:rsidR="00D0002F" w:rsidRPr="00F07361" w:rsidRDefault="00D0002F" w:rsidP="002B3A2E">
            <w:pPr>
              <w:pStyle w:val="TableText"/>
            </w:pPr>
            <w:r w:rsidRPr="00F07361">
              <w:t>ProQuest dissertations &amp; theses global</w:t>
            </w:r>
          </w:p>
        </w:tc>
        <w:tc>
          <w:tcPr>
            <w:tcW w:w="1270" w:type="pct"/>
          </w:tcPr>
          <w:p w14:paraId="18DCC9B5"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65</w:t>
            </w:r>
          </w:p>
        </w:tc>
        <w:tc>
          <w:tcPr>
            <w:tcW w:w="1035" w:type="pct"/>
          </w:tcPr>
          <w:p w14:paraId="6932E4E4"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11/08/2025</w:t>
            </w:r>
          </w:p>
        </w:tc>
      </w:tr>
      <w:bookmarkEnd w:id="79"/>
      <w:tr w:rsidR="00D0002F" w:rsidRPr="00F07361" w14:paraId="56D5A2D0" w14:textId="77777777" w:rsidTr="002B3A2E">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696" w:type="pct"/>
          </w:tcPr>
          <w:p w14:paraId="3FE4C9B8" w14:textId="77777777" w:rsidR="00D0002F" w:rsidRPr="00F07361" w:rsidRDefault="00D0002F" w:rsidP="002B3A2E">
            <w:pPr>
              <w:pStyle w:val="TableText"/>
            </w:pPr>
            <w:r w:rsidRPr="00F07361">
              <w:t>Database</w:t>
            </w:r>
          </w:p>
        </w:tc>
        <w:tc>
          <w:tcPr>
            <w:tcW w:w="1270" w:type="pct"/>
          </w:tcPr>
          <w:p w14:paraId="471B7F05"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Result</w:t>
            </w:r>
          </w:p>
        </w:tc>
        <w:tc>
          <w:tcPr>
            <w:tcW w:w="1035" w:type="pct"/>
          </w:tcPr>
          <w:p w14:paraId="04E4C13B"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Date run</w:t>
            </w:r>
          </w:p>
        </w:tc>
      </w:tr>
      <w:tr w:rsidR="00D0002F" w:rsidRPr="00F07361" w14:paraId="0237EDD5" w14:textId="77777777" w:rsidTr="002B3A2E">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696" w:type="pct"/>
            <w:tcBorders>
              <w:bottom w:val="single" w:sz="4" w:space="0" w:color="C0C0C0" w:themeColor="accent5"/>
            </w:tcBorders>
          </w:tcPr>
          <w:p w14:paraId="5CD3F01C" w14:textId="77777777" w:rsidR="00D0002F" w:rsidRPr="00F07361" w:rsidRDefault="00D0002F" w:rsidP="002B3A2E">
            <w:pPr>
              <w:pStyle w:val="TableText"/>
            </w:pPr>
            <w:r w:rsidRPr="00F07361">
              <w:t>Medline</w:t>
            </w:r>
          </w:p>
        </w:tc>
        <w:tc>
          <w:tcPr>
            <w:tcW w:w="1270" w:type="pct"/>
            <w:tcBorders>
              <w:bottom w:val="single" w:sz="4" w:space="0" w:color="C0C0C0" w:themeColor="accent5"/>
            </w:tcBorders>
          </w:tcPr>
          <w:p w14:paraId="49AF4740"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136</w:t>
            </w:r>
          </w:p>
        </w:tc>
        <w:tc>
          <w:tcPr>
            <w:tcW w:w="1035" w:type="pct"/>
            <w:tcBorders>
              <w:bottom w:val="single" w:sz="4" w:space="0" w:color="C0C0C0" w:themeColor="accent5"/>
            </w:tcBorders>
          </w:tcPr>
          <w:p w14:paraId="644D3D5C"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14/10/2025</w:t>
            </w:r>
          </w:p>
        </w:tc>
      </w:tr>
      <w:tr w:rsidR="00D0002F" w:rsidRPr="00F07361" w14:paraId="71DC6414" w14:textId="77777777" w:rsidTr="002B3A2E">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2696" w:type="pct"/>
            <w:tcBorders>
              <w:bottom w:val="single" w:sz="4" w:space="0" w:color="C0C0C0" w:themeColor="accent5"/>
            </w:tcBorders>
          </w:tcPr>
          <w:p w14:paraId="36ABBE13" w14:textId="77777777" w:rsidR="00D0002F" w:rsidRPr="00F07361" w:rsidRDefault="00D0002F" w:rsidP="002B3A2E">
            <w:pPr>
              <w:pStyle w:val="TableText"/>
            </w:pPr>
            <w:r w:rsidRPr="00F07361">
              <w:t>CINAHL Ultimate</w:t>
            </w:r>
          </w:p>
        </w:tc>
        <w:tc>
          <w:tcPr>
            <w:tcW w:w="1270" w:type="pct"/>
            <w:tcBorders>
              <w:bottom w:val="single" w:sz="4" w:space="0" w:color="C0C0C0" w:themeColor="accent5"/>
            </w:tcBorders>
          </w:tcPr>
          <w:p w14:paraId="75A7B37F"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328</w:t>
            </w:r>
          </w:p>
        </w:tc>
        <w:tc>
          <w:tcPr>
            <w:tcW w:w="1035" w:type="pct"/>
            <w:tcBorders>
              <w:bottom w:val="single" w:sz="4" w:space="0" w:color="C0C0C0" w:themeColor="accent5"/>
            </w:tcBorders>
          </w:tcPr>
          <w:p w14:paraId="3D9E02C0"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14/10/2025</w:t>
            </w:r>
          </w:p>
        </w:tc>
      </w:tr>
    </w:tbl>
    <w:p w14:paraId="2EF8356C" w14:textId="77777777" w:rsidR="00D0002F" w:rsidRPr="002B3A2E" w:rsidRDefault="00D0002F" w:rsidP="00D0002F">
      <w:pPr>
        <w:rPr>
          <w:b/>
          <w:bCs/>
        </w:rPr>
      </w:pPr>
      <w:r w:rsidRPr="002B3A2E">
        <w:rPr>
          <w:b/>
          <w:bCs/>
        </w:rPr>
        <w:t>DATABASE RESULTS</w:t>
      </w:r>
    </w:p>
    <w:p w14:paraId="03264821" w14:textId="77777777" w:rsidR="00D0002F" w:rsidRPr="00A915E3" w:rsidRDefault="00D0002F" w:rsidP="00D0002F">
      <w:pPr>
        <w:rPr>
          <w:i/>
          <w:iCs/>
        </w:rPr>
      </w:pPr>
      <w:bookmarkStart w:id="80" w:name="_Toc87276036"/>
      <w:r w:rsidRPr="00A915E3">
        <w:rPr>
          <w:i/>
          <w:iCs/>
        </w:rPr>
        <w:t>DATABASE: PsycINFO</w:t>
      </w:r>
      <w:bookmarkEnd w:id="80"/>
    </w:p>
    <w:tbl>
      <w:tblPr>
        <w:tblStyle w:val="CIETable"/>
        <w:tblW w:w="5000" w:type="pct"/>
        <w:tblLook w:val="04A0" w:firstRow="1" w:lastRow="0" w:firstColumn="1" w:lastColumn="0" w:noHBand="0" w:noVBand="1"/>
      </w:tblPr>
      <w:tblGrid>
        <w:gridCol w:w="1192"/>
        <w:gridCol w:w="7150"/>
        <w:gridCol w:w="1286"/>
      </w:tblGrid>
      <w:tr w:rsidR="00D0002F" w:rsidRPr="00F07361" w14:paraId="056105EB" w14:textId="77777777" w:rsidTr="000B3A18">
        <w:trPr>
          <w:cnfStyle w:val="100000000000" w:firstRow="1" w:lastRow="0" w:firstColumn="0" w:lastColumn="0" w:oddVBand="0" w:evenVBand="0" w:oddHBand="0" w:evenHBand="0" w:firstRowFirstColumn="0" w:firstRowLastColumn="0" w:lastRowFirstColumn="0" w:lastRowLastColumn="0"/>
          <w:trHeight w:val="435"/>
          <w:tblHeader/>
        </w:trPr>
        <w:tc>
          <w:tcPr>
            <w:cnfStyle w:val="001000000000" w:firstRow="0" w:lastRow="0" w:firstColumn="1" w:lastColumn="0" w:oddVBand="0" w:evenVBand="0" w:oddHBand="0" w:evenHBand="0" w:firstRowFirstColumn="0" w:firstRowLastColumn="0" w:lastRowFirstColumn="0" w:lastRowLastColumn="0"/>
            <w:tcW w:w="619" w:type="pct"/>
            <w:noWrap/>
            <w:hideMark/>
          </w:tcPr>
          <w:p w14:paraId="6EA9CFEF" w14:textId="0BFAE8EA" w:rsidR="00D0002F" w:rsidRPr="00F07361" w:rsidRDefault="000B3A18" w:rsidP="002B3A2E">
            <w:pPr>
              <w:pStyle w:val="TableHeading"/>
            </w:pPr>
            <w:r>
              <w:t>No.</w:t>
            </w:r>
          </w:p>
        </w:tc>
        <w:tc>
          <w:tcPr>
            <w:tcW w:w="3713" w:type="pct"/>
            <w:hideMark/>
          </w:tcPr>
          <w:p w14:paraId="039AFBA4" w14:textId="77777777" w:rsidR="00D0002F" w:rsidRPr="00F07361" w:rsidRDefault="00D0002F" w:rsidP="002B3A2E">
            <w:pPr>
              <w:pStyle w:val="TableHeading"/>
              <w:cnfStyle w:val="100000000000" w:firstRow="1" w:lastRow="0" w:firstColumn="0" w:lastColumn="0" w:oddVBand="0" w:evenVBand="0" w:oddHBand="0" w:evenHBand="0" w:firstRowFirstColumn="0" w:firstRowLastColumn="0" w:lastRowFirstColumn="0" w:lastRowLastColumn="0"/>
            </w:pPr>
            <w:r w:rsidRPr="00F07361">
              <w:t>APA PsycInfo &lt;1806 to August 2025 Week 1&gt;</w:t>
            </w:r>
          </w:p>
        </w:tc>
        <w:tc>
          <w:tcPr>
            <w:tcW w:w="668" w:type="pct"/>
            <w:noWrap/>
            <w:hideMark/>
          </w:tcPr>
          <w:p w14:paraId="6BB477B3" w14:textId="00369EBB" w:rsidR="00D0002F" w:rsidRPr="00F07361" w:rsidRDefault="000B3A18" w:rsidP="002B3A2E">
            <w:pPr>
              <w:pStyle w:val="TableHeading"/>
              <w:cnfStyle w:val="100000000000" w:firstRow="1" w:lastRow="0" w:firstColumn="0" w:lastColumn="0" w:oddVBand="0" w:evenVBand="0" w:oddHBand="0" w:evenHBand="0" w:firstRowFirstColumn="0" w:firstRowLastColumn="0" w:lastRowFirstColumn="0" w:lastRowLastColumn="0"/>
            </w:pPr>
            <w:r>
              <w:t>Result</w:t>
            </w:r>
          </w:p>
        </w:tc>
      </w:tr>
      <w:tr w:rsidR="00D0002F" w:rsidRPr="00F07361" w14:paraId="1E6D47E9" w14:textId="77777777" w:rsidTr="002B3A2E">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19" w:type="pct"/>
            <w:noWrap/>
            <w:hideMark/>
          </w:tcPr>
          <w:p w14:paraId="762CAD75" w14:textId="77777777" w:rsidR="00D0002F" w:rsidRPr="00F07361" w:rsidRDefault="00D0002F" w:rsidP="002B3A2E">
            <w:pPr>
              <w:pStyle w:val="TableText"/>
            </w:pPr>
            <w:r w:rsidRPr="00F07361">
              <w:t>1</w:t>
            </w:r>
          </w:p>
        </w:tc>
        <w:tc>
          <w:tcPr>
            <w:tcW w:w="3713" w:type="pct"/>
            <w:hideMark/>
          </w:tcPr>
          <w:p w14:paraId="2B075E56"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exp intellectual development disorder/</w:t>
            </w:r>
          </w:p>
        </w:tc>
        <w:tc>
          <w:tcPr>
            <w:tcW w:w="668" w:type="pct"/>
            <w:noWrap/>
            <w:hideMark/>
          </w:tcPr>
          <w:p w14:paraId="54BAD43F"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52225</w:t>
            </w:r>
          </w:p>
        </w:tc>
      </w:tr>
      <w:tr w:rsidR="00D0002F" w:rsidRPr="00F07361" w14:paraId="3B51DBF9" w14:textId="77777777" w:rsidTr="002B3A2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9" w:type="pct"/>
            <w:noWrap/>
            <w:hideMark/>
          </w:tcPr>
          <w:p w14:paraId="616C7302" w14:textId="77777777" w:rsidR="00D0002F" w:rsidRPr="00F07361" w:rsidRDefault="00D0002F" w:rsidP="002B3A2E">
            <w:pPr>
              <w:pStyle w:val="TableText"/>
            </w:pPr>
            <w:r w:rsidRPr="00F07361">
              <w:t>2</w:t>
            </w:r>
          </w:p>
        </w:tc>
        <w:tc>
          <w:tcPr>
            <w:tcW w:w="3713" w:type="pct"/>
            <w:hideMark/>
          </w:tcPr>
          <w:p w14:paraId="18850ADE"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(((Intellectual or Developmental* or learning) adj2 disabilit*) or "intellectual impairment*" or "developmental disorder").tw,id.</w:t>
            </w:r>
          </w:p>
        </w:tc>
        <w:tc>
          <w:tcPr>
            <w:tcW w:w="668" w:type="pct"/>
            <w:noWrap/>
            <w:hideMark/>
          </w:tcPr>
          <w:p w14:paraId="42FE92C8"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57467</w:t>
            </w:r>
          </w:p>
        </w:tc>
      </w:tr>
      <w:tr w:rsidR="00D0002F" w:rsidRPr="00F07361" w14:paraId="06DA87CD" w14:textId="77777777" w:rsidTr="002B3A2E">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19" w:type="pct"/>
            <w:noWrap/>
            <w:hideMark/>
          </w:tcPr>
          <w:p w14:paraId="4E70A6B7" w14:textId="77777777" w:rsidR="00D0002F" w:rsidRPr="00F07361" w:rsidRDefault="00D0002F" w:rsidP="002B3A2E">
            <w:pPr>
              <w:pStyle w:val="TableText"/>
            </w:pPr>
            <w:r w:rsidRPr="00F07361">
              <w:t>3</w:t>
            </w:r>
          </w:p>
        </w:tc>
        <w:tc>
          <w:tcPr>
            <w:tcW w:w="3713" w:type="pct"/>
            <w:hideMark/>
          </w:tcPr>
          <w:p w14:paraId="52B88A5A"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1 or 2</w:t>
            </w:r>
          </w:p>
        </w:tc>
        <w:tc>
          <w:tcPr>
            <w:tcW w:w="668" w:type="pct"/>
            <w:noWrap/>
            <w:hideMark/>
          </w:tcPr>
          <w:p w14:paraId="0CA090AA"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90104</w:t>
            </w:r>
          </w:p>
        </w:tc>
      </w:tr>
      <w:tr w:rsidR="00D0002F" w:rsidRPr="00F07361" w14:paraId="2D2E4FB6" w14:textId="77777777" w:rsidTr="002B3A2E">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619" w:type="pct"/>
            <w:noWrap/>
            <w:hideMark/>
          </w:tcPr>
          <w:p w14:paraId="0898863D" w14:textId="77777777" w:rsidR="00D0002F" w:rsidRPr="00F07361" w:rsidRDefault="00D0002F" w:rsidP="002B3A2E">
            <w:pPr>
              <w:pStyle w:val="TableText"/>
            </w:pPr>
            <w:r w:rsidRPr="00F07361">
              <w:t>4</w:t>
            </w:r>
          </w:p>
        </w:tc>
        <w:tc>
          <w:tcPr>
            <w:tcW w:w="3713" w:type="pct"/>
            <w:hideMark/>
          </w:tcPr>
          <w:p w14:paraId="5E627F91"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supported employment/</w:t>
            </w:r>
          </w:p>
        </w:tc>
        <w:tc>
          <w:tcPr>
            <w:tcW w:w="668" w:type="pct"/>
            <w:noWrap/>
            <w:hideMark/>
          </w:tcPr>
          <w:p w14:paraId="03C4BA5E"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1661</w:t>
            </w:r>
          </w:p>
        </w:tc>
      </w:tr>
      <w:tr w:rsidR="00D0002F" w:rsidRPr="00F07361" w14:paraId="5024B8A7" w14:textId="77777777" w:rsidTr="002B3A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9" w:type="pct"/>
            <w:noWrap/>
            <w:hideMark/>
          </w:tcPr>
          <w:p w14:paraId="64B4CF5C" w14:textId="77777777" w:rsidR="00D0002F" w:rsidRPr="00F07361" w:rsidRDefault="00D0002F" w:rsidP="002B3A2E">
            <w:pPr>
              <w:pStyle w:val="TableText"/>
            </w:pPr>
            <w:r w:rsidRPr="00F07361">
              <w:t>5</w:t>
            </w:r>
          </w:p>
        </w:tc>
        <w:tc>
          <w:tcPr>
            <w:tcW w:w="3713" w:type="pct"/>
            <w:hideMark/>
          </w:tcPr>
          <w:p w14:paraId="0783D8E3"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((Customiz* or Customis* or supported or inclusive or mainstream or open or conventional or integrated) adj3 (employment* or job* or work*)).tw,id.</w:t>
            </w:r>
          </w:p>
        </w:tc>
        <w:tc>
          <w:tcPr>
            <w:tcW w:w="668" w:type="pct"/>
            <w:noWrap/>
            <w:hideMark/>
          </w:tcPr>
          <w:p w14:paraId="6824357C"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8868</w:t>
            </w:r>
          </w:p>
        </w:tc>
      </w:tr>
      <w:tr w:rsidR="00D0002F" w:rsidRPr="00F07361" w14:paraId="0E6EAA33" w14:textId="77777777" w:rsidTr="002B3A2E">
        <w:trPr>
          <w:cnfStyle w:val="000000010000" w:firstRow="0" w:lastRow="0" w:firstColumn="0" w:lastColumn="0" w:oddVBand="0" w:evenVBand="0" w:oddHBand="0" w:evenHBand="1"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619" w:type="pct"/>
            <w:noWrap/>
            <w:hideMark/>
          </w:tcPr>
          <w:p w14:paraId="2BCCBA02" w14:textId="77777777" w:rsidR="00D0002F" w:rsidRPr="00F07361" w:rsidRDefault="00D0002F" w:rsidP="002B3A2E">
            <w:pPr>
              <w:pStyle w:val="TableText"/>
            </w:pPr>
            <w:r w:rsidRPr="00F07361">
              <w:t>6</w:t>
            </w:r>
          </w:p>
        </w:tc>
        <w:tc>
          <w:tcPr>
            <w:tcW w:w="3713" w:type="pct"/>
            <w:hideMark/>
          </w:tcPr>
          <w:p w14:paraId="6808A24F"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4 or 5</w:t>
            </w:r>
          </w:p>
        </w:tc>
        <w:tc>
          <w:tcPr>
            <w:tcW w:w="668" w:type="pct"/>
            <w:noWrap/>
            <w:hideMark/>
          </w:tcPr>
          <w:p w14:paraId="2E47AAC2"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9285</w:t>
            </w:r>
          </w:p>
        </w:tc>
      </w:tr>
      <w:tr w:rsidR="00D0002F" w:rsidRPr="00F07361" w14:paraId="0EE4F089" w14:textId="77777777" w:rsidTr="002B3A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9" w:type="pct"/>
            <w:noWrap/>
            <w:hideMark/>
          </w:tcPr>
          <w:p w14:paraId="46841236" w14:textId="77777777" w:rsidR="00D0002F" w:rsidRPr="00F07361" w:rsidRDefault="00D0002F" w:rsidP="002B3A2E">
            <w:pPr>
              <w:pStyle w:val="TableText"/>
            </w:pPr>
            <w:r w:rsidRPr="00F07361">
              <w:t>7</w:t>
            </w:r>
          </w:p>
        </w:tc>
        <w:tc>
          <w:tcPr>
            <w:tcW w:w="3713" w:type="pct"/>
            <w:hideMark/>
          </w:tcPr>
          <w:p w14:paraId="53BB777C"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(((employ* or job* or vocation* or client or skill* or pre-employ* or post-employ* or career* or work*) adj4 (plan* or search* or asses* or profil* or develop* or engage* or match* or analys* or interview* or culture* or carving or experience* or support* or retention* or retain* or inclusion or inclusive* or advance* or satisfaction or agency or agent* or agencies)) or SLES or "national disability insurance scheme" or NDIS or "national disability insurance agency" or NDIA or "Natural support*" or "Assistive Tech*" or "ongoing support*" or intern* or trainee* or "Systematic Instruc*" or Modification* or modify or "Reasonable Adjustment*" or employer*).tw,id.</w:t>
            </w:r>
          </w:p>
        </w:tc>
        <w:tc>
          <w:tcPr>
            <w:tcW w:w="668" w:type="pct"/>
            <w:noWrap/>
            <w:hideMark/>
          </w:tcPr>
          <w:p w14:paraId="59E3B007"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772830</w:t>
            </w:r>
          </w:p>
        </w:tc>
      </w:tr>
      <w:tr w:rsidR="00D0002F" w:rsidRPr="00F07361" w14:paraId="11EE5E7D" w14:textId="77777777" w:rsidTr="002B3A2E">
        <w:trPr>
          <w:cnfStyle w:val="000000010000" w:firstRow="0" w:lastRow="0" w:firstColumn="0" w:lastColumn="0" w:oddVBand="0" w:evenVBand="0" w:oddHBand="0" w:evenHBand="1"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19" w:type="pct"/>
            <w:noWrap/>
            <w:hideMark/>
          </w:tcPr>
          <w:p w14:paraId="7FEC7223" w14:textId="77777777" w:rsidR="00D0002F" w:rsidRPr="00F07361" w:rsidRDefault="00D0002F" w:rsidP="002B3A2E">
            <w:pPr>
              <w:pStyle w:val="TableText"/>
            </w:pPr>
            <w:r w:rsidRPr="00F07361">
              <w:t>8</w:t>
            </w:r>
          </w:p>
        </w:tc>
        <w:tc>
          <w:tcPr>
            <w:tcW w:w="3713" w:type="pct"/>
            <w:hideMark/>
          </w:tcPr>
          <w:p w14:paraId="2CE395A9"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3 and 6 and 7</w:t>
            </w:r>
          </w:p>
        </w:tc>
        <w:tc>
          <w:tcPr>
            <w:tcW w:w="668" w:type="pct"/>
            <w:noWrap/>
            <w:hideMark/>
          </w:tcPr>
          <w:p w14:paraId="31F15248" w14:textId="77777777" w:rsidR="00D0002F" w:rsidRPr="00F07361" w:rsidRDefault="00D0002F" w:rsidP="002B3A2E">
            <w:pPr>
              <w:pStyle w:val="TableText"/>
              <w:cnfStyle w:val="000000010000" w:firstRow="0" w:lastRow="0" w:firstColumn="0" w:lastColumn="0" w:oddVBand="0" w:evenVBand="0" w:oddHBand="0" w:evenHBand="1" w:firstRowFirstColumn="0" w:firstRowLastColumn="0" w:lastRowFirstColumn="0" w:lastRowLastColumn="0"/>
            </w:pPr>
            <w:r w:rsidRPr="00F07361">
              <w:t>600</w:t>
            </w:r>
          </w:p>
        </w:tc>
      </w:tr>
      <w:tr w:rsidR="00D0002F" w:rsidRPr="00F07361" w14:paraId="7D8F9AF6" w14:textId="77777777" w:rsidTr="002B3A2E">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619" w:type="pct"/>
            <w:noWrap/>
            <w:hideMark/>
          </w:tcPr>
          <w:p w14:paraId="00AB9C15" w14:textId="77777777" w:rsidR="00D0002F" w:rsidRPr="00F07361" w:rsidRDefault="00D0002F" w:rsidP="002B3A2E">
            <w:pPr>
              <w:pStyle w:val="TableText"/>
            </w:pPr>
            <w:r w:rsidRPr="00F07361">
              <w:t>9</w:t>
            </w:r>
          </w:p>
        </w:tc>
        <w:tc>
          <w:tcPr>
            <w:tcW w:w="3713" w:type="pct"/>
            <w:hideMark/>
          </w:tcPr>
          <w:p w14:paraId="528F8DB8"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limit 8 to (english language and yr="2015 -Current")</w:t>
            </w:r>
          </w:p>
        </w:tc>
        <w:tc>
          <w:tcPr>
            <w:tcW w:w="668" w:type="pct"/>
            <w:noWrap/>
            <w:hideMark/>
          </w:tcPr>
          <w:p w14:paraId="683CBF9B" w14:textId="77777777" w:rsidR="00D0002F" w:rsidRPr="00F07361" w:rsidRDefault="00D0002F" w:rsidP="002B3A2E">
            <w:pPr>
              <w:pStyle w:val="TableText"/>
              <w:cnfStyle w:val="000000100000" w:firstRow="0" w:lastRow="0" w:firstColumn="0" w:lastColumn="0" w:oddVBand="0" w:evenVBand="0" w:oddHBand="1" w:evenHBand="0" w:firstRowFirstColumn="0" w:firstRowLastColumn="0" w:lastRowFirstColumn="0" w:lastRowLastColumn="0"/>
            </w:pPr>
            <w:r w:rsidRPr="00F07361">
              <w:t>202</w:t>
            </w:r>
          </w:p>
        </w:tc>
      </w:tr>
    </w:tbl>
    <w:p w14:paraId="0938C0AA" w14:textId="77777777" w:rsidR="00D0002F" w:rsidRPr="00177379" w:rsidRDefault="00D0002F" w:rsidP="00D0002F">
      <w:pPr>
        <w:rPr>
          <w:i/>
          <w:iCs/>
        </w:rPr>
      </w:pPr>
      <w:bookmarkStart w:id="81" w:name="_Toc87276040"/>
      <w:r w:rsidRPr="00177379">
        <w:rPr>
          <w:i/>
          <w:iCs/>
        </w:rPr>
        <w:t>DATABASE: Scopus</w:t>
      </w:r>
      <w:bookmarkEnd w:id="81"/>
    </w:p>
    <w:p w14:paraId="6143DF72" w14:textId="77777777" w:rsidR="00D0002F" w:rsidRPr="00F07361" w:rsidRDefault="00D0002F" w:rsidP="00D0002F">
      <w:r w:rsidRPr="00F07361">
        <w:t xml:space="preserve">( TITLE-ABS-KEY ( ( ( Customiz* OR Customis* OR supported OR inclusive OR mainstream OR open OR conventional OR intergrated OR supported ) W/3 ( employment OR job* OR work* ) ) ) AND TITLE-ABS-KEY ( ( ( ( Intellectual OR Developmental* OR learning ) W/2 disabilit* ) OR "intellectual impairment*" OR </w:t>
      </w:r>
      <w:r w:rsidRPr="00F07361">
        <w:lastRenderedPageBreak/>
        <w:t>"developmental disorder" ) ) AND TITLE-ABS-KEY ( ( ( ( employ* OR job* OR vocation* OR client OR skill* OR pre-employ* OR post-employ* OR career* OR work* ) W/4 ( plan* OR search* OR asses* OR profil* OR develop* OR engage* OR match* OR analys* OR interview* OR culture* OR carving OR experience* OR support* OR retention* OR retain* OR inclusion OR inclusive* OR advance* OR satisfaction OR agency OR agent* OR agencies) ) OR SLES OR "national disability insurance scheme" OR NDIS OR "national disability insurance agency" OR NDIA OR "Natural support*" OR "Assistive Tech*" OR "ongoing support*" OR intern* OR trainee* OR "Systematic Instruc*" OR Modification* OR modify OR "Reasonable Adjustment*" OR employer* ) ) ) AND PUBYEAR &gt; 2014 AND PUBYEAR &lt; 2026</w:t>
      </w:r>
    </w:p>
    <w:p w14:paraId="03E00045" w14:textId="77777777" w:rsidR="00D0002F" w:rsidRPr="00177379" w:rsidRDefault="00D0002F" w:rsidP="00D0002F">
      <w:pPr>
        <w:rPr>
          <w:i/>
          <w:iCs/>
        </w:rPr>
      </w:pPr>
      <w:r w:rsidRPr="00177379">
        <w:rPr>
          <w:i/>
          <w:iCs/>
        </w:rPr>
        <w:t>DATABASE: Web of Science</w:t>
      </w:r>
    </w:p>
    <w:p w14:paraId="4377011A" w14:textId="77777777" w:rsidR="00D0002F" w:rsidRPr="00F07361" w:rsidRDefault="00D0002F" w:rsidP="00D0002F">
      <w:r w:rsidRPr="00F07361">
        <w:t xml:space="preserve">( ( ( employ* OR job* OR vocation* OR client OR skill* OR pre-employ* OR post-employ* OR career* OR work* ) NEAR/4 ( plan* OR search* OR asses* OR profil* OR develop* OR engage* OR match* OR analys* OR interview* OR culture* OR carving OR experience* OR support* OR retention* OR retain* OR inclusion OR inclusive* OR advance* OR satisfaction OR agency OR agent* OR agencies ) ) OR SLES OR "national disability insurance scheme" OR NDIS OR "national disability insurance agency" OR NDIA OR "Natural support*" OR "Assistive Tech*" OR "ongoing support*" OR intern* OR trainee* OR "Systematic Instruc*" OR Modification* OR modify OR "Reasonable Adjustment*" OR employer* ) (Title) or ( ( ( employ* OR job* OR vocation* OR client OR skill* OR pre-employ* OR post-employ* OR career* OR work* ) NEAR/4 ( plan* OR search* OR asses* OR profil* OR develop* OR engage* OR match* OR analys* OR interview* OR culture* OR carving OR experience* OR support* OR retention* OR retain* OR inclusion OR inclusive* OR advance* OR satisfaction OR agency OR agent* OR agencies ) ) OR SLES OR "national disability insurance scheme" OR NDIS OR "national disability insurance agency" OR NDIA OR "Natural support*" OR "Assistive Tech*" OR "ongoing support*" OR intern* OR trainee* OR "Systematic Instruc*" OR Modification* OR modify OR "Reasonable Adjustment*" OR employer* ) (Abstract) or ( ( ( employ* OR job* OR vocation* OR client OR skill* OR pre-employ* OR post-employ* OR career* OR work* ) NEAR/4 ( plan* OR search* OR asses* OR profil* OR develop* OR engage* OR match* OR analys* OR interview* OR culture* OR carving OR experience* OR support* OR retention* OR retain* OR inclusion OR inclusive* OR advance* OR satisfaction OR agency OR agent* OR agencies ) ) OR SLES OR "national disability insurance scheme" OR NDIS OR "national disability insurance agency" OR NDIA OR "Natural support*" OR "Assistive Tech*" OR "ongoing support*" OR intern* OR trainee* OR "Systematic Instruc*" OR Modification* OR modify OR "Reasonable Adjustment*" OR </w:t>
      </w:r>
      <w:r w:rsidRPr="00F07361">
        <w:lastRenderedPageBreak/>
        <w:t>employer* ) (Author Keywords)</w:t>
      </w:r>
    </w:p>
    <w:p w14:paraId="47721876" w14:textId="77777777" w:rsidR="00D0002F" w:rsidRPr="00177379" w:rsidRDefault="00D0002F" w:rsidP="00D0002F">
      <w:pPr>
        <w:rPr>
          <w:i/>
          <w:iCs/>
        </w:rPr>
      </w:pPr>
      <w:r w:rsidRPr="00177379">
        <w:rPr>
          <w:i/>
          <w:iCs/>
        </w:rPr>
        <w:t>DATABASE: ProQuest Social Sciences Premium</w:t>
      </w:r>
    </w:p>
    <w:p w14:paraId="7F2154C9" w14:textId="77777777" w:rsidR="00D0002F" w:rsidRPr="00F07361" w:rsidRDefault="00D0002F" w:rsidP="00D0002F">
      <w:r w:rsidRPr="00F07361">
        <w:t>noft(((((Intellectual OR Developmental* OR learning) NEAR/2 disabilit*) OR "intellectual impairment*" OR "developmental disorder") AND ((Customiz* OR Customis* OR supported OR inclusive OR mainstream OR open OR conventional OR integrated) NEAR/3 (employment* OR job* OR work*)) AND (((employ* OR job* OR vocation* OR client OR skill* OR pre-employ* OR post-employ* OR career* OR work*) NEAR/4 (plan* OR search* OR asses* OR profil* OR develop* OR engage* OR match* OR analys* OR interview* OR culture* OR carving OR experience* OR support* OR retention* OR retain* OR inclusion OR inclusive* OR advance* OR satisfaction OR agency OR agent* OR agencies)) OR SLES OR "national disability insurance scheme" OR NDIS OR "national disability insurance agency" OR NDIA OR "Natural support*" OR "Assistive Tech*" OR "ongoing support*" OR intern* OR trainee* OR "Systematic Instruc*" OR Modification* OR modify OR "Reasonable Adjustment*" OR employer*)))</w:t>
      </w:r>
    </w:p>
    <w:p w14:paraId="3CBE8EC4" w14:textId="77777777" w:rsidR="00D0002F" w:rsidRPr="00177379" w:rsidRDefault="00D0002F" w:rsidP="00D0002F">
      <w:pPr>
        <w:rPr>
          <w:i/>
          <w:iCs/>
        </w:rPr>
      </w:pPr>
      <w:r w:rsidRPr="00177379">
        <w:rPr>
          <w:i/>
          <w:iCs/>
        </w:rPr>
        <w:t>DATABASE: ProQuest dissertations &amp; theses global</w:t>
      </w:r>
    </w:p>
    <w:p w14:paraId="7577D6AF" w14:textId="77777777" w:rsidR="00D0002F" w:rsidRPr="00F07361" w:rsidRDefault="00D0002F" w:rsidP="00D0002F">
      <w:r w:rsidRPr="00F07361">
        <w:t>noft(((((Intellectual OR Developmental* OR learning) NEAR/2 disabilit*) OR "intellectual impairment*" OR "developmental disorder") AND ((Customiz* OR Customis* OR supported OR inclusive OR mainstream OR open OR conventional OR integrated) NEAR/3 (employment* OR job* OR work*)) AND (((employ* OR job* OR vocation* OR client OR skill* OR pre-employ* OR post-employ* OR career* OR work*) NEAR/4 (plan* OR search* OR asses* OR profil* OR develop* OR engage* OR match* OR analys* OR interview* OR culture* OR carving OR experience* OR support* OR retention* OR retain* OR inclusion OR inclusive* OR advance* OR satisfaction OR agency OR agent* OR agencies)) OR SLES OR "national disability insurance scheme" OR NDIS OR "national disability insurance agency" OR NDIA OR "Natural support*" OR "Assistive Tech*" OR "ongoing support*" OR intern* OR trainee* OR "Systematic Instruc*" OR Modification* OR modify OR "Reasonable Adjustment*" OR employer*)))</w:t>
      </w:r>
    </w:p>
    <w:p w14:paraId="1173DD7B" w14:textId="77777777" w:rsidR="00D0002F" w:rsidRPr="00177379" w:rsidRDefault="00D0002F" w:rsidP="00D0002F">
      <w:pPr>
        <w:rPr>
          <w:i/>
          <w:iCs/>
        </w:rPr>
      </w:pPr>
      <w:r w:rsidRPr="00177379">
        <w:rPr>
          <w:i/>
          <w:iCs/>
        </w:rPr>
        <w:t>DATABASE: Base Search</w:t>
      </w:r>
    </w:p>
    <w:p w14:paraId="25046C5C" w14:textId="77777777" w:rsidR="00D0002F" w:rsidRPr="00F07361" w:rsidRDefault="00D0002F" w:rsidP="00D0002F">
      <w:r w:rsidRPr="00F07361">
        <w:t>((((Intellectual OR Developmental* OR learning ) NEAR/2 disabilit* ) OR "intellectual impairment*" OR "developmental disorder" ) AND</w:t>
      </w:r>
    </w:p>
    <w:p w14:paraId="35BDD380" w14:textId="77777777" w:rsidR="00D0002F" w:rsidRPr="00F07361" w:rsidRDefault="00D0002F" w:rsidP="00D0002F">
      <w:r w:rsidRPr="00F07361">
        <w:t>( ( Customiz* OR Customis* OR supported OR inclusive OR mainstream OR open OR conventional or integrated) NEAR/3 ( employment* OR job* OR work* ) ) AND</w:t>
      </w:r>
    </w:p>
    <w:p w14:paraId="4E679351" w14:textId="77777777" w:rsidR="00D0002F" w:rsidRPr="00F07361" w:rsidRDefault="00D0002F" w:rsidP="00D0002F">
      <w:r w:rsidRPr="00F07361">
        <w:t>( ( ( employ* OR job* OR vocation* OR client OR skill* OR pre-employ* OR post-</w:t>
      </w:r>
      <w:r w:rsidRPr="00F07361">
        <w:lastRenderedPageBreak/>
        <w:t>employ* OR career* OR work* ) NEAR/4 ( plan* OR search* OR asses* OR profil* OR develop* OR engage* OR match* OR analys* OR interview* OR culture* OR carving OR experience* OR support* OR retention* OR retain* OR inclusion OR inclusive* OR advance* OR satisfaction OR agency OR agent* OR agencies ) ) OR SLES OR "national disability insurance scheme" OR NDIS OR "national disability insurance agency" OR NDIA OR "Natural support*" OR "Assistive Tech*" OR "ongoing support*" OR intern* OR trainee* OR "Systematic Instruc*" OR Modification* OR modify OR "Reasonable Adjustment*" OR employer* ))</w:t>
      </w:r>
    </w:p>
    <w:p w14:paraId="768B5EA4" w14:textId="77777777" w:rsidR="00D0002F" w:rsidRPr="00177379" w:rsidRDefault="00D0002F" w:rsidP="00D0002F">
      <w:pPr>
        <w:rPr>
          <w:i/>
          <w:iCs/>
        </w:rPr>
      </w:pPr>
      <w:r w:rsidRPr="00177379">
        <w:rPr>
          <w:i/>
          <w:iCs/>
        </w:rPr>
        <w:t>DATABASE: Medline</w:t>
      </w:r>
    </w:p>
    <w:tbl>
      <w:tblPr>
        <w:tblStyle w:val="CIETable"/>
        <w:tblW w:w="5000" w:type="pct"/>
        <w:tblLook w:val="04A0" w:firstRow="1" w:lastRow="0" w:firstColumn="1" w:lastColumn="0" w:noHBand="0" w:noVBand="1"/>
      </w:tblPr>
      <w:tblGrid>
        <w:gridCol w:w="724"/>
        <w:gridCol w:w="7319"/>
        <w:gridCol w:w="1585"/>
      </w:tblGrid>
      <w:tr w:rsidR="00D0002F" w:rsidRPr="00F07361" w14:paraId="051FD76F" w14:textId="77777777" w:rsidTr="00D209F1">
        <w:trPr>
          <w:cnfStyle w:val="100000000000" w:firstRow="1" w:lastRow="0" w:firstColumn="0" w:lastColumn="0" w:oddVBand="0" w:evenVBand="0" w:oddHBand="0" w:evenHBand="0" w:firstRowFirstColumn="0" w:firstRowLastColumn="0" w:lastRowFirstColumn="0" w:lastRowLastColumn="0"/>
          <w:trHeight w:val="900"/>
          <w:tblHeader/>
        </w:trPr>
        <w:tc>
          <w:tcPr>
            <w:cnfStyle w:val="001000000000" w:firstRow="0" w:lastRow="0" w:firstColumn="1" w:lastColumn="0" w:oddVBand="0" w:evenVBand="0" w:oddHBand="0" w:evenHBand="0" w:firstRowFirstColumn="0" w:firstRowLastColumn="0" w:lastRowFirstColumn="0" w:lastRowLastColumn="0"/>
            <w:tcW w:w="376" w:type="pct"/>
            <w:noWrap/>
            <w:hideMark/>
          </w:tcPr>
          <w:p w14:paraId="5BBAC013" w14:textId="0844E3CD" w:rsidR="00D0002F" w:rsidRPr="00F07361" w:rsidRDefault="00D0002F" w:rsidP="00177379">
            <w:pPr>
              <w:pStyle w:val="TableHeading"/>
            </w:pPr>
            <w:r w:rsidRPr="00F07361">
              <w:t> </w:t>
            </w:r>
            <w:r w:rsidR="000B3A18">
              <w:t>No.</w:t>
            </w:r>
          </w:p>
        </w:tc>
        <w:tc>
          <w:tcPr>
            <w:tcW w:w="3801" w:type="pct"/>
            <w:hideMark/>
          </w:tcPr>
          <w:p w14:paraId="2667748B" w14:textId="77777777" w:rsidR="00D0002F" w:rsidRPr="00F07361" w:rsidRDefault="00D0002F" w:rsidP="00177379">
            <w:pPr>
              <w:pStyle w:val="TableHeading"/>
              <w:cnfStyle w:val="100000000000" w:firstRow="1" w:lastRow="0" w:firstColumn="0" w:lastColumn="0" w:oddVBand="0" w:evenVBand="0" w:oddHBand="0" w:evenHBand="0" w:firstRowFirstColumn="0" w:firstRowLastColumn="0" w:lastRowFirstColumn="0" w:lastRowLastColumn="0"/>
            </w:pPr>
            <w:r w:rsidRPr="00F07361">
              <w:t>Ovid MEDLINE(R) and Epub Ahead of Print, In-Process, In-Data-Review &amp; Other Non-Indexed Citations, Daily and Versions &lt;1946 to October 10, 2025&gt;</w:t>
            </w:r>
          </w:p>
        </w:tc>
        <w:tc>
          <w:tcPr>
            <w:tcW w:w="823" w:type="pct"/>
            <w:noWrap/>
            <w:hideMark/>
          </w:tcPr>
          <w:p w14:paraId="69EEB197" w14:textId="439DD789" w:rsidR="00D0002F" w:rsidRPr="00F07361" w:rsidRDefault="00D0002F" w:rsidP="00177379">
            <w:pPr>
              <w:pStyle w:val="TableHeading"/>
              <w:cnfStyle w:val="100000000000" w:firstRow="1" w:lastRow="0" w:firstColumn="0" w:lastColumn="0" w:oddVBand="0" w:evenVBand="0" w:oddHBand="0" w:evenHBand="0" w:firstRowFirstColumn="0" w:firstRowLastColumn="0" w:lastRowFirstColumn="0" w:lastRowLastColumn="0"/>
            </w:pPr>
            <w:r w:rsidRPr="00F07361">
              <w:t> </w:t>
            </w:r>
            <w:r w:rsidR="000B3A18">
              <w:t>Result</w:t>
            </w:r>
          </w:p>
        </w:tc>
      </w:tr>
      <w:tr w:rsidR="00D0002F" w:rsidRPr="00F07361" w14:paraId="07CFA083" w14:textId="77777777" w:rsidTr="001773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 w:type="pct"/>
            <w:noWrap/>
            <w:hideMark/>
          </w:tcPr>
          <w:p w14:paraId="31986E2E" w14:textId="77777777" w:rsidR="00D0002F" w:rsidRPr="00F07361" w:rsidRDefault="00D0002F" w:rsidP="00177379">
            <w:pPr>
              <w:pStyle w:val="TableText"/>
            </w:pPr>
            <w:r w:rsidRPr="00F07361">
              <w:t>1</w:t>
            </w:r>
          </w:p>
        </w:tc>
        <w:tc>
          <w:tcPr>
            <w:tcW w:w="3801" w:type="pct"/>
            <w:hideMark/>
          </w:tcPr>
          <w:p w14:paraId="3FC79EAC"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exp Intellectual Disability/</w:t>
            </w:r>
          </w:p>
        </w:tc>
        <w:tc>
          <w:tcPr>
            <w:tcW w:w="823" w:type="pct"/>
            <w:noWrap/>
            <w:hideMark/>
          </w:tcPr>
          <w:p w14:paraId="681EFCA8"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110892</w:t>
            </w:r>
          </w:p>
        </w:tc>
      </w:tr>
      <w:tr w:rsidR="00D0002F" w:rsidRPr="00F07361" w14:paraId="6E9C0CE9" w14:textId="77777777" w:rsidTr="00177379">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76" w:type="pct"/>
            <w:noWrap/>
            <w:hideMark/>
          </w:tcPr>
          <w:p w14:paraId="434D6F25" w14:textId="77777777" w:rsidR="00D0002F" w:rsidRPr="00F07361" w:rsidRDefault="00D0002F" w:rsidP="00177379">
            <w:pPr>
              <w:pStyle w:val="TableText"/>
            </w:pPr>
            <w:r w:rsidRPr="00F07361">
              <w:t>2</w:t>
            </w:r>
          </w:p>
        </w:tc>
        <w:tc>
          <w:tcPr>
            <w:tcW w:w="3801" w:type="pct"/>
            <w:hideMark/>
          </w:tcPr>
          <w:p w14:paraId="0CADC911"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(((Intellectual or Developmental* or learning) adj2 disabilit*) or "intellectual impairment*" or "developmental disorder").tw,kf.</w:t>
            </w:r>
          </w:p>
        </w:tc>
        <w:tc>
          <w:tcPr>
            <w:tcW w:w="823" w:type="pct"/>
            <w:noWrap/>
            <w:hideMark/>
          </w:tcPr>
          <w:p w14:paraId="020756DD"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53881</w:t>
            </w:r>
          </w:p>
        </w:tc>
      </w:tr>
      <w:tr w:rsidR="00D0002F" w:rsidRPr="00F07361" w14:paraId="2E421C4A" w14:textId="77777777" w:rsidTr="001773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 w:type="pct"/>
            <w:noWrap/>
            <w:hideMark/>
          </w:tcPr>
          <w:p w14:paraId="73A8426D" w14:textId="77777777" w:rsidR="00D0002F" w:rsidRPr="00F07361" w:rsidRDefault="00D0002F" w:rsidP="00177379">
            <w:pPr>
              <w:pStyle w:val="TableText"/>
            </w:pPr>
            <w:r w:rsidRPr="00F07361">
              <w:t>3</w:t>
            </w:r>
          </w:p>
        </w:tc>
        <w:tc>
          <w:tcPr>
            <w:tcW w:w="3801" w:type="pct"/>
            <w:hideMark/>
          </w:tcPr>
          <w:p w14:paraId="19094311"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 or 2</w:t>
            </w:r>
          </w:p>
        </w:tc>
        <w:tc>
          <w:tcPr>
            <w:tcW w:w="823" w:type="pct"/>
            <w:noWrap/>
            <w:hideMark/>
          </w:tcPr>
          <w:p w14:paraId="135E9335"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144409</w:t>
            </w:r>
          </w:p>
        </w:tc>
      </w:tr>
      <w:tr w:rsidR="00D0002F" w:rsidRPr="00F07361" w14:paraId="0CB20BEB" w14:textId="77777777" w:rsidTr="001773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 w:type="pct"/>
            <w:noWrap/>
            <w:hideMark/>
          </w:tcPr>
          <w:p w14:paraId="39441A06" w14:textId="77777777" w:rsidR="00D0002F" w:rsidRPr="00F07361" w:rsidRDefault="00D0002F" w:rsidP="00177379">
            <w:pPr>
              <w:pStyle w:val="TableText"/>
            </w:pPr>
            <w:r w:rsidRPr="00F07361">
              <w:t>4</w:t>
            </w:r>
          </w:p>
        </w:tc>
        <w:tc>
          <w:tcPr>
            <w:tcW w:w="3801" w:type="pct"/>
            <w:hideMark/>
          </w:tcPr>
          <w:p w14:paraId="04A73B8A"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Employment, Supported/</w:t>
            </w:r>
          </w:p>
        </w:tc>
        <w:tc>
          <w:tcPr>
            <w:tcW w:w="823" w:type="pct"/>
            <w:noWrap/>
            <w:hideMark/>
          </w:tcPr>
          <w:p w14:paraId="1EA3CB11"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1449</w:t>
            </w:r>
          </w:p>
        </w:tc>
      </w:tr>
      <w:tr w:rsidR="00D0002F" w:rsidRPr="00F07361" w14:paraId="00AF4E5B" w14:textId="77777777" w:rsidTr="0017737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76" w:type="pct"/>
            <w:noWrap/>
            <w:hideMark/>
          </w:tcPr>
          <w:p w14:paraId="257FE773" w14:textId="77777777" w:rsidR="00D0002F" w:rsidRPr="00F07361" w:rsidRDefault="00D0002F" w:rsidP="00177379">
            <w:pPr>
              <w:pStyle w:val="TableText"/>
            </w:pPr>
            <w:r w:rsidRPr="00F07361">
              <w:t>5</w:t>
            </w:r>
          </w:p>
        </w:tc>
        <w:tc>
          <w:tcPr>
            <w:tcW w:w="3801" w:type="pct"/>
            <w:hideMark/>
          </w:tcPr>
          <w:p w14:paraId="36DEFFA5"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((Customiz* or Customis* or supported or inclusive or mainstream or open or conventional or integrated) adj3 (employment* or job* or work*)).tw,kf.</w:t>
            </w:r>
          </w:p>
        </w:tc>
        <w:tc>
          <w:tcPr>
            <w:tcW w:w="823" w:type="pct"/>
            <w:noWrap/>
            <w:hideMark/>
          </w:tcPr>
          <w:p w14:paraId="240220C1"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16627</w:t>
            </w:r>
          </w:p>
        </w:tc>
      </w:tr>
      <w:tr w:rsidR="00D0002F" w:rsidRPr="00F07361" w14:paraId="33DA81E2" w14:textId="77777777" w:rsidTr="001773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 w:type="pct"/>
            <w:noWrap/>
            <w:hideMark/>
          </w:tcPr>
          <w:p w14:paraId="605D9C0C" w14:textId="77777777" w:rsidR="00D0002F" w:rsidRPr="00F07361" w:rsidRDefault="00D0002F" w:rsidP="00177379">
            <w:pPr>
              <w:pStyle w:val="TableText"/>
            </w:pPr>
            <w:r w:rsidRPr="00F07361">
              <w:t>6</w:t>
            </w:r>
          </w:p>
        </w:tc>
        <w:tc>
          <w:tcPr>
            <w:tcW w:w="3801" w:type="pct"/>
            <w:hideMark/>
          </w:tcPr>
          <w:p w14:paraId="023871E6"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4 or 5</w:t>
            </w:r>
          </w:p>
        </w:tc>
        <w:tc>
          <w:tcPr>
            <w:tcW w:w="823" w:type="pct"/>
            <w:noWrap/>
            <w:hideMark/>
          </w:tcPr>
          <w:p w14:paraId="4A7634F5"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17334</w:t>
            </w:r>
          </w:p>
        </w:tc>
      </w:tr>
      <w:tr w:rsidR="00D0002F" w:rsidRPr="00F07361" w14:paraId="17872B80" w14:textId="77777777" w:rsidTr="00177379">
        <w:trPr>
          <w:cnfStyle w:val="000000100000" w:firstRow="0" w:lastRow="0" w:firstColumn="0" w:lastColumn="0" w:oddVBand="0" w:evenVBand="0" w:oddHBand="1" w:evenHBand="0" w:firstRowFirstColumn="0" w:firstRowLastColumn="0" w:lastRowFirstColumn="0" w:lastRowLastColumn="0"/>
          <w:trHeight w:val="2825"/>
        </w:trPr>
        <w:tc>
          <w:tcPr>
            <w:cnfStyle w:val="001000000000" w:firstRow="0" w:lastRow="0" w:firstColumn="1" w:lastColumn="0" w:oddVBand="0" w:evenVBand="0" w:oddHBand="0" w:evenHBand="0" w:firstRowFirstColumn="0" w:firstRowLastColumn="0" w:lastRowFirstColumn="0" w:lastRowLastColumn="0"/>
            <w:tcW w:w="376" w:type="pct"/>
            <w:noWrap/>
            <w:hideMark/>
          </w:tcPr>
          <w:p w14:paraId="60B594A4" w14:textId="77777777" w:rsidR="00D0002F" w:rsidRPr="00F07361" w:rsidRDefault="00D0002F" w:rsidP="00177379">
            <w:pPr>
              <w:pStyle w:val="TableText"/>
            </w:pPr>
            <w:r w:rsidRPr="00F07361">
              <w:t>7</w:t>
            </w:r>
          </w:p>
        </w:tc>
        <w:tc>
          <w:tcPr>
            <w:tcW w:w="3801" w:type="pct"/>
            <w:hideMark/>
          </w:tcPr>
          <w:p w14:paraId="311433BE"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(((employ* or job* or vocation* or client or skill* or pre-employ* or post-employ* or career* or work*) adj4 (plan* or search* or asses* or profil* or develop* or engage* or match* or analys* or interview* or culture* or carving or experience* or support* or retention* or retain* or inclusion or inclusive* or advance* or satisfaction or agency or agent* or agencies)) or SLES or "national disability insurance scheme" or NDIS or "national disability insurance agency" or NDIA or "Natural support*" or "Assistive Tech*" or "ongoing support*" or intern* or trainee* or "Systematic Instruc*" or Modification* or modify or "Reasonable Adjustment*" or employer*).tw,kf.</w:t>
            </w:r>
          </w:p>
        </w:tc>
        <w:tc>
          <w:tcPr>
            <w:tcW w:w="823" w:type="pct"/>
            <w:noWrap/>
            <w:hideMark/>
          </w:tcPr>
          <w:p w14:paraId="6F11C388"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2467618</w:t>
            </w:r>
          </w:p>
        </w:tc>
      </w:tr>
      <w:tr w:rsidR="00D0002F" w:rsidRPr="00F07361" w14:paraId="370D107C" w14:textId="77777777" w:rsidTr="001773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 w:type="pct"/>
            <w:noWrap/>
            <w:hideMark/>
          </w:tcPr>
          <w:p w14:paraId="379C80FA" w14:textId="77777777" w:rsidR="00D0002F" w:rsidRPr="00F07361" w:rsidRDefault="00D0002F" w:rsidP="00177379">
            <w:pPr>
              <w:pStyle w:val="TableText"/>
            </w:pPr>
            <w:r w:rsidRPr="00F07361">
              <w:t>8</w:t>
            </w:r>
          </w:p>
        </w:tc>
        <w:tc>
          <w:tcPr>
            <w:tcW w:w="3801" w:type="pct"/>
            <w:hideMark/>
          </w:tcPr>
          <w:p w14:paraId="0A0CC87F"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3 and 6 and 7</w:t>
            </w:r>
          </w:p>
        </w:tc>
        <w:tc>
          <w:tcPr>
            <w:tcW w:w="823" w:type="pct"/>
            <w:noWrap/>
            <w:hideMark/>
          </w:tcPr>
          <w:p w14:paraId="2774632A"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269</w:t>
            </w:r>
          </w:p>
        </w:tc>
      </w:tr>
      <w:tr w:rsidR="00D0002F" w:rsidRPr="00F07361" w14:paraId="3C93E7FD" w14:textId="77777777" w:rsidTr="001773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6" w:type="pct"/>
            <w:noWrap/>
            <w:hideMark/>
          </w:tcPr>
          <w:p w14:paraId="0B3E30CE" w14:textId="77777777" w:rsidR="00D0002F" w:rsidRPr="00F07361" w:rsidRDefault="00D0002F" w:rsidP="00177379">
            <w:pPr>
              <w:pStyle w:val="TableText"/>
            </w:pPr>
            <w:r w:rsidRPr="00F07361">
              <w:t>9</w:t>
            </w:r>
          </w:p>
        </w:tc>
        <w:tc>
          <w:tcPr>
            <w:tcW w:w="3801" w:type="pct"/>
            <w:hideMark/>
          </w:tcPr>
          <w:p w14:paraId="6BE2F473"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limit 8 to (english language and yr="2015 -Current")</w:t>
            </w:r>
          </w:p>
        </w:tc>
        <w:tc>
          <w:tcPr>
            <w:tcW w:w="823" w:type="pct"/>
            <w:noWrap/>
            <w:hideMark/>
          </w:tcPr>
          <w:p w14:paraId="7CC8C0A8"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136</w:t>
            </w:r>
          </w:p>
        </w:tc>
      </w:tr>
    </w:tbl>
    <w:p w14:paraId="1137B19A" w14:textId="77777777" w:rsidR="00D0002F" w:rsidRPr="00177379" w:rsidRDefault="00D0002F" w:rsidP="00D0002F">
      <w:pPr>
        <w:rPr>
          <w:i/>
          <w:iCs/>
        </w:rPr>
      </w:pPr>
      <w:r w:rsidRPr="00177379">
        <w:rPr>
          <w:i/>
          <w:iCs/>
        </w:rPr>
        <w:t>DATABASE: CINAHL Ultimate</w:t>
      </w:r>
    </w:p>
    <w:p w14:paraId="20A50882" w14:textId="77777777" w:rsidR="00D0002F" w:rsidRPr="00F07361" w:rsidRDefault="00D0002F" w:rsidP="00D0002F">
      <w:r w:rsidRPr="00F07361">
        <w:t xml:space="preserve">(XB ( ( ( employ* OR job* OR vocation* OR client OR skill* OR pre-employ* OR post-employ* OR career* OR work* ) N4 ( plan* OR search* OR asses* OR profil* OR develop* OR engage* OR match* OR analys* OR interview* OR culture* OR carving OR experience* OR support* OR retention* OR retain* OR inclusion OR </w:t>
      </w:r>
      <w:r w:rsidRPr="00F07361">
        <w:lastRenderedPageBreak/>
        <w:t>inclusive* OR advance* OR satisfaction OR agency OR agent* OR agencies ) ) OR SLES OR "national disability insurance scheme" OR NDIS OR "national disability insurance agency" OR NDIA OR "Natural support*" OR "Assistive Tech*" OR "ongoing support*" OR intern* OR trainee* OR "Systematic Instruc*" OR Modification* OR modify OR "Reasonable Adjustment*" OR employer* )) AND (MH "Employment of Persons with Disabilities+" OR XB (( ( Customiz* OR Customis* OR supported OR inclusive OR mainstream OR open OR conventional or integrated) N3 ( employment* OR job* OR work* ) ))) AND (MH "Intellectual Disability+" OR XB ((((Intellectual OR Developmental* OR learning ) N2 disabilit* ) OR "intellectual impairment*" OR "developmental disorder" )))</w:t>
      </w:r>
    </w:p>
    <w:p w14:paraId="76443977" w14:textId="77777777" w:rsidR="00D0002F" w:rsidRPr="00F07361" w:rsidRDefault="00D0002F" w:rsidP="00D0002F">
      <w:r w:rsidRPr="00F07361">
        <w:t>Workings</w:t>
      </w:r>
    </w:p>
    <w:p w14:paraId="325D8D0E" w14:textId="77777777" w:rsidR="00D0002F" w:rsidRPr="00F07361" w:rsidRDefault="00D0002F" w:rsidP="00D0002F">
      <w:r w:rsidRPr="00F07361">
        <w:t>MH "Intellectual Disability+"</w:t>
      </w:r>
    </w:p>
    <w:p w14:paraId="49F93178" w14:textId="77777777" w:rsidR="00D0002F" w:rsidRPr="00F07361" w:rsidRDefault="00D0002F" w:rsidP="00D0002F">
      <w:r w:rsidRPr="00F07361">
        <w:t xml:space="preserve">(((Intellectual OR Developmental* OR learning ) N2 disabilit* ) OR "intellectual impairment*" OR "developmental disorder" ) </w:t>
      </w:r>
    </w:p>
    <w:p w14:paraId="77EBAB32" w14:textId="77777777" w:rsidR="00D0002F" w:rsidRPr="00F07361" w:rsidRDefault="00D0002F" w:rsidP="00D0002F">
      <w:r w:rsidRPr="00F07361">
        <w:t>AND</w:t>
      </w:r>
    </w:p>
    <w:p w14:paraId="27139EDE" w14:textId="77777777" w:rsidR="00D0002F" w:rsidRPr="00F07361" w:rsidRDefault="00D0002F" w:rsidP="00D0002F">
      <w:r w:rsidRPr="00F07361">
        <w:t>MH "Employment of Persons with Disabilities+"</w:t>
      </w:r>
    </w:p>
    <w:p w14:paraId="36C26E4F" w14:textId="77777777" w:rsidR="00D0002F" w:rsidRPr="00F07361" w:rsidRDefault="00D0002F" w:rsidP="00D0002F">
      <w:r w:rsidRPr="00F07361">
        <w:t>( ( Customiz* OR Customis* OR supported OR inclusive OR mainstream OR open OR conventional or integrated) N3 ( employment* OR job* OR work* ) )</w:t>
      </w:r>
    </w:p>
    <w:p w14:paraId="5C0EA75C" w14:textId="77777777" w:rsidR="00D0002F" w:rsidRPr="00F07361" w:rsidRDefault="00D0002F" w:rsidP="00D0002F">
      <w:r w:rsidRPr="00F07361">
        <w:t xml:space="preserve"> AND</w:t>
      </w:r>
    </w:p>
    <w:p w14:paraId="39376C62" w14:textId="77777777" w:rsidR="00D0002F" w:rsidRPr="00F07361" w:rsidRDefault="00D0002F" w:rsidP="00D0002F">
      <w:r w:rsidRPr="00F07361">
        <w:t>( ( ( employ* OR job* OR vocation* OR client OR skill* OR pre-employ* OR post-employ* OR career* OR work* ) N4 ( plan* OR search* OR asses* OR profil* OR develop* OR engage* OR match* OR analys* OR interview* OR culture* OR carving OR experience* OR support* OR retention* OR retain* OR inclusion OR inclusive* OR advance* OR satisfaction OR agency OR agent* OR agencies ) ) OR SLES OR "national disability insurance scheme" OR NDIS OR "national disability insurance agency" OR NDIA OR "Natural support*" OR "Assistive Tech*" OR "ongoing support*" OR intern* OR trainee* OR "Systematic Instruc*" OR Modification* OR modify OR "Reasonable Adjustment*" OR employer* )</w:t>
      </w:r>
    </w:p>
    <w:p w14:paraId="0C7E19F5" w14:textId="77777777" w:rsidR="00177379" w:rsidRDefault="00177379" w:rsidP="00D0002F">
      <w:pPr>
        <w:pStyle w:val="Heading2"/>
        <w:sectPr w:rsidR="00177379" w:rsidSect="008E117E">
          <w:pgSz w:w="11906" w:h="16838" w:code="9"/>
          <w:pgMar w:top="1134" w:right="1134" w:bottom="1134" w:left="1134" w:header="454" w:footer="0" w:gutter="0"/>
          <w:cols w:space="708"/>
          <w:docGrid w:linePitch="360"/>
        </w:sectPr>
      </w:pPr>
    </w:p>
    <w:p w14:paraId="1E45BE06" w14:textId="47481567" w:rsidR="00D0002F" w:rsidRPr="00F07361" w:rsidRDefault="00D0002F" w:rsidP="00D0002F">
      <w:pPr>
        <w:pStyle w:val="Heading2"/>
      </w:pPr>
      <w:bookmarkStart w:id="82" w:name="_Toc231220092"/>
      <w:r>
        <w:lastRenderedPageBreak/>
        <w:t xml:space="preserve">Appendix C. </w:t>
      </w:r>
      <w:r w:rsidRPr="00F07361">
        <w:t xml:space="preserve">Supplementary </w:t>
      </w:r>
      <w:r w:rsidR="00737872" w:rsidRPr="00F07361">
        <w:t xml:space="preserve">search strategy and vocational training focus </w:t>
      </w:r>
      <w:r w:rsidRPr="00F07361">
        <w:t>(October 2025)</w:t>
      </w:r>
      <w:bookmarkEnd w:id="82"/>
    </w:p>
    <w:p w14:paraId="7497BE86" w14:textId="77777777" w:rsidR="00D0002F" w:rsidRPr="00F07361" w:rsidRDefault="00D0002F" w:rsidP="00D0002F">
      <w:r w:rsidRPr="00F07361">
        <w:t>This appendix presents a follow-up search focused on vocational education, training, and employment pathways for people with intellectual disability. It includes updated search terms, database results, and search strategy refinements.</w:t>
      </w:r>
    </w:p>
    <w:tbl>
      <w:tblPr>
        <w:tblStyle w:val="CIETable"/>
        <w:tblW w:w="0" w:type="auto"/>
        <w:tblLook w:val="04A0" w:firstRow="1" w:lastRow="0" w:firstColumn="1" w:lastColumn="0" w:noHBand="0" w:noVBand="1"/>
      </w:tblPr>
      <w:tblGrid>
        <w:gridCol w:w="3119"/>
        <w:gridCol w:w="6433"/>
      </w:tblGrid>
      <w:tr w:rsidR="00D0002F" w:rsidRPr="00F07361" w14:paraId="5827AD7F" w14:textId="77777777" w:rsidTr="00D209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tcPr>
          <w:p w14:paraId="7C750C6B" w14:textId="77777777" w:rsidR="00D0002F" w:rsidRPr="00F07361" w:rsidRDefault="00D0002F" w:rsidP="00177379">
            <w:pPr>
              <w:pStyle w:val="TableHeading"/>
            </w:pPr>
            <w:r w:rsidRPr="00F07361">
              <w:t>NAME</w:t>
            </w:r>
          </w:p>
        </w:tc>
        <w:tc>
          <w:tcPr>
            <w:tcW w:w="6433" w:type="dxa"/>
          </w:tcPr>
          <w:p w14:paraId="316A5ABC" w14:textId="77777777" w:rsidR="00D0002F" w:rsidRPr="00F07361" w:rsidRDefault="00D0002F" w:rsidP="00177379">
            <w:pPr>
              <w:pStyle w:val="TableHeading"/>
              <w:cnfStyle w:val="100000000000" w:firstRow="1" w:lastRow="0" w:firstColumn="0" w:lastColumn="0" w:oddVBand="0" w:evenVBand="0" w:oddHBand="0" w:evenHBand="0" w:firstRowFirstColumn="0" w:firstRowLastColumn="0" w:lastRowFirstColumn="0" w:lastRowLastColumn="0"/>
            </w:pPr>
            <w:r w:rsidRPr="00F07361">
              <w:t>June Alexander</w:t>
            </w:r>
          </w:p>
        </w:tc>
      </w:tr>
      <w:tr w:rsidR="00D0002F" w:rsidRPr="00F07361" w14:paraId="448041E0" w14:textId="77777777" w:rsidTr="0017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0537BAC1" w14:textId="77777777" w:rsidR="00D0002F" w:rsidRPr="00F07361" w:rsidRDefault="00D0002F" w:rsidP="00177379">
            <w:pPr>
              <w:pStyle w:val="TableText"/>
            </w:pPr>
            <w:r w:rsidRPr="00F07361">
              <w:t>CONTACT DETAILS</w:t>
            </w:r>
          </w:p>
        </w:tc>
        <w:tc>
          <w:tcPr>
            <w:tcW w:w="6433" w:type="dxa"/>
          </w:tcPr>
          <w:p w14:paraId="46043AE1"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Ph: 82013902</w:t>
            </w:r>
          </w:p>
          <w:p w14:paraId="2B53AF7E"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rPr>
                <w:sz w:val="22"/>
              </w:rPr>
            </w:pPr>
            <w:r w:rsidRPr="00F07361">
              <w:rPr>
                <w:sz w:val="22"/>
              </w:rPr>
              <w:t xml:space="preserve">Email: </w:t>
            </w:r>
            <w:hyperlink r:id="rId22" w:history="1">
              <w:r w:rsidRPr="00F07361">
                <w:rPr>
                  <w:sz w:val="22"/>
                </w:rPr>
                <w:t>june.alexander@flinders.edu.au</w:t>
              </w:r>
            </w:hyperlink>
          </w:p>
        </w:tc>
      </w:tr>
      <w:tr w:rsidR="00D0002F" w:rsidRPr="00F07361" w14:paraId="2006A326" w14:textId="77777777" w:rsidTr="00177379">
        <w:trPr>
          <w:cnfStyle w:val="000000010000" w:firstRow="0" w:lastRow="0" w:firstColumn="0" w:lastColumn="0" w:oddVBand="0" w:evenVBand="0" w:oddHBand="0" w:evenHBand="1"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3119" w:type="dxa"/>
          </w:tcPr>
          <w:p w14:paraId="076C04B2" w14:textId="77777777" w:rsidR="00D0002F" w:rsidRPr="00F07361" w:rsidRDefault="00D0002F" w:rsidP="00177379">
            <w:pPr>
              <w:pStyle w:val="TableText"/>
            </w:pPr>
            <w:r w:rsidRPr="00F07361">
              <w:t>RESEARCH QUESTION</w:t>
            </w:r>
          </w:p>
        </w:tc>
        <w:tc>
          <w:tcPr>
            <w:tcW w:w="6433" w:type="dxa"/>
          </w:tcPr>
          <w:p w14:paraId="55FCDDBB"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Employment Support for People with Intellectual Disability</w:t>
            </w:r>
          </w:p>
          <w:p w14:paraId="60D32A32"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Search 2</w:t>
            </w:r>
          </w:p>
        </w:tc>
      </w:tr>
      <w:tr w:rsidR="00D0002F" w:rsidRPr="00F07361" w14:paraId="2B52913E" w14:textId="77777777" w:rsidTr="0017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9AD9A42" w14:textId="77777777" w:rsidR="00D0002F" w:rsidRPr="00F07361" w:rsidRDefault="00D0002F" w:rsidP="00177379">
            <w:pPr>
              <w:pStyle w:val="TableText"/>
            </w:pPr>
            <w:r w:rsidRPr="00F07361">
              <w:t>RESOURCES SEARCHED</w:t>
            </w:r>
          </w:p>
        </w:tc>
        <w:tc>
          <w:tcPr>
            <w:tcW w:w="6433" w:type="dxa"/>
          </w:tcPr>
          <w:p w14:paraId="5403AB52"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Include Databases here:</w:t>
            </w:r>
          </w:p>
          <w:p w14:paraId="2BD03E5C"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PsycINFO (via Ovid)</w:t>
            </w:r>
          </w:p>
          <w:p w14:paraId="6EF51387"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Scopus </w:t>
            </w:r>
          </w:p>
          <w:p w14:paraId="4AFB2684"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Web of Science</w:t>
            </w:r>
          </w:p>
          <w:p w14:paraId="20017530"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ProQuest Social Science Premium</w:t>
            </w:r>
          </w:p>
          <w:p w14:paraId="72F9871B"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Medline</w:t>
            </w:r>
          </w:p>
          <w:p w14:paraId="69C0FA63"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CINAHL Ultimate</w:t>
            </w:r>
          </w:p>
        </w:tc>
      </w:tr>
      <w:tr w:rsidR="00D0002F" w:rsidRPr="00F07361" w14:paraId="70653E64" w14:textId="77777777" w:rsidTr="001773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99AB2DF" w14:textId="77777777" w:rsidR="00D0002F" w:rsidRPr="00F07361" w:rsidRDefault="00D0002F" w:rsidP="00177379">
            <w:pPr>
              <w:pStyle w:val="TableText"/>
            </w:pPr>
            <w:r w:rsidRPr="00F07361">
              <w:t>DATE COMPLETED</w:t>
            </w:r>
          </w:p>
        </w:tc>
        <w:tc>
          <w:tcPr>
            <w:tcW w:w="6433" w:type="dxa"/>
          </w:tcPr>
          <w:p w14:paraId="5ECCC317"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15/10/2025</w:t>
            </w:r>
          </w:p>
        </w:tc>
      </w:tr>
      <w:tr w:rsidR="00D0002F" w:rsidRPr="00F07361" w14:paraId="13149521" w14:textId="77777777" w:rsidTr="0017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71777E3" w14:textId="77777777" w:rsidR="00D0002F" w:rsidRPr="00F07361" w:rsidRDefault="00D0002F" w:rsidP="00177379">
            <w:pPr>
              <w:pStyle w:val="TableText"/>
            </w:pPr>
            <w:r w:rsidRPr="00F07361">
              <w:t>TYPE OF SEARCH STRATEGY</w:t>
            </w:r>
          </w:p>
        </w:tc>
        <w:tc>
          <w:tcPr>
            <w:tcW w:w="6433" w:type="dxa"/>
          </w:tcPr>
          <w:p w14:paraId="5A5F3F84"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Scoping</w:t>
            </w:r>
          </w:p>
        </w:tc>
      </w:tr>
      <w:tr w:rsidR="00D0002F" w:rsidRPr="00F07361" w14:paraId="039FB7C6" w14:textId="77777777" w:rsidTr="001773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7A9D53A" w14:textId="77777777" w:rsidR="00D0002F" w:rsidRPr="00F07361" w:rsidRDefault="00D0002F" w:rsidP="00177379">
            <w:pPr>
              <w:pStyle w:val="TableText"/>
            </w:pPr>
            <w:r w:rsidRPr="00F07361">
              <w:t>ENDNOTE FILE REQUIRED?</w:t>
            </w:r>
          </w:p>
        </w:tc>
        <w:tc>
          <w:tcPr>
            <w:tcW w:w="6433" w:type="dxa"/>
          </w:tcPr>
          <w:p w14:paraId="6965DB6C"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Not yet</w:t>
            </w:r>
          </w:p>
        </w:tc>
      </w:tr>
      <w:tr w:rsidR="00D0002F" w:rsidRPr="00F07361" w14:paraId="45DB91BE" w14:textId="77777777" w:rsidTr="0017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C0C0C0" w:themeColor="accent5"/>
            </w:tcBorders>
          </w:tcPr>
          <w:p w14:paraId="2159CBDF" w14:textId="77777777" w:rsidR="00D0002F" w:rsidRPr="00F07361" w:rsidRDefault="00D0002F" w:rsidP="00177379">
            <w:pPr>
              <w:pStyle w:val="TableText"/>
            </w:pPr>
            <w:r w:rsidRPr="00F07361">
              <w:t>LIBRARIAN</w:t>
            </w:r>
          </w:p>
        </w:tc>
        <w:tc>
          <w:tcPr>
            <w:tcW w:w="6433" w:type="dxa"/>
            <w:tcBorders>
              <w:bottom w:val="single" w:sz="4" w:space="0" w:color="C0C0C0" w:themeColor="accent5"/>
            </w:tcBorders>
          </w:tcPr>
          <w:p w14:paraId="0CEEF28C"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Shannon Brown</w:t>
            </w:r>
          </w:p>
        </w:tc>
      </w:tr>
      <w:tr w:rsidR="00D0002F" w:rsidRPr="00F07361" w14:paraId="3720D370" w14:textId="77777777" w:rsidTr="001773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C0C0C0" w:themeColor="accent5"/>
            </w:tcBorders>
          </w:tcPr>
          <w:p w14:paraId="1372F84C" w14:textId="77777777" w:rsidR="00D0002F" w:rsidRPr="00F07361" w:rsidRDefault="00D0002F" w:rsidP="00177379">
            <w:pPr>
              <w:pStyle w:val="TableText"/>
            </w:pPr>
            <w:r w:rsidRPr="00F07361">
              <w:t>DISCLAIMER</w:t>
            </w:r>
          </w:p>
        </w:tc>
        <w:tc>
          <w:tcPr>
            <w:tcW w:w="6433" w:type="dxa"/>
            <w:tcBorders>
              <w:bottom w:val="single" w:sz="4" w:space="0" w:color="C0C0C0" w:themeColor="accent5"/>
            </w:tcBorders>
          </w:tcPr>
          <w:p w14:paraId="3CAC4005"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Results of database searches are subject to the limitations of the database(s) searched. The information is gathered from standard sources licensed by the Flinders University Library and may not provide exhaustive coverage of the subject.</w:t>
            </w:r>
          </w:p>
        </w:tc>
      </w:tr>
    </w:tbl>
    <w:p w14:paraId="76A90843" w14:textId="77777777" w:rsidR="00D209F1" w:rsidRDefault="00D209F1" w:rsidP="00D0002F">
      <w:pPr>
        <w:rPr>
          <w:b/>
          <w:bCs/>
        </w:rPr>
      </w:pPr>
      <w:r>
        <w:rPr>
          <w:b/>
          <w:bCs/>
        </w:rPr>
        <w:br w:type="page"/>
      </w:r>
    </w:p>
    <w:p w14:paraId="015C3E71" w14:textId="2AF43BDB" w:rsidR="00D0002F" w:rsidRPr="00177379" w:rsidRDefault="00D0002F" w:rsidP="00D0002F">
      <w:pPr>
        <w:rPr>
          <w:b/>
          <w:bCs/>
        </w:rPr>
      </w:pPr>
      <w:r w:rsidRPr="00177379">
        <w:rPr>
          <w:b/>
          <w:bCs/>
        </w:rPr>
        <w:lastRenderedPageBreak/>
        <w:t>OVERVIEW OF RESULTS</w:t>
      </w:r>
    </w:p>
    <w:tbl>
      <w:tblPr>
        <w:tblStyle w:val="CIETable"/>
        <w:tblW w:w="5000" w:type="pct"/>
        <w:tblLook w:val="04A0" w:firstRow="1" w:lastRow="0" w:firstColumn="1" w:lastColumn="0" w:noHBand="0" w:noVBand="1"/>
      </w:tblPr>
      <w:tblGrid>
        <w:gridCol w:w="5191"/>
        <w:gridCol w:w="2446"/>
        <w:gridCol w:w="1991"/>
      </w:tblGrid>
      <w:tr w:rsidR="00D0002F" w:rsidRPr="00F07361" w14:paraId="275CF084" w14:textId="77777777" w:rsidTr="00D209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6" w:type="pct"/>
          </w:tcPr>
          <w:p w14:paraId="4AD424DB" w14:textId="77777777" w:rsidR="00D0002F" w:rsidRPr="00F07361" w:rsidRDefault="00D0002F" w:rsidP="00177379">
            <w:pPr>
              <w:pStyle w:val="TableHeading"/>
            </w:pPr>
            <w:r w:rsidRPr="00F07361">
              <w:t>Database</w:t>
            </w:r>
          </w:p>
        </w:tc>
        <w:tc>
          <w:tcPr>
            <w:tcW w:w="1270" w:type="pct"/>
          </w:tcPr>
          <w:p w14:paraId="4796BB0E" w14:textId="77777777" w:rsidR="00D0002F" w:rsidRPr="00F07361" w:rsidRDefault="00D0002F" w:rsidP="00177379">
            <w:pPr>
              <w:pStyle w:val="TableHeading"/>
              <w:cnfStyle w:val="100000000000" w:firstRow="1" w:lastRow="0" w:firstColumn="0" w:lastColumn="0" w:oddVBand="0" w:evenVBand="0" w:oddHBand="0" w:evenHBand="0" w:firstRowFirstColumn="0" w:firstRowLastColumn="0" w:lastRowFirstColumn="0" w:lastRowLastColumn="0"/>
            </w:pPr>
            <w:r w:rsidRPr="00F07361">
              <w:t>Result</w:t>
            </w:r>
          </w:p>
        </w:tc>
        <w:tc>
          <w:tcPr>
            <w:tcW w:w="1035" w:type="pct"/>
          </w:tcPr>
          <w:p w14:paraId="7C92D0B0" w14:textId="77777777" w:rsidR="00D0002F" w:rsidRPr="00F07361" w:rsidRDefault="00D0002F" w:rsidP="00177379">
            <w:pPr>
              <w:pStyle w:val="TableHeading"/>
              <w:cnfStyle w:val="100000000000" w:firstRow="1" w:lastRow="0" w:firstColumn="0" w:lastColumn="0" w:oddVBand="0" w:evenVBand="0" w:oddHBand="0" w:evenHBand="0" w:firstRowFirstColumn="0" w:firstRowLastColumn="0" w:lastRowFirstColumn="0" w:lastRowLastColumn="0"/>
            </w:pPr>
            <w:r w:rsidRPr="00F07361">
              <w:t>Date run</w:t>
            </w:r>
          </w:p>
        </w:tc>
      </w:tr>
      <w:tr w:rsidR="00D0002F" w:rsidRPr="00F07361" w14:paraId="3F770CEF" w14:textId="77777777" w:rsidTr="0017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tcPr>
          <w:p w14:paraId="3383C61B" w14:textId="77777777" w:rsidR="00D0002F" w:rsidRPr="00F07361" w:rsidRDefault="00D0002F" w:rsidP="00177379">
            <w:pPr>
              <w:pStyle w:val="TableText"/>
            </w:pPr>
            <w:r w:rsidRPr="00F07361">
              <w:t>PsycINFO</w:t>
            </w:r>
          </w:p>
        </w:tc>
        <w:tc>
          <w:tcPr>
            <w:tcW w:w="1270" w:type="pct"/>
          </w:tcPr>
          <w:p w14:paraId="6153BE97"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15</w:t>
            </w:r>
          </w:p>
        </w:tc>
        <w:tc>
          <w:tcPr>
            <w:tcW w:w="1035" w:type="pct"/>
          </w:tcPr>
          <w:p w14:paraId="64C39D51"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15/10/2025</w:t>
            </w:r>
          </w:p>
        </w:tc>
      </w:tr>
      <w:tr w:rsidR="00D0002F" w:rsidRPr="00F07361" w14:paraId="6C70A80D" w14:textId="77777777" w:rsidTr="001773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tcPr>
          <w:p w14:paraId="553804DD" w14:textId="77777777" w:rsidR="00D0002F" w:rsidRPr="00F07361" w:rsidRDefault="00D0002F" w:rsidP="00177379">
            <w:pPr>
              <w:pStyle w:val="TableText"/>
            </w:pPr>
            <w:r w:rsidRPr="00F07361">
              <w:t>SCOPUS</w:t>
            </w:r>
          </w:p>
        </w:tc>
        <w:tc>
          <w:tcPr>
            <w:tcW w:w="1270" w:type="pct"/>
          </w:tcPr>
          <w:p w14:paraId="611F7C88"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17</w:t>
            </w:r>
          </w:p>
        </w:tc>
        <w:tc>
          <w:tcPr>
            <w:tcW w:w="1035" w:type="pct"/>
          </w:tcPr>
          <w:p w14:paraId="0FF95CFA"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15/10/2025</w:t>
            </w:r>
          </w:p>
        </w:tc>
      </w:tr>
      <w:tr w:rsidR="00D0002F" w:rsidRPr="00F07361" w14:paraId="15656317" w14:textId="77777777" w:rsidTr="0017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tcPr>
          <w:p w14:paraId="38EBF4A2" w14:textId="77777777" w:rsidR="00D0002F" w:rsidRPr="00F07361" w:rsidRDefault="00D0002F" w:rsidP="00177379">
            <w:pPr>
              <w:pStyle w:val="TableText"/>
            </w:pPr>
            <w:r w:rsidRPr="00F07361">
              <w:t>Web of Science</w:t>
            </w:r>
          </w:p>
        </w:tc>
        <w:tc>
          <w:tcPr>
            <w:tcW w:w="1270" w:type="pct"/>
          </w:tcPr>
          <w:p w14:paraId="4F14B2B5"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20</w:t>
            </w:r>
          </w:p>
        </w:tc>
        <w:tc>
          <w:tcPr>
            <w:tcW w:w="1035" w:type="pct"/>
          </w:tcPr>
          <w:p w14:paraId="6818AB02"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15/10/2025</w:t>
            </w:r>
          </w:p>
        </w:tc>
      </w:tr>
      <w:tr w:rsidR="00D0002F" w:rsidRPr="00F07361" w14:paraId="1D2DC856" w14:textId="77777777" w:rsidTr="00177379">
        <w:trPr>
          <w:cnfStyle w:val="000000010000" w:firstRow="0" w:lastRow="0" w:firstColumn="0" w:lastColumn="0" w:oddVBand="0" w:evenVBand="0" w:oddHBand="0" w:evenHBand="1"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696" w:type="pct"/>
          </w:tcPr>
          <w:p w14:paraId="6D972A64" w14:textId="77777777" w:rsidR="00D0002F" w:rsidRPr="00F07361" w:rsidRDefault="00D0002F" w:rsidP="00177379">
            <w:pPr>
              <w:pStyle w:val="TableText"/>
            </w:pPr>
            <w:r w:rsidRPr="00F07361">
              <w:t>ProQuest Social Science Premium</w:t>
            </w:r>
          </w:p>
        </w:tc>
        <w:tc>
          <w:tcPr>
            <w:tcW w:w="1270" w:type="pct"/>
          </w:tcPr>
          <w:p w14:paraId="5B4231A4"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26</w:t>
            </w:r>
          </w:p>
        </w:tc>
        <w:tc>
          <w:tcPr>
            <w:tcW w:w="1035" w:type="pct"/>
          </w:tcPr>
          <w:p w14:paraId="15774F66"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15/10/2025</w:t>
            </w:r>
          </w:p>
        </w:tc>
      </w:tr>
      <w:tr w:rsidR="00D0002F" w:rsidRPr="00F07361" w14:paraId="5B36D75E" w14:textId="77777777" w:rsidTr="0017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tcBorders>
              <w:bottom w:val="single" w:sz="4" w:space="0" w:color="C0C0C0" w:themeColor="accent5"/>
            </w:tcBorders>
          </w:tcPr>
          <w:p w14:paraId="006B3B47" w14:textId="77777777" w:rsidR="00D0002F" w:rsidRPr="00F07361" w:rsidRDefault="00D0002F" w:rsidP="00177379">
            <w:pPr>
              <w:pStyle w:val="TableText"/>
            </w:pPr>
            <w:r w:rsidRPr="00F07361">
              <w:t>Medline</w:t>
            </w:r>
          </w:p>
        </w:tc>
        <w:tc>
          <w:tcPr>
            <w:tcW w:w="1270" w:type="pct"/>
            <w:tcBorders>
              <w:bottom w:val="single" w:sz="4" w:space="0" w:color="C0C0C0" w:themeColor="accent5"/>
            </w:tcBorders>
          </w:tcPr>
          <w:p w14:paraId="2CCDB077"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7</w:t>
            </w:r>
          </w:p>
        </w:tc>
        <w:tc>
          <w:tcPr>
            <w:tcW w:w="1035" w:type="pct"/>
            <w:tcBorders>
              <w:bottom w:val="single" w:sz="4" w:space="0" w:color="C0C0C0" w:themeColor="accent5"/>
            </w:tcBorders>
          </w:tcPr>
          <w:p w14:paraId="69F79C5F"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15/10/2025</w:t>
            </w:r>
          </w:p>
        </w:tc>
      </w:tr>
      <w:tr w:rsidR="00D0002F" w:rsidRPr="00F07361" w14:paraId="0D5D535B" w14:textId="77777777" w:rsidTr="001773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tcBorders>
              <w:bottom w:val="single" w:sz="4" w:space="0" w:color="C0C0C0" w:themeColor="accent5"/>
            </w:tcBorders>
          </w:tcPr>
          <w:p w14:paraId="61F11421" w14:textId="77777777" w:rsidR="00D0002F" w:rsidRPr="00F07361" w:rsidRDefault="00D0002F" w:rsidP="00177379">
            <w:pPr>
              <w:pStyle w:val="TableText"/>
            </w:pPr>
            <w:r w:rsidRPr="00F07361">
              <w:t>CINAHL Ultimate</w:t>
            </w:r>
          </w:p>
        </w:tc>
        <w:tc>
          <w:tcPr>
            <w:tcW w:w="1270" w:type="pct"/>
            <w:tcBorders>
              <w:bottom w:val="single" w:sz="4" w:space="0" w:color="C0C0C0" w:themeColor="accent5"/>
            </w:tcBorders>
          </w:tcPr>
          <w:p w14:paraId="789E0DCD"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18</w:t>
            </w:r>
          </w:p>
        </w:tc>
        <w:tc>
          <w:tcPr>
            <w:tcW w:w="1035" w:type="pct"/>
            <w:tcBorders>
              <w:bottom w:val="single" w:sz="4" w:space="0" w:color="C0C0C0" w:themeColor="accent5"/>
            </w:tcBorders>
          </w:tcPr>
          <w:p w14:paraId="62846D2D"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15/10/2025</w:t>
            </w:r>
          </w:p>
        </w:tc>
      </w:tr>
    </w:tbl>
    <w:p w14:paraId="318D39B4" w14:textId="77777777" w:rsidR="00D0002F" w:rsidRPr="00177379" w:rsidRDefault="00D0002F" w:rsidP="00D0002F">
      <w:pPr>
        <w:rPr>
          <w:b/>
          <w:bCs/>
        </w:rPr>
      </w:pPr>
      <w:r w:rsidRPr="00177379">
        <w:rPr>
          <w:b/>
          <w:bCs/>
        </w:rPr>
        <w:t>DATABASE RESULTS</w:t>
      </w:r>
    </w:p>
    <w:p w14:paraId="11EB8E01" w14:textId="77777777" w:rsidR="00D0002F" w:rsidRPr="00177379" w:rsidRDefault="00D0002F" w:rsidP="00D0002F">
      <w:pPr>
        <w:rPr>
          <w:i/>
          <w:iCs/>
        </w:rPr>
      </w:pPr>
      <w:r w:rsidRPr="00177379">
        <w:rPr>
          <w:i/>
          <w:iCs/>
        </w:rPr>
        <w:t>DATABASE: PsycINFO</w:t>
      </w:r>
    </w:p>
    <w:tbl>
      <w:tblPr>
        <w:tblStyle w:val="CIETable"/>
        <w:tblW w:w="5000" w:type="pct"/>
        <w:tblLook w:val="04A0" w:firstRow="1" w:lastRow="0" w:firstColumn="1" w:lastColumn="0" w:noHBand="0" w:noVBand="1"/>
      </w:tblPr>
      <w:tblGrid>
        <w:gridCol w:w="1192"/>
        <w:gridCol w:w="7246"/>
        <w:gridCol w:w="1190"/>
      </w:tblGrid>
      <w:tr w:rsidR="00D0002F" w:rsidRPr="00177379" w14:paraId="30AF0B48" w14:textId="77777777" w:rsidTr="00D209F1">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619" w:type="pct"/>
            <w:noWrap/>
            <w:hideMark/>
          </w:tcPr>
          <w:p w14:paraId="14B36726" w14:textId="6B5B223F" w:rsidR="00D0002F" w:rsidRPr="00177379" w:rsidRDefault="00D0002F" w:rsidP="00177379">
            <w:pPr>
              <w:pStyle w:val="TableHeading"/>
            </w:pPr>
            <w:r w:rsidRPr="00177379">
              <w:t> </w:t>
            </w:r>
            <w:r w:rsidR="00812F7C">
              <w:t>No.</w:t>
            </w:r>
          </w:p>
        </w:tc>
        <w:tc>
          <w:tcPr>
            <w:tcW w:w="3763" w:type="pct"/>
            <w:hideMark/>
          </w:tcPr>
          <w:p w14:paraId="4188EBC8" w14:textId="77777777" w:rsidR="00D0002F" w:rsidRPr="00177379" w:rsidRDefault="00D0002F" w:rsidP="00177379">
            <w:pPr>
              <w:pStyle w:val="TableHeading"/>
              <w:cnfStyle w:val="100000000000" w:firstRow="1" w:lastRow="0" w:firstColumn="0" w:lastColumn="0" w:oddVBand="0" w:evenVBand="0" w:oddHBand="0" w:evenHBand="0" w:firstRowFirstColumn="0" w:firstRowLastColumn="0" w:lastRowFirstColumn="0" w:lastRowLastColumn="0"/>
            </w:pPr>
            <w:r w:rsidRPr="00177379">
              <w:t>APA PsycInfo &lt;1806 to October 2025 Week 1&gt;</w:t>
            </w:r>
          </w:p>
        </w:tc>
        <w:tc>
          <w:tcPr>
            <w:tcW w:w="619" w:type="pct"/>
            <w:noWrap/>
            <w:hideMark/>
          </w:tcPr>
          <w:p w14:paraId="3CCA1C5E" w14:textId="3C96D874" w:rsidR="00D0002F" w:rsidRPr="00177379" w:rsidRDefault="00D0002F" w:rsidP="00177379">
            <w:pPr>
              <w:pStyle w:val="TableHeading"/>
              <w:cnfStyle w:val="100000000000" w:firstRow="1" w:lastRow="0" w:firstColumn="0" w:lastColumn="0" w:oddVBand="0" w:evenVBand="0" w:oddHBand="0" w:evenHBand="0" w:firstRowFirstColumn="0" w:firstRowLastColumn="0" w:lastRowFirstColumn="0" w:lastRowLastColumn="0"/>
            </w:pPr>
            <w:r w:rsidRPr="00177379">
              <w:t> </w:t>
            </w:r>
            <w:r w:rsidR="00812F7C">
              <w:t>Re</w:t>
            </w:r>
            <w:r w:rsidR="000B3A18">
              <w:t>sult</w:t>
            </w:r>
          </w:p>
        </w:tc>
      </w:tr>
      <w:tr w:rsidR="00D0002F" w:rsidRPr="00F07361" w14:paraId="439157F6" w14:textId="77777777" w:rsidTr="00177379">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4650876C" w14:textId="77777777" w:rsidR="00D0002F" w:rsidRPr="00F07361" w:rsidRDefault="00D0002F" w:rsidP="00177379">
            <w:pPr>
              <w:pStyle w:val="TableText"/>
            </w:pPr>
            <w:r w:rsidRPr="00F07361">
              <w:t>1</w:t>
            </w:r>
          </w:p>
        </w:tc>
        <w:tc>
          <w:tcPr>
            <w:tcW w:w="3763" w:type="pct"/>
            <w:hideMark/>
          </w:tcPr>
          <w:p w14:paraId="1A6811E7"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exp intellectual development disorder/</w:t>
            </w:r>
          </w:p>
        </w:tc>
        <w:tc>
          <w:tcPr>
            <w:tcW w:w="619" w:type="pct"/>
            <w:noWrap/>
            <w:hideMark/>
          </w:tcPr>
          <w:p w14:paraId="25839254"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52490</w:t>
            </w:r>
          </w:p>
        </w:tc>
      </w:tr>
      <w:tr w:rsidR="00D0002F" w:rsidRPr="00F07361" w14:paraId="70D1A99E" w14:textId="77777777" w:rsidTr="00177379">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39E86217" w14:textId="77777777" w:rsidR="00D0002F" w:rsidRPr="00F07361" w:rsidRDefault="00D0002F" w:rsidP="00177379">
            <w:pPr>
              <w:pStyle w:val="TableText"/>
            </w:pPr>
            <w:r w:rsidRPr="00F07361">
              <w:t>2</w:t>
            </w:r>
          </w:p>
        </w:tc>
        <w:tc>
          <w:tcPr>
            <w:tcW w:w="3763" w:type="pct"/>
            <w:hideMark/>
          </w:tcPr>
          <w:p w14:paraId="2307F183"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(((Intellectual or Developmental* or learning) adj2 disabilit*) or "intellectual impairment*" or "developmental disorder").tw,id.</w:t>
            </w:r>
          </w:p>
        </w:tc>
        <w:tc>
          <w:tcPr>
            <w:tcW w:w="619" w:type="pct"/>
            <w:noWrap/>
            <w:hideMark/>
          </w:tcPr>
          <w:p w14:paraId="02C8EA50"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57832</w:t>
            </w:r>
          </w:p>
        </w:tc>
      </w:tr>
      <w:tr w:rsidR="00D0002F" w:rsidRPr="00F07361" w14:paraId="4A4976E2" w14:textId="77777777" w:rsidTr="00177379">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36651933" w14:textId="77777777" w:rsidR="00D0002F" w:rsidRPr="00F07361" w:rsidRDefault="00D0002F" w:rsidP="00177379">
            <w:pPr>
              <w:pStyle w:val="TableText"/>
            </w:pPr>
            <w:r w:rsidRPr="00F07361">
              <w:t>3</w:t>
            </w:r>
          </w:p>
        </w:tc>
        <w:tc>
          <w:tcPr>
            <w:tcW w:w="3763" w:type="pct"/>
            <w:hideMark/>
          </w:tcPr>
          <w:p w14:paraId="5F847B3D"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 or 2</w:t>
            </w:r>
          </w:p>
        </w:tc>
        <w:tc>
          <w:tcPr>
            <w:tcW w:w="619" w:type="pct"/>
            <w:noWrap/>
            <w:hideMark/>
          </w:tcPr>
          <w:p w14:paraId="7878B876"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90499</w:t>
            </w:r>
          </w:p>
        </w:tc>
      </w:tr>
      <w:tr w:rsidR="00D0002F" w:rsidRPr="00F07361" w14:paraId="628A6AE4" w14:textId="77777777" w:rsidTr="00177379">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7F62AB37" w14:textId="77777777" w:rsidR="00D0002F" w:rsidRPr="00F07361" w:rsidRDefault="00D0002F" w:rsidP="00177379">
            <w:pPr>
              <w:pStyle w:val="TableText"/>
            </w:pPr>
            <w:r w:rsidRPr="00F07361">
              <w:t>4</w:t>
            </w:r>
          </w:p>
        </w:tc>
        <w:tc>
          <w:tcPr>
            <w:tcW w:w="3763" w:type="pct"/>
            <w:hideMark/>
          </w:tcPr>
          <w:p w14:paraId="074F6B7F"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supported employment/</w:t>
            </w:r>
          </w:p>
        </w:tc>
        <w:tc>
          <w:tcPr>
            <w:tcW w:w="619" w:type="pct"/>
            <w:noWrap/>
            <w:hideMark/>
          </w:tcPr>
          <w:p w14:paraId="0CDBAD0C"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1671</w:t>
            </w:r>
          </w:p>
        </w:tc>
      </w:tr>
      <w:tr w:rsidR="00D0002F" w:rsidRPr="00F07361" w14:paraId="102FAF57" w14:textId="77777777" w:rsidTr="00177379">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73339C3E" w14:textId="77777777" w:rsidR="00D0002F" w:rsidRPr="00F07361" w:rsidRDefault="00D0002F" w:rsidP="00177379">
            <w:pPr>
              <w:pStyle w:val="TableText"/>
            </w:pPr>
            <w:r w:rsidRPr="00F07361">
              <w:t>5</w:t>
            </w:r>
          </w:p>
        </w:tc>
        <w:tc>
          <w:tcPr>
            <w:tcW w:w="3763" w:type="pct"/>
            <w:hideMark/>
          </w:tcPr>
          <w:p w14:paraId="1DFDFA8D"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((Customiz* or Customis* or supported or inclusive or mainstream or open or conventional or integrated) adj3 (employment* or job* or work*)).tw,id.</w:t>
            </w:r>
          </w:p>
        </w:tc>
        <w:tc>
          <w:tcPr>
            <w:tcW w:w="619" w:type="pct"/>
            <w:noWrap/>
            <w:hideMark/>
          </w:tcPr>
          <w:p w14:paraId="3381A8A6"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8976</w:t>
            </w:r>
          </w:p>
        </w:tc>
      </w:tr>
      <w:tr w:rsidR="00D0002F" w:rsidRPr="00F07361" w14:paraId="5DDB8849" w14:textId="77777777" w:rsidTr="00177379">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10665794" w14:textId="77777777" w:rsidR="00D0002F" w:rsidRPr="00F07361" w:rsidRDefault="00D0002F" w:rsidP="00177379">
            <w:pPr>
              <w:pStyle w:val="TableText"/>
            </w:pPr>
            <w:r w:rsidRPr="00F07361">
              <w:t>6</w:t>
            </w:r>
          </w:p>
        </w:tc>
        <w:tc>
          <w:tcPr>
            <w:tcW w:w="3763" w:type="pct"/>
            <w:hideMark/>
          </w:tcPr>
          <w:p w14:paraId="413A7A5E"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4 or 5</w:t>
            </w:r>
          </w:p>
        </w:tc>
        <w:tc>
          <w:tcPr>
            <w:tcW w:w="619" w:type="pct"/>
            <w:noWrap/>
            <w:hideMark/>
          </w:tcPr>
          <w:p w14:paraId="7B754B6D"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9395</w:t>
            </w:r>
          </w:p>
        </w:tc>
      </w:tr>
      <w:tr w:rsidR="00D0002F" w:rsidRPr="00F07361" w14:paraId="7EAAC66F" w14:textId="77777777" w:rsidTr="00177379">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4A0843BE" w14:textId="77777777" w:rsidR="00D0002F" w:rsidRPr="00F07361" w:rsidRDefault="00D0002F" w:rsidP="00177379">
            <w:pPr>
              <w:pStyle w:val="TableText"/>
            </w:pPr>
            <w:r w:rsidRPr="00F07361">
              <w:t>7</w:t>
            </w:r>
          </w:p>
        </w:tc>
        <w:tc>
          <w:tcPr>
            <w:tcW w:w="3763" w:type="pct"/>
            <w:hideMark/>
          </w:tcPr>
          <w:p w14:paraId="3A1BA717"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exp Vocational Education/</w:t>
            </w:r>
          </w:p>
        </w:tc>
        <w:tc>
          <w:tcPr>
            <w:tcW w:w="619" w:type="pct"/>
            <w:noWrap/>
            <w:hideMark/>
          </w:tcPr>
          <w:p w14:paraId="51E5F9BE"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3729</w:t>
            </w:r>
          </w:p>
        </w:tc>
      </w:tr>
      <w:tr w:rsidR="00D0002F" w:rsidRPr="00F07361" w14:paraId="52A4B2E0" w14:textId="77777777" w:rsidTr="00177379">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788B9D69" w14:textId="77777777" w:rsidR="00D0002F" w:rsidRPr="00F07361" w:rsidRDefault="00D0002F" w:rsidP="00177379">
            <w:pPr>
              <w:pStyle w:val="TableText"/>
            </w:pPr>
            <w:r w:rsidRPr="00F07361">
              <w:t>8</w:t>
            </w:r>
          </w:p>
        </w:tc>
        <w:tc>
          <w:tcPr>
            <w:tcW w:w="3763" w:type="pct"/>
            <w:hideMark/>
          </w:tcPr>
          <w:p w14:paraId="1F22C68C"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(Procurement or "supply chain*" or "Targeted purchas*" or "Supplier diversity" or 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((Competency* or industry or workforce or accredited or vocational or registered) adj2 training)).tw,id.</w:t>
            </w:r>
          </w:p>
        </w:tc>
        <w:tc>
          <w:tcPr>
            <w:tcW w:w="619" w:type="pct"/>
            <w:noWrap/>
            <w:hideMark/>
          </w:tcPr>
          <w:p w14:paraId="1427B703"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23689</w:t>
            </w:r>
          </w:p>
        </w:tc>
      </w:tr>
      <w:tr w:rsidR="00D0002F" w:rsidRPr="00F07361" w14:paraId="637FE350" w14:textId="77777777" w:rsidTr="00177379">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136F0B7A" w14:textId="77777777" w:rsidR="00D0002F" w:rsidRPr="00F07361" w:rsidRDefault="00D0002F" w:rsidP="00177379">
            <w:pPr>
              <w:pStyle w:val="TableText"/>
            </w:pPr>
            <w:r w:rsidRPr="00F07361">
              <w:lastRenderedPageBreak/>
              <w:t>9</w:t>
            </w:r>
          </w:p>
        </w:tc>
        <w:tc>
          <w:tcPr>
            <w:tcW w:w="3763" w:type="pct"/>
            <w:hideMark/>
          </w:tcPr>
          <w:p w14:paraId="26180177"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7 or 8</w:t>
            </w:r>
          </w:p>
        </w:tc>
        <w:tc>
          <w:tcPr>
            <w:tcW w:w="619" w:type="pct"/>
            <w:noWrap/>
            <w:hideMark/>
          </w:tcPr>
          <w:p w14:paraId="01FD0A46"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25553</w:t>
            </w:r>
          </w:p>
        </w:tc>
      </w:tr>
      <w:tr w:rsidR="00D0002F" w:rsidRPr="00F07361" w14:paraId="44941059" w14:textId="77777777" w:rsidTr="00177379">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3C4063A2" w14:textId="77777777" w:rsidR="00D0002F" w:rsidRPr="00F07361" w:rsidRDefault="00D0002F" w:rsidP="00177379">
            <w:pPr>
              <w:pStyle w:val="TableText"/>
            </w:pPr>
            <w:r w:rsidRPr="00F07361">
              <w:t>10</w:t>
            </w:r>
          </w:p>
        </w:tc>
        <w:tc>
          <w:tcPr>
            <w:tcW w:w="3763" w:type="pct"/>
            <w:hideMark/>
          </w:tcPr>
          <w:p w14:paraId="0D3B1A17"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3 and 6 and 9</w:t>
            </w:r>
          </w:p>
        </w:tc>
        <w:tc>
          <w:tcPr>
            <w:tcW w:w="619" w:type="pct"/>
            <w:noWrap/>
            <w:hideMark/>
          </w:tcPr>
          <w:p w14:paraId="2F64AED6" w14:textId="77777777" w:rsidR="00D0002F" w:rsidRPr="00F07361" w:rsidRDefault="00D0002F" w:rsidP="00177379">
            <w:pPr>
              <w:pStyle w:val="TableText"/>
              <w:cnfStyle w:val="000000010000" w:firstRow="0" w:lastRow="0" w:firstColumn="0" w:lastColumn="0" w:oddVBand="0" w:evenVBand="0" w:oddHBand="0" w:evenHBand="1" w:firstRowFirstColumn="0" w:firstRowLastColumn="0" w:lastRowFirstColumn="0" w:lastRowLastColumn="0"/>
            </w:pPr>
            <w:r w:rsidRPr="00F07361">
              <w:t>34</w:t>
            </w:r>
          </w:p>
        </w:tc>
      </w:tr>
      <w:tr w:rsidR="00D0002F" w:rsidRPr="00F07361" w14:paraId="37680D6B" w14:textId="77777777" w:rsidTr="00177379">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19" w:type="pct"/>
            <w:noWrap/>
            <w:hideMark/>
          </w:tcPr>
          <w:p w14:paraId="7F44008B" w14:textId="77777777" w:rsidR="00D0002F" w:rsidRPr="00F07361" w:rsidRDefault="00D0002F" w:rsidP="00177379">
            <w:pPr>
              <w:pStyle w:val="TableText"/>
            </w:pPr>
            <w:r w:rsidRPr="00F07361">
              <w:t>11</w:t>
            </w:r>
          </w:p>
        </w:tc>
        <w:tc>
          <w:tcPr>
            <w:tcW w:w="3763" w:type="pct"/>
            <w:hideMark/>
          </w:tcPr>
          <w:p w14:paraId="6ED5C902"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limit 10 to (english language and yr="2015 -Current")</w:t>
            </w:r>
          </w:p>
        </w:tc>
        <w:tc>
          <w:tcPr>
            <w:tcW w:w="619" w:type="pct"/>
            <w:noWrap/>
            <w:hideMark/>
          </w:tcPr>
          <w:p w14:paraId="1A8D3CF4" w14:textId="77777777" w:rsidR="00D0002F" w:rsidRPr="00F07361" w:rsidRDefault="00D0002F" w:rsidP="00177379">
            <w:pPr>
              <w:pStyle w:val="TableText"/>
              <w:cnfStyle w:val="000000100000" w:firstRow="0" w:lastRow="0" w:firstColumn="0" w:lastColumn="0" w:oddVBand="0" w:evenVBand="0" w:oddHBand="1" w:evenHBand="0" w:firstRowFirstColumn="0" w:firstRowLastColumn="0" w:lastRowFirstColumn="0" w:lastRowLastColumn="0"/>
            </w:pPr>
            <w:r w:rsidRPr="00F07361">
              <w:t>15</w:t>
            </w:r>
          </w:p>
        </w:tc>
      </w:tr>
    </w:tbl>
    <w:p w14:paraId="2DD7A53A" w14:textId="77777777" w:rsidR="00D0002F" w:rsidRPr="00F07361" w:rsidRDefault="00D0002F" w:rsidP="00D0002F">
      <w:r w:rsidRPr="00F07361">
        <w:t xml:space="preserve">(Procurement OR "supply chain*" OR "Targeted purchas*" OR "Supplier diversity" OR </w:t>
      </w:r>
    </w:p>
    <w:p w14:paraId="44EA765D" w14:textId="77777777" w:rsidR="00D0002F" w:rsidRPr="00F07361" w:rsidRDefault="00D0002F" w:rsidP="00D0002F">
      <w:r w:rsidRPr="00F07361">
        <w:t>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((Competency* OR industry OR workforce OR accredited OR vocational OR registered) NEAR/2 (training)))</w:t>
      </w:r>
    </w:p>
    <w:p w14:paraId="2EE73FE8" w14:textId="77777777" w:rsidR="00D0002F" w:rsidRPr="00177379" w:rsidRDefault="00D0002F" w:rsidP="00D0002F">
      <w:pPr>
        <w:rPr>
          <w:i/>
          <w:iCs/>
        </w:rPr>
      </w:pPr>
      <w:r w:rsidRPr="00177379">
        <w:rPr>
          <w:i/>
          <w:iCs/>
        </w:rPr>
        <w:t>DATABASE: Scopus</w:t>
      </w:r>
    </w:p>
    <w:p w14:paraId="1AC2D57D" w14:textId="0AEBB284" w:rsidR="00D0002F" w:rsidRDefault="00D0002F" w:rsidP="00D0002F">
      <w:r w:rsidRPr="00F07361">
        <w:t>( TITLE-ABS-KEY ( ( ( Customiz* OR Customis* OR supported OR inclusive OR mainstream OR open OR conventional OR intergrated OR supported ) W/3 ( employment OR job* OR work* ) ) ) AND TITLE-ABS-KEY ( ( ( ( Intellectual OR Developmental* OR learning ) W/2 disabilit* ) OR "intellectual impairment*" OR "developmental disorder" ) ) AND TITLE-ABS-KEY ( ( Procurement OR "supply chain*" OR "Targeted purchas*" OR "Supplier diversity" OR 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 ( Competency* OR industry OR workforce OR accredited OR vocational OR registered ) W/2 ( training ) ) ) ) ) AND PUBYEAR &gt; 2014 AND PUBYEAR &lt; 2026</w:t>
      </w:r>
    </w:p>
    <w:p w14:paraId="3F84DA87" w14:textId="77777777" w:rsidR="00D0002F" w:rsidRPr="00177379" w:rsidRDefault="00D0002F" w:rsidP="00D0002F">
      <w:pPr>
        <w:rPr>
          <w:i/>
          <w:iCs/>
        </w:rPr>
      </w:pPr>
      <w:r w:rsidRPr="00177379">
        <w:rPr>
          <w:i/>
          <w:iCs/>
        </w:rPr>
        <w:t>DATABASE: Web of Science</w:t>
      </w:r>
    </w:p>
    <w:p w14:paraId="77021993" w14:textId="49038C42" w:rsidR="00D0002F" w:rsidRDefault="00D0002F" w:rsidP="00D0002F">
      <w:r w:rsidRPr="00F07361">
        <w:t xml:space="preserve">((((Intellectual OR Developmental* OR learning ) NEAR/2 disabilit* ) OR "intellectual impairment*" OR "developmental disorder" ) AND ( ( Customiz* OR </w:t>
      </w:r>
      <w:r w:rsidRPr="00F07361">
        <w:lastRenderedPageBreak/>
        <w:t>Customis* OR supported OR inclusive OR mainstream OR open OR conventional or integrated) NEAR/3 ( employment* OR job* OR work* ) ) AND (Procurement OR "supply chain*" OR "Targeted purchas*" OR "Supplier diversity" OR 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((Competency* OR industry OR workforce OR accredited OR vocational OR registered) NEAR/2 (training)))) (Title) or ((((Intellectual OR Developmental* OR learning ) NEAR/2 disabilit* ) OR "intellectual impairment*" OR "developmental disorder" ) AND ( ( Customiz* OR Customis* OR supported OR inclusive OR mainstream OR open OR conventional or integrated) NEAR/3 ( employment* OR job* OR work* ) ) AND (Procurement OR "supply chain*" OR "Targeted purchas*" OR "Supplier diversity" OR 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((Competency* OR industry OR workforce OR accredited OR vocational OR registered) NEAR/2 (training)))) (Abstract) or ((((Intellectual OR Developmental* OR learning ) NEAR/2 disabilit* ) OR "intellectual impairment*" OR "developmental disorder" ) AND ( ( Customiz* OR Customis* OR supported OR inclusive OR mainstream OR open OR conventional or integrated) NEAR/3 ( employment* OR job* OR work* ) ) AND (Procurement OR "supply chain*" OR "Targeted purchas*" OR "Supplier diversity" OR 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((Competency* OR industry OR workforce OR accredited OR vocational OR registered) NEAR/2 (training)))) (Author Keywords)</w:t>
      </w:r>
    </w:p>
    <w:p w14:paraId="269C1FD4" w14:textId="77777777" w:rsidR="00D0002F" w:rsidRPr="009D2E78" w:rsidRDefault="00D0002F" w:rsidP="00D0002F">
      <w:pPr>
        <w:rPr>
          <w:i/>
          <w:iCs/>
        </w:rPr>
      </w:pPr>
      <w:r w:rsidRPr="009D2E78">
        <w:rPr>
          <w:i/>
          <w:iCs/>
        </w:rPr>
        <w:t>DATABASE: ProQuest Social Sciences Premium</w:t>
      </w:r>
    </w:p>
    <w:p w14:paraId="4BFE3ADF" w14:textId="1FDD615B" w:rsidR="00D0002F" w:rsidRDefault="00D0002F" w:rsidP="00D0002F">
      <w:r w:rsidRPr="00F07361">
        <w:lastRenderedPageBreak/>
        <w:t>noft((((Intellectual OR Developmental* OR learning ) NEAR/2 disabilit* ) OR "intellectual impairment*" OR "developmental disorder" ) AND ( ( Customiz* OR Customis* OR supported OR inclusive OR mainstream OR open OR conventional or integrated) NEAR/3 ( employment* OR job* OR work* ) ) AND (Procurement OR "supply chain*" OR "Targeted purchas*" OR "Supplier diversity" OR 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((Competency* OR industry OR workforce OR accredited OR vocational OR registered) NEAR/2 (training))))</w:t>
      </w:r>
    </w:p>
    <w:p w14:paraId="73255B58" w14:textId="77777777" w:rsidR="00D0002F" w:rsidRPr="009D2E78" w:rsidRDefault="00D0002F" w:rsidP="00D0002F">
      <w:pPr>
        <w:rPr>
          <w:i/>
          <w:iCs/>
        </w:rPr>
      </w:pPr>
      <w:r w:rsidRPr="009D2E78">
        <w:rPr>
          <w:i/>
          <w:iCs/>
        </w:rPr>
        <w:t>DATABASE: Base Search</w:t>
      </w:r>
    </w:p>
    <w:p w14:paraId="7B2E331B" w14:textId="77777777" w:rsidR="00D0002F" w:rsidRPr="00F07361" w:rsidRDefault="00D0002F" w:rsidP="00D0002F">
      <w:r w:rsidRPr="00F07361">
        <w:t>((((Intellectual OR Developmental* OR learning ) NEAR/2 disabilit* ) OR "intellectual impairment*" OR "developmental disorder" ) AND ( ( Customiz* OR Customis* OR supported OR inclusive OR mainstream OR open OR conventional or integrated) NEAR/3 ( employment* OR job* OR work* ) ) AND (Procurement OR "supply chain*" OR "Targeted purchas*" OR "Supplier diversity" OR 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((Competency* OR industry OR workforce OR accredited OR vocational OR registered) NEAR/2 (training))))</w:t>
      </w:r>
    </w:p>
    <w:p w14:paraId="366B817B" w14:textId="77777777" w:rsidR="00D0002F" w:rsidRPr="009D2E78" w:rsidRDefault="00D0002F" w:rsidP="00D0002F">
      <w:pPr>
        <w:rPr>
          <w:i/>
          <w:iCs/>
        </w:rPr>
      </w:pPr>
      <w:r w:rsidRPr="009D2E78">
        <w:rPr>
          <w:i/>
          <w:iCs/>
        </w:rPr>
        <w:t>DATABASE: Medline</w:t>
      </w:r>
    </w:p>
    <w:tbl>
      <w:tblPr>
        <w:tblStyle w:val="CIETable"/>
        <w:tblW w:w="5000" w:type="pct"/>
        <w:tblLook w:val="04A0" w:firstRow="1" w:lastRow="0" w:firstColumn="1" w:lastColumn="0" w:noHBand="0" w:noVBand="1"/>
      </w:tblPr>
      <w:tblGrid>
        <w:gridCol w:w="700"/>
        <w:gridCol w:w="7389"/>
        <w:gridCol w:w="1539"/>
      </w:tblGrid>
      <w:tr w:rsidR="00D0002F" w:rsidRPr="00F07361" w14:paraId="7474FD14" w14:textId="77777777" w:rsidTr="00D209F1">
        <w:trPr>
          <w:cnfStyle w:val="100000000000" w:firstRow="1" w:lastRow="0" w:firstColumn="0" w:lastColumn="0" w:oddVBand="0" w:evenVBand="0" w:oddHBand="0" w:evenHBand="0" w:firstRowFirstColumn="0" w:firstRowLastColumn="0" w:lastRowFirstColumn="0" w:lastRowLastColumn="0"/>
          <w:trHeight w:val="1200"/>
          <w:tblHeader/>
        </w:trPr>
        <w:tc>
          <w:tcPr>
            <w:cnfStyle w:val="001000000000" w:firstRow="0" w:lastRow="0" w:firstColumn="1" w:lastColumn="0" w:oddVBand="0" w:evenVBand="0" w:oddHBand="0" w:evenHBand="0" w:firstRowFirstColumn="0" w:firstRowLastColumn="0" w:lastRowFirstColumn="0" w:lastRowLastColumn="0"/>
            <w:tcW w:w="364" w:type="pct"/>
            <w:noWrap/>
            <w:hideMark/>
          </w:tcPr>
          <w:p w14:paraId="55530A19" w14:textId="67C6AED2" w:rsidR="00D0002F" w:rsidRPr="00F07361" w:rsidRDefault="00D0002F" w:rsidP="009D2E78">
            <w:pPr>
              <w:pStyle w:val="TableHeading"/>
            </w:pPr>
            <w:r w:rsidRPr="00F07361">
              <w:t> </w:t>
            </w:r>
            <w:r w:rsidR="00812F7C">
              <w:t>No.</w:t>
            </w:r>
          </w:p>
        </w:tc>
        <w:tc>
          <w:tcPr>
            <w:tcW w:w="3837" w:type="pct"/>
            <w:hideMark/>
          </w:tcPr>
          <w:p w14:paraId="6DB746AF" w14:textId="77777777" w:rsidR="00D0002F" w:rsidRPr="00F07361" w:rsidRDefault="00D0002F" w:rsidP="009D2E78">
            <w:pPr>
              <w:pStyle w:val="TableHeading"/>
              <w:cnfStyle w:val="100000000000" w:firstRow="1" w:lastRow="0" w:firstColumn="0" w:lastColumn="0" w:oddVBand="0" w:evenVBand="0" w:oddHBand="0" w:evenHBand="0" w:firstRowFirstColumn="0" w:firstRowLastColumn="0" w:lastRowFirstColumn="0" w:lastRowLastColumn="0"/>
            </w:pPr>
            <w:r w:rsidRPr="00F07361">
              <w:t>Ovid MEDLINE(R) and Epub Ahead of Print, In-Process, In-Data-Review &amp; Other Non-Indexed Citations, Daily and Versions &lt;1946 to October 13, 2025&gt;</w:t>
            </w:r>
          </w:p>
        </w:tc>
        <w:tc>
          <w:tcPr>
            <w:tcW w:w="799" w:type="pct"/>
            <w:noWrap/>
            <w:hideMark/>
          </w:tcPr>
          <w:p w14:paraId="2B1F8D1B" w14:textId="4DF50E13" w:rsidR="00D0002F" w:rsidRPr="00F07361" w:rsidRDefault="00D0002F" w:rsidP="009D2E78">
            <w:pPr>
              <w:pStyle w:val="TableHeading"/>
              <w:cnfStyle w:val="100000000000" w:firstRow="1" w:lastRow="0" w:firstColumn="0" w:lastColumn="0" w:oddVBand="0" w:evenVBand="0" w:oddHBand="0" w:evenHBand="0" w:firstRowFirstColumn="0" w:firstRowLastColumn="0" w:lastRowFirstColumn="0" w:lastRowLastColumn="0"/>
            </w:pPr>
            <w:r w:rsidRPr="00F07361">
              <w:t> </w:t>
            </w:r>
            <w:r w:rsidR="00812F7C">
              <w:t>Re</w:t>
            </w:r>
            <w:r w:rsidR="00D209F1">
              <w:t>sult</w:t>
            </w:r>
          </w:p>
        </w:tc>
      </w:tr>
      <w:tr w:rsidR="00D0002F" w:rsidRPr="00F07361" w14:paraId="1CB5D545" w14:textId="77777777" w:rsidTr="00D209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782A2699" w14:textId="77777777" w:rsidR="00D0002F" w:rsidRPr="009D2E78" w:rsidRDefault="00D0002F" w:rsidP="009D2E78">
            <w:pPr>
              <w:pStyle w:val="TableText"/>
            </w:pPr>
            <w:r w:rsidRPr="009D2E78">
              <w:t>1</w:t>
            </w:r>
          </w:p>
        </w:tc>
        <w:tc>
          <w:tcPr>
            <w:tcW w:w="3837" w:type="pct"/>
            <w:hideMark/>
          </w:tcPr>
          <w:p w14:paraId="0417A144"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exp Intellectual Disability/</w:t>
            </w:r>
          </w:p>
        </w:tc>
        <w:tc>
          <w:tcPr>
            <w:tcW w:w="799" w:type="pct"/>
            <w:noWrap/>
            <w:hideMark/>
          </w:tcPr>
          <w:p w14:paraId="19924D8D"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110911</w:t>
            </w:r>
          </w:p>
        </w:tc>
      </w:tr>
      <w:tr w:rsidR="00D0002F" w:rsidRPr="00F07361" w14:paraId="2BD93B1B" w14:textId="77777777" w:rsidTr="00D209F1">
        <w:trPr>
          <w:cnfStyle w:val="000000010000" w:firstRow="0" w:lastRow="0" w:firstColumn="0" w:lastColumn="0" w:oddVBand="0" w:evenVBand="0" w:oddHBand="0" w:evenHBand="1"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06C370A4" w14:textId="77777777" w:rsidR="00D0002F" w:rsidRPr="009D2E78" w:rsidRDefault="00D0002F" w:rsidP="009D2E78">
            <w:pPr>
              <w:pStyle w:val="TableText"/>
            </w:pPr>
            <w:r w:rsidRPr="009D2E78">
              <w:t>2</w:t>
            </w:r>
          </w:p>
        </w:tc>
        <w:tc>
          <w:tcPr>
            <w:tcW w:w="3837" w:type="pct"/>
            <w:hideMark/>
          </w:tcPr>
          <w:p w14:paraId="12C4FC60" w14:textId="77777777" w:rsidR="00D0002F" w:rsidRPr="009D2E78"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9D2E78">
              <w:t>(((Intellectual or Developmental* or learning) adj2 disabilit*) or "intellectual impairment*" or "developmental disorder").tw,kf.</w:t>
            </w:r>
          </w:p>
        </w:tc>
        <w:tc>
          <w:tcPr>
            <w:tcW w:w="799" w:type="pct"/>
            <w:noWrap/>
            <w:hideMark/>
          </w:tcPr>
          <w:p w14:paraId="2A12BC94" w14:textId="77777777" w:rsidR="00D0002F" w:rsidRPr="009D2E78"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9D2E78">
              <w:t>53921</w:t>
            </w:r>
          </w:p>
        </w:tc>
      </w:tr>
      <w:tr w:rsidR="00D0002F" w:rsidRPr="00F07361" w14:paraId="2ED1D395" w14:textId="77777777" w:rsidTr="00D209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47BD3D45" w14:textId="77777777" w:rsidR="00D0002F" w:rsidRPr="009D2E78" w:rsidRDefault="00D0002F" w:rsidP="009D2E78">
            <w:pPr>
              <w:pStyle w:val="TableText"/>
            </w:pPr>
            <w:r w:rsidRPr="009D2E78">
              <w:lastRenderedPageBreak/>
              <w:t>3</w:t>
            </w:r>
          </w:p>
        </w:tc>
        <w:tc>
          <w:tcPr>
            <w:tcW w:w="3837" w:type="pct"/>
            <w:hideMark/>
          </w:tcPr>
          <w:p w14:paraId="41E45E54"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1 or 2</w:t>
            </w:r>
          </w:p>
        </w:tc>
        <w:tc>
          <w:tcPr>
            <w:tcW w:w="799" w:type="pct"/>
            <w:noWrap/>
            <w:hideMark/>
          </w:tcPr>
          <w:p w14:paraId="71038352"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144457</w:t>
            </w:r>
          </w:p>
        </w:tc>
      </w:tr>
      <w:tr w:rsidR="00D0002F" w:rsidRPr="00F07361" w14:paraId="177C9905" w14:textId="77777777" w:rsidTr="00D209F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42AEB918" w14:textId="77777777" w:rsidR="00D0002F" w:rsidRPr="009D2E78" w:rsidRDefault="00D0002F" w:rsidP="009D2E78">
            <w:pPr>
              <w:pStyle w:val="TableText"/>
            </w:pPr>
            <w:r w:rsidRPr="009D2E78">
              <w:t>4</w:t>
            </w:r>
          </w:p>
        </w:tc>
        <w:tc>
          <w:tcPr>
            <w:tcW w:w="3837" w:type="pct"/>
            <w:hideMark/>
          </w:tcPr>
          <w:p w14:paraId="43FFAFE0" w14:textId="77777777" w:rsidR="00D0002F" w:rsidRPr="009D2E78"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9D2E78">
              <w:t>Employment, Supported/</w:t>
            </w:r>
          </w:p>
        </w:tc>
        <w:tc>
          <w:tcPr>
            <w:tcW w:w="799" w:type="pct"/>
            <w:noWrap/>
            <w:hideMark/>
          </w:tcPr>
          <w:p w14:paraId="430AFC44" w14:textId="77777777" w:rsidR="00D0002F" w:rsidRPr="009D2E78"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9D2E78">
              <w:t>1449</w:t>
            </w:r>
          </w:p>
        </w:tc>
      </w:tr>
      <w:tr w:rsidR="00D0002F" w:rsidRPr="00F07361" w14:paraId="6738E65B" w14:textId="77777777" w:rsidTr="00D209F1">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2206FFE7" w14:textId="77777777" w:rsidR="00D0002F" w:rsidRPr="009D2E78" w:rsidRDefault="00D0002F" w:rsidP="009D2E78">
            <w:pPr>
              <w:pStyle w:val="TableText"/>
            </w:pPr>
            <w:r w:rsidRPr="009D2E78">
              <w:t>5</w:t>
            </w:r>
          </w:p>
        </w:tc>
        <w:tc>
          <w:tcPr>
            <w:tcW w:w="3837" w:type="pct"/>
            <w:hideMark/>
          </w:tcPr>
          <w:p w14:paraId="01940568"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((Customiz* or Customis* or supported or inclusive or mainstream or open or conventional or integrated) adj3 (employment* or job* or work*)).tw,kf.</w:t>
            </w:r>
          </w:p>
        </w:tc>
        <w:tc>
          <w:tcPr>
            <w:tcW w:w="799" w:type="pct"/>
            <w:noWrap/>
            <w:hideMark/>
          </w:tcPr>
          <w:p w14:paraId="26A01B02"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16653</w:t>
            </w:r>
          </w:p>
        </w:tc>
      </w:tr>
      <w:tr w:rsidR="00D0002F" w:rsidRPr="00F07361" w14:paraId="131CA53E" w14:textId="77777777" w:rsidTr="00D209F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0CEA131B" w14:textId="77777777" w:rsidR="00D0002F" w:rsidRPr="009D2E78" w:rsidRDefault="00D0002F" w:rsidP="009D2E78">
            <w:pPr>
              <w:pStyle w:val="TableText"/>
            </w:pPr>
            <w:r w:rsidRPr="009D2E78">
              <w:t>6</w:t>
            </w:r>
          </w:p>
        </w:tc>
        <w:tc>
          <w:tcPr>
            <w:tcW w:w="3837" w:type="pct"/>
            <w:hideMark/>
          </w:tcPr>
          <w:p w14:paraId="0AEBAD1B" w14:textId="77777777" w:rsidR="00D0002F" w:rsidRPr="009D2E78"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9D2E78">
              <w:t>4 or 5</w:t>
            </w:r>
          </w:p>
        </w:tc>
        <w:tc>
          <w:tcPr>
            <w:tcW w:w="799" w:type="pct"/>
            <w:noWrap/>
            <w:hideMark/>
          </w:tcPr>
          <w:p w14:paraId="0E5CA46D" w14:textId="77777777" w:rsidR="00D0002F" w:rsidRPr="009D2E78"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9D2E78">
              <w:t>17360</w:t>
            </w:r>
          </w:p>
        </w:tc>
      </w:tr>
      <w:tr w:rsidR="00D0002F" w:rsidRPr="00F07361" w14:paraId="043EE382" w14:textId="77777777" w:rsidTr="00D209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4CFC057A" w14:textId="77777777" w:rsidR="00D0002F" w:rsidRPr="009D2E78" w:rsidRDefault="00D0002F" w:rsidP="009D2E78">
            <w:pPr>
              <w:pStyle w:val="TableText"/>
            </w:pPr>
            <w:r w:rsidRPr="009D2E78">
              <w:t>7</w:t>
            </w:r>
          </w:p>
        </w:tc>
        <w:tc>
          <w:tcPr>
            <w:tcW w:w="3837" w:type="pct"/>
            <w:hideMark/>
          </w:tcPr>
          <w:p w14:paraId="7B6AFDDF"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Vocational Education/</w:t>
            </w:r>
          </w:p>
        </w:tc>
        <w:tc>
          <w:tcPr>
            <w:tcW w:w="799" w:type="pct"/>
            <w:noWrap/>
            <w:hideMark/>
          </w:tcPr>
          <w:p w14:paraId="529A4B12"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2107</w:t>
            </w:r>
          </w:p>
        </w:tc>
      </w:tr>
      <w:tr w:rsidR="00D0002F" w:rsidRPr="00F07361" w14:paraId="665E2493" w14:textId="77777777" w:rsidTr="00D209F1">
        <w:trPr>
          <w:cnfStyle w:val="000000010000" w:firstRow="0" w:lastRow="0" w:firstColumn="0" w:lastColumn="0" w:oddVBand="0" w:evenVBand="0" w:oddHBand="0" w:evenHBand="1" w:firstRowFirstColumn="0" w:firstRowLastColumn="0" w:lastRowFirstColumn="0" w:lastRowLastColumn="0"/>
          <w:trHeight w:val="45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7BAAB044" w14:textId="77777777" w:rsidR="00D0002F" w:rsidRPr="009D2E78" w:rsidRDefault="00D0002F" w:rsidP="009D2E78">
            <w:pPr>
              <w:pStyle w:val="TableText"/>
            </w:pPr>
            <w:r w:rsidRPr="009D2E78">
              <w:t>8</w:t>
            </w:r>
          </w:p>
        </w:tc>
        <w:tc>
          <w:tcPr>
            <w:tcW w:w="3837" w:type="pct"/>
            <w:hideMark/>
          </w:tcPr>
          <w:p w14:paraId="5E3909D3" w14:textId="77777777" w:rsidR="00D0002F" w:rsidRPr="009D2E78"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9D2E78">
              <w:t>(Procurement or "supply chain*" or "Targeted purchas*" or "Supplier diversity" or 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((Competency* or industry or workforce or accredited or vocational or registered) adj2 training)).tw,kf.</w:t>
            </w:r>
          </w:p>
        </w:tc>
        <w:tc>
          <w:tcPr>
            <w:tcW w:w="799" w:type="pct"/>
            <w:noWrap/>
            <w:hideMark/>
          </w:tcPr>
          <w:p w14:paraId="4D3ADDDC" w14:textId="77777777" w:rsidR="00D0002F" w:rsidRPr="009D2E78"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9D2E78">
              <w:t>45702</w:t>
            </w:r>
          </w:p>
        </w:tc>
      </w:tr>
      <w:tr w:rsidR="00D0002F" w:rsidRPr="00F07361" w14:paraId="761AD23C" w14:textId="77777777" w:rsidTr="00D209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44AE0B92" w14:textId="77777777" w:rsidR="00D0002F" w:rsidRPr="009D2E78" w:rsidRDefault="00D0002F" w:rsidP="009D2E78">
            <w:pPr>
              <w:pStyle w:val="TableText"/>
            </w:pPr>
            <w:r w:rsidRPr="009D2E78">
              <w:t>9</w:t>
            </w:r>
          </w:p>
        </w:tc>
        <w:tc>
          <w:tcPr>
            <w:tcW w:w="3837" w:type="pct"/>
            <w:hideMark/>
          </w:tcPr>
          <w:p w14:paraId="63FEB6A8"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7 or 8</w:t>
            </w:r>
          </w:p>
        </w:tc>
        <w:tc>
          <w:tcPr>
            <w:tcW w:w="799" w:type="pct"/>
            <w:noWrap/>
            <w:hideMark/>
          </w:tcPr>
          <w:p w14:paraId="3DB223F9"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47126</w:t>
            </w:r>
          </w:p>
        </w:tc>
      </w:tr>
      <w:tr w:rsidR="00D0002F" w:rsidRPr="00F07361" w14:paraId="066C0257" w14:textId="77777777" w:rsidTr="00D209F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7E002C46" w14:textId="77777777" w:rsidR="00D0002F" w:rsidRPr="009D2E78" w:rsidRDefault="00D0002F" w:rsidP="009D2E78">
            <w:pPr>
              <w:pStyle w:val="TableText"/>
            </w:pPr>
            <w:r w:rsidRPr="009D2E78">
              <w:t>10</w:t>
            </w:r>
          </w:p>
        </w:tc>
        <w:tc>
          <w:tcPr>
            <w:tcW w:w="3837" w:type="pct"/>
            <w:hideMark/>
          </w:tcPr>
          <w:p w14:paraId="67AF6998" w14:textId="77777777" w:rsidR="00D0002F" w:rsidRPr="009D2E78"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9D2E78">
              <w:t>3 and 6 and 9</w:t>
            </w:r>
          </w:p>
        </w:tc>
        <w:tc>
          <w:tcPr>
            <w:tcW w:w="799" w:type="pct"/>
            <w:noWrap/>
            <w:hideMark/>
          </w:tcPr>
          <w:p w14:paraId="4F72E946" w14:textId="77777777" w:rsidR="00D0002F" w:rsidRPr="009D2E78"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9D2E78">
              <w:t>25</w:t>
            </w:r>
          </w:p>
        </w:tc>
      </w:tr>
      <w:tr w:rsidR="00D0002F" w:rsidRPr="00F07361" w14:paraId="0D012AEC" w14:textId="77777777" w:rsidTr="00D209F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 w:type="pct"/>
            <w:noWrap/>
            <w:hideMark/>
          </w:tcPr>
          <w:p w14:paraId="78A28A42" w14:textId="77777777" w:rsidR="00D0002F" w:rsidRPr="009D2E78" w:rsidRDefault="00D0002F" w:rsidP="009D2E78">
            <w:pPr>
              <w:pStyle w:val="TableText"/>
            </w:pPr>
            <w:r w:rsidRPr="009D2E78">
              <w:t>11</w:t>
            </w:r>
          </w:p>
        </w:tc>
        <w:tc>
          <w:tcPr>
            <w:tcW w:w="3837" w:type="pct"/>
            <w:hideMark/>
          </w:tcPr>
          <w:p w14:paraId="0E9F1132"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limit 10 to (english language and yr="2015 -Current")</w:t>
            </w:r>
          </w:p>
        </w:tc>
        <w:tc>
          <w:tcPr>
            <w:tcW w:w="799" w:type="pct"/>
            <w:noWrap/>
            <w:hideMark/>
          </w:tcPr>
          <w:p w14:paraId="07637160" w14:textId="77777777" w:rsidR="00D0002F" w:rsidRPr="009D2E78"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9D2E78">
              <w:t>7</w:t>
            </w:r>
          </w:p>
        </w:tc>
      </w:tr>
    </w:tbl>
    <w:p w14:paraId="06C08780" w14:textId="77777777" w:rsidR="00D0002F" w:rsidRPr="009D2E78" w:rsidRDefault="00D0002F" w:rsidP="00D0002F">
      <w:pPr>
        <w:rPr>
          <w:i/>
          <w:iCs/>
        </w:rPr>
      </w:pPr>
      <w:r w:rsidRPr="009D2E78">
        <w:rPr>
          <w:i/>
          <w:iCs/>
        </w:rPr>
        <w:t>DATABASE: CINAHL Ultimate</w:t>
      </w:r>
    </w:p>
    <w:p w14:paraId="231AE0D7" w14:textId="77777777" w:rsidR="00D0002F" w:rsidRPr="00F07361" w:rsidRDefault="00D0002F" w:rsidP="00D0002F">
      <w:r w:rsidRPr="00F07361">
        <w:t xml:space="preserve">((MH "Vocational Education" OR MH "Affirmative Action") OR XB (Procurement OR "supply chain*" OR "Targeted purchas*" OR "Supplier diversity" OR 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w:t>
      </w:r>
      <w:r w:rsidRPr="00F07361">
        <w:lastRenderedPageBreak/>
        <w:t>((Competency* OR industry OR workforce OR accredited OR vocational OR registered) N2 (training)))) AND (MH "Employment of Persons with Disabilities+" OR XB (( ( Customiz* OR Customis* OR supported OR inclusive OR mainstream OR open OR conventional or integrated) N3 ( employment* OR job* OR work* ) ))) AND (MH "Intellectual Disability+" OR XB ((((Intellectual OR Developmental* OR learning ) N2 disabilit* ) OR "intellectual impairment*" OR "developmental disorder" )))</w:t>
      </w:r>
    </w:p>
    <w:p w14:paraId="593064F1" w14:textId="77777777" w:rsidR="00D0002F" w:rsidRPr="00F07361" w:rsidRDefault="00D0002F" w:rsidP="00D0002F">
      <w:r w:rsidRPr="00F07361">
        <w:t>Workings</w:t>
      </w:r>
    </w:p>
    <w:p w14:paraId="309D6906" w14:textId="77777777" w:rsidR="00D0002F" w:rsidRPr="00F07361" w:rsidRDefault="00D0002F" w:rsidP="00D0002F">
      <w:r w:rsidRPr="00F07361">
        <w:t>MH "Intellectual Disability+"</w:t>
      </w:r>
    </w:p>
    <w:p w14:paraId="21D2E9E4" w14:textId="77777777" w:rsidR="00D0002F" w:rsidRPr="00F07361" w:rsidRDefault="00D0002F" w:rsidP="00D0002F">
      <w:r w:rsidRPr="00F07361">
        <w:t xml:space="preserve">(((Intellectual OR Developmental* OR learning ) N2 disabilit* ) OR "intellectual impairment*" OR "developmental disorder" ) </w:t>
      </w:r>
    </w:p>
    <w:p w14:paraId="33639A15" w14:textId="77777777" w:rsidR="00D0002F" w:rsidRPr="00F07361" w:rsidRDefault="00D0002F" w:rsidP="00D0002F">
      <w:r w:rsidRPr="00F07361">
        <w:t>AND</w:t>
      </w:r>
    </w:p>
    <w:p w14:paraId="0F1AF1B2" w14:textId="77777777" w:rsidR="00D0002F" w:rsidRPr="00F07361" w:rsidRDefault="00D0002F" w:rsidP="00D0002F">
      <w:r w:rsidRPr="00F07361">
        <w:t>MH "Employment of Persons with Disabilities+"</w:t>
      </w:r>
    </w:p>
    <w:p w14:paraId="17B6F9E1" w14:textId="77777777" w:rsidR="00D0002F" w:rsidRPr="00F07361" w:rsidRDefault="00D0002F" w:rsidP="00D0002F">
      <w:r w:rsidRPr="00F07361">
        <w:t>( ( Customiz* OR Customis* OR supported OR inclusive OR mainstream OR open OR conventional or integrated) N3 ( employment* OR job* OR work* ) )</w:t>
      </w:r>
    </w:p>
    <w:p w14:paraId="619CF9C3" w14:textId="77777777" w:rsidR="00D0002F" w:rsidRPr="00F07361" w:rsidRDefault="00D0002F" w:rsidP="00D0002F">
      <w:r w:rsidRPr="00F07361">
        <w:t xml:space="preserve"> AND</w:t>
      </w:r>
    </w:p>
    <w:p w14:paraId="5E26A38D" w14:textId="77777777" w:rsidR="00D0002F" w:rsidRPr="00F07361" w:rsidRDefault="00D0002F" w:rsidP="00D0002F">
      <w:r w:rsidRPr="00F07361">
        <w:t>MH "Vocational Education" OR MH "Affirmative Action"</w:t>
      </w:r>
    </w:p>
    <w:p w14:paraId="0B5D3FC7" w14:textId="77777777" w:rsidR="00D0002F" w:rsidRPr="00F07361" w:rsidRDefault="00D0002F" w:rsidP="00D0002F">
      <w:r w:rsidRPr="00F07361">
        <w:t xml:space="preserve">(Procurement OR "supply chain*" OR "Targeted purchas*" OR "Supplier diversity" OR </w:t>
      </w:r>
    </w:p>
    <w:p w14:paraId="136469D2" w14:textId="77777777" w:rsidR="00D0002F" w:rsidRPr="00ED411B" w:rsidRDefault="00D0002F" w:rsidP="00D0002F">
      <w:r w:rsidRPr="00F07361">
        <w:t>BuyAbility OR "enterprise contract*" OR "enterprise engagement*" OR Quota* OR "Employment target*" OR  "hiring target*" OR "Affirmative action" OR "employment benchmark*" OR  "participation goal*" OR "Statutory employment obligation*" OR "Mandatory employment ratio*" OR "Reserved position*" or "designated role*" OR "inclusion mandate*" OR "Vocational education" OR RTO OR  VET  OR TAFE OR "training institute*" OR "Adult education*" OR "Certificate course*" OR  "diploma course*" OR apprenticeship* OR traineeship* OR ((Competency* OR industry OR workforce OR accredited OR vocational OR registered) N2 (training)))</w:t>
      </w:r>
    </w:p>
    <w:p w14:paraId="0E3C5D6E" w14:textId="77777777" w:rsidR="00D0002F" w:rsidRDefault="00D0002F" w:rsidP="00D0002F"/>
    <w:p w14:paraId="3CD90B05" w14:textId="77777777" w:rsidR="00D0002F" w:rsidRDefault="00D0002F" w:rsidP="00D0002F"/>
    <w:p w14:paraId="6D889249" w14:textId="77777777" w:rsidR="00D0002F" w:rsidRDefault="00D0002F" w:rsidP="00D0002F">
      <w:r>
        <w:br w:type="page"/>
      </w:r>
    </w:p>
    <w:p w14:paraId="2B60E1B3" w14:textId="0B7F8913" w:rsidR="00D0002F" w:rsidRDefault="00D0002F" w:rsidP="00D0002F">
      <w:pPr>
        <w:pStyle w:val="Heading2"/>
      </w:pPr>
      <w:bookmarkStart w:id="83" w:name="_Toc231220093"/>
      <w:r>
        <w:lastRenderedPageBreak/>
        <w:t xml:space="preserve">Appendix D. </w:t>
      </w:r>
      <w:r w:rsidRPr="006732CA">
        <w:t xml:space="preserve">PRISMA 2020 </w:t>
      </w:r>
      <w:r w:rsidR="00737872" w:rsidRPr="006732CA">
        <w:t>flow diagram</w:t>
      </w:r>
      <w:bookmarkEnd w:id="83"/>
    </w:p>
    <w:p w14:paraId="3EBF4826" w14:textId="77777777" w:rsidR="00D0002F" w:rsidRDefault="00D0002F" w:rsidP="00D0002F">
      <w:r w:rsidRPr="00BE4D4B">
        <w:rPr>
          <w:rFonts w:ascii="Verdana Pro" w:hAnsi="Verdana Pro"/>
          <w:noProof/>
        </w:rPr>
        <w:drawing>
          <wp:inline distT="0" distB="0" distL="0" distR="0" wp14:anchorId="0237163C" wp14:editId="165CA995">
            <wp:extent cx="6039693" cy="8478433"/>
            <wp:effectExtent l="0" t="0" r="0" b="0"/>
            <wp:docPr id="1238212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12195" name=""/>
                    <pic:cNvPicPr/>
                  </pic:nvPicPr>
                  <pic:blipFill>
                    <a:blip r:embed="rId23"/>
                    <a:stretch>
                      <a:fillRect/>
                    </a:stretch>
                  </pic:blipFill>
                  <pic:spPr>
                    <a:xfrm>
                      <a:off x="0" y="0"/>
                      <a:ext cx="6039693" cy="8478433"/>
                    </a:xfrm>
                    <a:prstGeom prst="rect">
                      <a:avLst/>
                    </a:prstGeom>
                  </pic:spPr>
                </pic:pic>
              </a:graphicData>
            </a:graphic>
          </wp:inline>
        </w:drawing>
      </w:r>
      <w:r>
        <w:br w:type="page"/>
      </w:r>
    </w:p>
    <w:p w14:paraId="4B3FB584" w14:textId="06222B7C" w:rsidR="00D0002F" w:rsidRDefault="00D0002F" w:rsidP="00D0002F">
      <w:pPr>
        <w:pStyle w:val="Heading2"/>
      </w:pPr>
      <w:bookmarkStart w:id="84" w:name="_Toc231220094"/>
      <w:r>
        <w:lastRenderedPageBreak/>
        <w:t xml:space="preserve">Appendix E. </w:t>
      </w:r>
      <w:r w:rsidR="0076048B">
        <w:t>E</w:t>
      </w:r>
      <w:r w:rsidR="0076048B" w:rsidRPr="008052CD">
        <w:t>xtraction domains and template fields</w:t>
      </w:r>
      <w:bookmarkEnd w:id="84"/>
    </w:p>
    <w:p w14:paraId="4640C0F5" w14:textId="53625C4D" w:rsidR="00C3733E" w:rsidRPr="00C3733E" w:rsidRDefault="00C3733E" w:rsidP="00C3733E">
      <w:pPr>
        <w:pStyle w:val="TableCaption"/>
      </w:pPr>
      <w:r>
        <w:t>Table E1. Extraction domains and template fields</w:t>
      </w:r>
    </w:p>
    <w:tbl>
      <w:tblPr>
        <w:tblStyle w:val="CIETable"/>
        <w:tblW w:w="9776" w:type="dxa"/>
        <w:tblLayout w:type="fixed"/>
        <w:tblLook w:val="04A0" w:firstRow="1" w:lastRow="0" w:firstColumn="1" w:lastColumn="0" w:noHBand="0" w:noVBand="1"/>
      </w:tblPr>
      <w:tblGrid>
        <w:gridCol w:w="2405"/>
        <w:gridCol w:w="2268"/>
        <w:gridCol w:w="2693"/>
        <w:gridCol w:w="2410"/>
      </w:tblGrid>
      <w:tr w:rsidR="00D0002F" w:rsidRPr="009D2E78" w14:paraId="6067D94A" w14:textId="77777777" w:rsidTr="00D209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hideMark/>
          </w:tcPr>
          <w:p w14:paraId="66236F61" w14:textId="77777777" w:rsidR="00D0002F" w:rsidRPr="009D2E78" w:rsidRDefault="00D0002F" w:rsidP="009D2E78">
            <w:pPr>
              <w:pStyle w:val="TableHeading"/>
            </w:pPr>
            <w:r w:rsidRPr="009D2E78">
              <w:t>Extraction domain</w:t>
            </w:r>
          </w:p>
        </w:tc>
        <w:tc>
          <w:tcPr>
            <w:tcW w:w="2268" w:type="dxa"/>
            <w:hideMark/>
          </w:tcPr>
          <w:p w14:paraId="7874C1B0" w14:textId="77777777" w:rsidR="00D0002F" w:rsidRPr="009D2E78" w:rsidRDefault="00D0002F" w:rsidP="009D2E78">
            <w:pPr>
              <w:pStyle w:val="TableHeading"/>
              <w:cnfStyle w:val="100000000000" w:firstRow="1" w:lastRow="0" w:firstColumn="0" w:lastColumn="0" w:oddVBand="0" w:evenVBand="0" w:oddHBand="0" w:evenHBand="0" w:firstRowFirstColumn="0" w:firstRowLastColumn="0" w:lastRowFirstColumn="0" w:lastRowLastColumn="0"/>
            </w:pPr>
            <w:r w:rsidRPr="009D2E78">
              <w:t>Systematic reviews</w:t>
            </w:r>
          </w:p>
        </w:tc>
        <w:tc>
          <w:tcPr>
            <w:tcW w:w="2693" w:type="dxa"/>
            <w:hideMark/>
          </w:tcPr>
          <w:p w14:paraId="32377AE5" w14:textId="77777777" w:rsidR="00D0002F" w:rsidRPr="009D2E78" w:rsidRDefault="00D0002F" w:rsidP="009D2E78">
            <w:pPr>
              <w:pStyle w:val="TableHeading"/>
              <w:cnfStyle w:val="100000000000" w:firstRow="1" w:lastRow="0" w:firstColumn="0" w:lastColumn="0" w:oddVBand="0" w:evenVBand="0" w:oddHBand="0" w:evenHBand="0" w:firstRowFirstColumn="0" w:firstRowLastColumn="0" w:lastRowFirstColumn="0" w:lastRowLastColumn="0"/>
            </w:pPr>
            <w:r w:rsidRPr="009D2E78">
              <w:t>Primary studies within-SR</w:t>
            </w:r>
          </w:p>
        </w:tc>
        <w:tc>
          <w:tcPr>
            <w:tcW w:w="2410" w:type="dxa"/>
            <w:hideMark/>
          </w:tcPr>
          <w:p w14:paraId="157263B5" w14:textId="77777777" w:rsidR="00D0002F" w:rsidRPr="009D2E78" w:rsidRDefault="00D0002F" w:rsidP="009D2E78">
            <w:pPr>
              <w:pStyle w:val="TableHeading"/>
              <w:cnfStyle w:val="100000000000" w:firstRow="1" w:lastRow="0" w:firstColumn="0" w:lastColumn="0" w:oddVBand="0" w:evenVBand="0" w:oddHBand="0" w:evenHBand="0" w:firstRowFirstColumn="0" w:firstRowLastColumn="0" w:lastRowFirstColumn="0" w:lastRowLastColumn="0"/>
            </w:pPr>
            <w:r w:rsidRPr="009D2E78">
              <w:t>Post-SR / effectiveness set</w:t>
            </w:r>
          </w:p>
        </w:tc>
      </w:tr>
      <w:tr w:rsidR="00D0002F" w:rsidRPr="008052CD" w14:paraId="73842044" w14:textId="77777777" w:rsidTr="009D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0B07D11D" w14:textId="77777777" w:rsidR="00D0002F" w:rsidRPr="008052CD" w:rsidRDefault="00D0002F" w:rsidP="009D2E78">
            <w:pPr>
              <w:pStyle w:val="TableText"/>
            </w:pPr>
            <w:r w:rsidRPr="008052CD">
              <w:t>Study characteristics and identification</w:t>
            </w:r>
          </w:p>
        </w:tc>
        <w:tc>
          <w:tcPr>
            <w:tcW w:w="2268" w:type="dxa"/>
          </w:tcPr>
          <w:p w14:paraId="45EE0839"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intervention_families_covered</w:t>
            </w:r>
          </w:p>
        </w:tc>
        <w:tc>
          <w:tcPr>
            <w:tcW w:w="2693" w:type="dxa"/>
          </w:tcPr>
          <w:p w14:paraId="57BE3F82"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country_jurisdiction</w:t>
            </w:r>
          </w:p>
        </w:tc>
        <w:tc>
          <w:tcPr>
            <w:tcW w:w="2410" w:type="dxa"/>
          </w:tcPr>
          <w:p w14:paraId="38973F09"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study_id</w:t>
            </w:r>
          </w:p>
          <w:p w14:paraId="1D5A09D3"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citation</w:t>
            </w:r>
          </w:p>
          <w:p w14:paraId="2237970E"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linked_domain</w:t>
            </w:r>
          </w:p>
          <w:p w14:paraId="49AABECA"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design</w:t>
            </w:r>
          </w:p>
          <w:p w14:paraId="366628E5"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Design_class</w:t>
            </w:r>
          </w:p>
          <w:p w14:paraId="083BA70C"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AERO_level</w:t>
            </w:r>
          </w:p>
        </w:tc>
      </w:tr>
      <w:tr w:rsidR="00D0002F" w:rsidRPr="008052CD" w14:paraId="6B22A1EB" w14:textId="77777777" w:rsidTr="009D2E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2ED6D7A6" w14:textId="77777777" w:rsidR="00D0002F" w:rsidRPr="008052CD" w:rsidRDefault="00D0002F" w:rsidP="009D2E78">
            <w:pPr>
              <w:pStyle w:val="TableText"/>
            </w:pPr>
            <w:r w:rsidRPr="008052CD">
              <w:t>Participant details and support profile</w:t>
            </w:r>
          </w:p>
        </w:tc>
        <w:tc>
          <w:tcPr>
            <w:tcW w:w="2268" w:type="dxa"/>
            <w:hideMark/>
          </w:tcPr>
          <w:p w14:paraId="031BDA65"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w:t>
            </w:r>
          </w:p>
        </w:tc>
        <w:tc>
          <w:tcPr>
            <w:tcW w:w="2693" w:type="dxa"/>
          </w:tcPr>
          <w:p w14:paraId="5E95F50F"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sample</w:t>
            </w:r>
          </w:p>
          <w:p w14:paraId="39E72C46"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support_needs_communication</w:t>
            </w:r>
          </w:p>
        </w:tc>
        <w:tc>
          <w:tcPr>
            <w:tcW w:w="2410" w:type="dxa"/>
          </w:tcPr>
          <w:p w14:paraId="749A5284"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subgroup_analysis</w:t>
            </w:r>
          </w:p>
          <w:p w14:paraId="5F5C9108"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equity_indicators</w:t>
            </w:r>
          </w:p>
          <w:p w14:paraId="7D34BC24"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moderator_variables</w:t>
            </w:r>
          </w:p>
        </w:tc>
      </w:tr>
      <w:tr w:rsidR="00D0002F" w:rsidRPr="008052CD" w14:paraId="3156B9FC" w14:textId="77777777" w:rsidTr="009D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2AAAA357" w14:textId="77777777" w:rsidR="00D0002F" w:rsidRPr="008052CD" w:rsidRDefault="00D0002F" w:rsidP="009D2E78">
            <w:pPr>
              <w:pStyle w:val="TableText"/>
            </w:pPr>
            <w:r w:rsidRPr="008052CD">
              <w:t>Intervention components and delivery features</w:t>
            </w:r>
          </w:p>
        </w:tc>
        <w:tc>
          <w:tcPr>
            <w:tcW w:w="2268" w:type="dxa"/>
          </w:tcPr>
          <w:p w14:paraId="6F491AE4"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intervention_families_covered</w:t>
            </w:r>
          </w:p>
        </w:tc>
        <w:tc>
          <w:tcPr>
            <w:tcW w:w="2693" w:type="dxa"/>
          </w:tcPr>
          <w:p w14:paraId="6299984F"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intervention_family</w:t>
            </w:r>
          </w:p>
          <w:p w14:paraId="3974F5BA"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implementation_factors</w:t>
            </w:r>
          </w:p>
        </w:tc>
        <w:tc>
          <w:tcPr>
            <w:tcW w:w="2410" w:type="dxa"/>
          </w:tcPr>
          <w:p w14:paraId="5703B10B"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intervention_family</w:t>
            </w:r>
          </w:p>
          <w:p w14:paraId="43ABCFFB"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family_assignment</w:t>
            </w:r>
          </w:p>
        </w:tc>
      </w:tr>
      <w:tr w:rsidR="00D0002F" w:rsidRPr="008052CD" w14:paraId="029D6FA3" w14:textId="77777777" w:rsidTr="009D2E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6729BE4E" w14:textId="77777777" w:rsidR="00D0002F" w:rsidRPr="008052CD" w:rsidRDefault="00D0002F" w:rsidP="009D2E78">
            <w:pPr>
              <w:pStyle w:val="TableText"/>
            </w:pPr>
            <w:r w:rsidRPr="008052CD">
              <w:t>Outcomes and effects (CIE outcomes, durability, job quality)</w:t>
            </w:r>
          </w:p>
        </w:tc>
        <w:tc>
          <w:tcPr>
            <w:tcW w:w="2268" w:type="dxa"/>
          </w:tcPr>
          <w:p w14:paraId="4776944C"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effect_direction_codes</w:t>
            </w:r>
          </w:p>
        </w:tc>
        <w:tc>
          <w:tcPr>
            <w:tcW w:w="2693" w:type="dxa"/>
            <w:hideMark/>
          </w:tcPr>
          <w:p w14:paraId="2B23F8E8"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w:t>
            </w:r>
          </w:p>
        </w:tc>
        <w:tc>
          <w:tcPr>
            <w:tcW w:w="2410" w:type="dxa"/>
          </w:tcPr>
          <w:p w14:paraId="1E10B932"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effect_direction</w:t>
            </w:r>
          </w:p>
        </w:tc>
      </w:tr>
      <w:tr w:rsidR="00D0002F" w:rsidRPr="008052CD" w14:paraId="7A098F0B" w14:textId="77777777" w:rsidTr="009D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6CD063BA" w14:textId="77777777" w:rsidR="00D0002F" w:rsidRPr="008052CD" w:rsidRDefault="00D0002F" w:rsidP="009D2E78">
            <w:pPr>
              <w:pStyle w:val="TableText"/>
            </w:pPr>
            <w:r w:rsidRPr="008052CD">
              <w:t>Implementation determinants and strategies</w:t>
            </w:r>
          </w:p>
        </w:tc>
        <w:tc>
          <w:tcPr>
            <w:tcW w:w="2268" w:type="dxa"/>
            <w:hideMark/>
          </w:tcPr>
          <w:p w14:paraId="118EDA86"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w:t>
            </w:r>
          </w:p>
        </w:tc>
        <w:tc>
          <w:tcPr>
            <w:tcW w:w="2693" w:type="dxa"/>
          </w:tcPr>
          <w:p w14:paraId="30620C24"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p>
          <w:p w14:paraId="3C78832A"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implementation_factors</w:t>
            </w:r>
          </w:p>
        </w:tc>
        <w:tc>
          <w:tcPr>
            <w:tcW w:w="2410" w:type="dxa"/>
            <w:hideMark/>
          </w:tcPr>
          <w:p w14:paraId="764CC409"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w:t>
            </w:r>
          </w:p>
        </w:tc>
      </w:tr>
      <w:tr w:rsidR="00D0002F" w:rsidRPr="008052CD" w14:paraId="5D90919F" w14:textId="77777777" w:rsidTr="009D2E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5BC189E9" w14:textId="77777777" w:rsidR="00D0002F" w:rsidRPr="008052CD" w:rsidRDefault="00D0002F" w:rsidP="009D2E78">
            <w:pPr>
              <w:pStyle w:val="TableText"/>
            </w:pPr>
            <w:r w:rsidRPr="008052CD">
              <w:t>Equity considerations and moderators</w:t>
            </w:r>
          </w:p>
        </w:tc>
        <w:tc>
          <w:tcPr>
            <w:tcW w:w="2268" w:type="dxa"/>
            <w:hideMark/>
          </w:tcPr>
          <w:p w14:paraId="2AD4A5A9"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w:t>
            </w:r>
          </w:p>
        </w:tc>
        <w:tc>
          <w:tcPr>
            <w:tcW w:w="2693" w:type="dxa"/>
            <w:hideMark/>
          </w:tcPr>
          <w:p w14:paraId="3AE3FB18"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w:t>
            </w:r>
          </w:p>
        </w:tc>
        <w:tc>
          <w:tcPr>
            <w:tcW w:w="2410" w:type="dxa"/>
          </w:tcPr>
          <w:p w14:paraId="5724921F"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equity_indicators</w:t>
            </w:r>
          </w:p>
          <w:p w14:paraId="31069743"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moderator_variables</w:t>
            </w:r>
          </w:p>
          <w:p w14:paraId="64E5C3AC"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subgroup_analysis</w:t>
            </w:r>
          </w:p>
        </w:tc>
      </w:tr>
      <w:tr w:rsidR="00D0002F" w:rsidRPr="008052CD" w14:paraId="055B1D02" w14:textId="77777777" w:rsidTr="009D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0E2F6F6F" w14:textId="77777777" w:rsidR="00D0002F" w:rsidRPr="008052CD" w:rsidRDefault="00D0002F" w:rsidP="009D2E78">
            <w:pPr>
              <w:pStyle w:val="TableText"/>
            </w:pPr>
            <w:r w:rsidRPr="008052CD">
              <w:t>Embedded policy levers (descriptive only; not systematically searched)</w:t>
            </w:r>
          </w:p>
        </w:tc>
        <w:tc>
          <w:tcPr>
            <w:tcW w:w="2268" w:type="dxa"/>
            <w:hideMark/>
          </w:tcPr>
          <w:p w14:paraId="4CD2B3AA"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w:t>
            </w:r>
          </w:p>
        </w:tc>
        <w:tc>
          <w:tcPr>
            <w:tcW w:w="2693" w:type="dxa"/>
            <w:hideMark/>
          </w:tcPr>
          <w:p w14:paraId="4A435F64"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w:t>
            </w:r>
          </w:p>
        </w:tc>
        <w:tc>
          <w:tcPr>
            <w:tcW w:w="2410" w:type="dxa"/>
            <w:hideMark/>
          </w:tcPr>
          <w:p w14:paraId="15AF68FB"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w:t>
            </w:r>
          </w:p>
        </w:tc>
      </w:tr>
      <w:tr w:rsidR="00D0002F" w:rsidRPr="008052CD" w14:paraId="4BD70E09" w14:textId="77777777" w:rsidTr="009D2E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13749592" w14:textId="77777777" w:rsidR="00D0002F" w:rsidRPr="008052CD" w:rsidRDefault="00D0002F" w:rsidP="009D2E78">
            <w:pPr>
              <w:pStyle w:val="TableText"/>
            </w:pPr>
            <w:r w:rsidRPr="008052CD">
              <w:t>Transferability to Australia</w:t>
            </w:r>
          </w:p>
        </w:tc>
        <w:tc>
          <w:tcPr>
            <w:tcW w:w="2268" w:type="dxa"/>
          </w:tcPr>
          <w:p w14:paraId="7A9AAC38"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applicability_notes</w:t>
            </w:r>
          </w:p>
        </w:tc>
        <w:tc>
          <w:tcPr>
            <w:tcW w:w="2693" w:type="dxa"/>
          </w:tcPr>
          <w:p w14:paraId="1ACDEAAA"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country_jurisdiction</w:t>
            </w:r>
          </w:p>
        </w:tc>
        <w:tc>
          <w:tcPr>
            <w:tcW w:w="2410" w:type="dxa"/>
            <w:hideMark/>
          </w:tcPr>
          <w:p w14:paraId="68B03B12" w14:textId="77777777" w:rsidR="00D0002F" w:rsidRPr="008052CD" w:rsidRDefault="00D0002F" w:rsidP="009D2E78">
            <w:pPr>
              <w:pStyle w:val="TableText"/>
              <w:cnfStyle w:val="000000010000" w:firstRow="0" w:lastRow="0" w:firstColumn="0" w:lastColumn="0" w:oddVBand="0" w:evenVBand="0" w:oddHBand="0" w:evenHBand="1" w:firstRowFirstColumn="0" w:firstRowLastColumn="0" w:lastRowFirstColumn="0" w:lastRowLastColumn="0"/>
            </w:pPr>
            <w:r w:rsidRPr="008052CD">
              <w:t>—</w:t>
            </w:r>
          </w:p>
        </w:tc>
      </w:tr>
      <w:tr w:rsidR="00D0002F" w:rsidRPr="008052CD" w14:paraId="5CA44B2D" w14:textId="77777777" w:rsidTr="009D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144249B6" w14:textId="77777777" w:rsidR="00D0002F" w:rsidRPr="008052CD" w:rsidRDefault="00D0002F" w:rsidP="009D2E78">
            <w:pPr>
              <w:pStyle w:val="TableText"/>
            </w:pPr>
            <w:r w:rsidRPr="008052CD">
              <w:t>Critical appraisal and certainty assessment fields</w:t>
            </w:r>
          </w:p>
        </w:tc>
        <w:tc>
          <w:tcPr>
            <w:tcW w:w="2268" w:type="dxa"/>
          </w:tcPr>
          <w:p w14:paraId="4E1287CF"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sr_quality_rating</w:t>
            </w:r>
          </w:p>
          <w:p w14:paraId="37F0EEFC"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certainty_method</w:t>
            </w:r>
          </w:p>
        </w:tc>
        <w:tc>
          <w:tcPr>
            <w:tcW w:w="2693" w:type="dxa"/>
            <w:hideMark/>
          </w:tcPr>
          <w:p w14:paraId="310D0AC5"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w:t>
            </w:r>
          </w:p>
        </w:tc>
        <w:tc>
          <w:tcPr>
            <w:tcW w:w="2410" w:type="dxa"/>
          </w:tcPr>
          <w:p w14:paraId="5C62FD82" w14:textId="77777777" w:rsidR="00D0002F" w:rsidRPr="008052CD" w:rsidRDefault="00D0002F" w:rsidP="009D2E78">
            <w:pPr>
              <w:pStyle w:val="TableText"/>
              <w:cnfStyle w:val="000000100000" w:firstRow="0" w:lastRow="0" w:firstColumn="0" w:lastColumn="0" w:oddVBand="0" w:evenVBand="0" w:oddHBand="1" w:evenHBand="0" w:firstRowFirstColumn="0" w:firstRowLastColumn="0" w:lastRowFirstColumn="0" w:lastRowLastColumn="0"/>
            </w:pPr>
            <w:r w:rsidRPr="008052CD">
              <w:t>AERO_level</w:t>
            </w:r>
          </w:p>
        </w:tc>
      </w:tr>
    </w:tbl>
    <w:p w14:paraId="25E4ED38" w14:textId="77777777" w:rsidR="00D0002F" w:rsidRPr="008052CD" w:rsidRDefault="00D0002F" w:rsidP="00D0002F">
      <w:r w:rsidRPr="0012621C">
        <w:rPr>
          <w:b/>
          <w:bCs/>
        </w:rPr>
        <w:t>Note:</w:t>
      </w:r>
      <w:r w:rsidRPr="008052CD">
        <w:t xml:space="preserve"> Several domains (e.g., intervention components, delivery features, and embedded policy levers) were captured primarily via structured ‘family/domain’ </w:t>
      </w:r>
      <w:r w:rsidRPr="008052CD">
        <w:lastRenderedPageBreak/>
        <w:t>fields plus free-text synthesis/extraction notes (e.g., main_findings, key_extraction_notes, implementation_notes, effect_notes). These fields were used to preserve descriptive detail without over-claiming effectiveness for out-of-scope policy levers.</w:t>
      </w:r>
    </w:p>
    <w:p w14:paraId="5A6D3816" w14:textId="77777777" w:rsidR="00D0002F" w:rsidRDefault="00D0002F" w:rsidP="00D0002F">
      <w:r>
        <w:br w:type="page"/>
      </w:r>
    </w:p>
    <w:p w14:paraId="2B0D8D6B" w14:textId="1A428A0F" w:rsidR="00D0002F" w:rsidRPr="00ED411B" w:rsidRDefault="00D0002F" w:rsidP="00D0002F">
      <w:pPr>
        <w:pStyle w:val="Heading2"/>
      </w:pPr>
      <w:bookmarkStart w:id="85" w:name="_Toc231220095"/>
      <w:r>
        <w:lastRenderedPageBreak/>
        <w:t xml:space="preserve">Appendix F. </w:t>
      </w:r>
      <w:r w:rsidRPr="00ED411B">
        <w:t xml:space="preserve">Included </w:t>
      </w:r>
      <w:r w:rsidR="0076048B" w:rsidRPr="00ED411B">
        <w:t>systematic reviews and primary studies</w:t>
      </w:r>
      <w:bookmarkEnd w:id="85"/>
    </w:p>
    <w:p w14:paraId="41F70B27" w14:textId="77777777" w:rsidR="00D0002F" w:rsidRPr="008052CD" w:rsidRDefault="00D0002F" w:rsidP="00D0002F">
      <w:r w:rsidRPr="008052CD">
        <w:t>This appendix provides a comprehensive register of the systematic reviews (SRs) and their contributing primary studies included in the synthesis. It supports transparency in evidence selection, overlap management, and evidence quality.</w:t>
      </w:r>
    </w:p>
    <w:p w14:paraId="3D73A35F" w14:textId="1630AA28" w:rsidR="00D0002F" w:rsidRPr="00EE1E14" w:rsidRDefault="00D0002F" w:rsidP="00E72EED">
      <w:pPr>
        <w:pStyle w:val="TableCaption"/>
      </w:pPr>
      <w:r w:rsidRPr="00EE1E14">
        <w:t xml:space="preserve">Table </w:t>
      </w:r>
      <w:r w:rsidR="0074797B">
        <w:t>F1.</w:t>
      </w:r>
      <w:r w:rsidRPr="00EE1E14">
        <w:t xml:space="preserve"> Included Systematic Reviews (8 systematic reviews were included in the synthesis)</w:t>
      </w:r>
    </w:p>
    <w:tbl>
      <w:tblPr>
        <w:tblStyle w:val="CIETable"/>
        <w:tblW w:w="0" w:type="auto"/>
        <w:tblLook w:val="04A0" w:firstRow="1" w:lastRow="0" w:firstColumn="1" w:lastColumn="0" w:noHBand="0" w:noVBand="1"/>
      </w:tblPr>
      <w:tblGrid>
        <w:gridCol w:w="3247"/>
        <w:gridCol w:w="1050"/>
        <w:gridCol w:w="1084"/>
        <w:gridCol w:w="1425"/>
        <w:gridCol w:w="2822"/>
      </w:tblGrid>
      <w:tr w:rsidR="00D0002F" w:rsidRPr="008052CD" w14:paraId="393A5555" w14:textId="77777777" w:rsidTr="00D209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184F42F0" w14:textId="77777777" w:rsidR="00D0002F" w:rsidRPr="008052CD" w:rsidRDefault="00D0002F" w:rsidP="0076048B">
            <w:pPr>
              <w:pStyle w:val="TableHeading"/>
            </w:pPr>
            <w:r w:rsidRPr="008052CD">
              <w:t>Full Citation</w:t>
            </w:r>
          </w:p>
        </w:tc>
        <w:tc>
          <w:tcPr>
            <w:tcW w:w="0" w:type="auto"/>
            <w:hideMark/>
          </w:tcPr>
          <w:p w14:paraId="33C7B958" w14:textId="77777777" w:rsidR="00D0002F" w:rsidRPr="008052CD" w:rsidRDefault="00D0002F" w:rsidP="0076048B">
            <w:pPr>
              <w:pStyle w:val="TableHeading"/>
              <w:cnfStyle w:val="100000000000" w:firstRow="1" w:lastRow="0" w:firstColumn="0" w:lastColumn="0" w:oddVBand="0" w:evenVBand="0" w:oddHBand="0" w:evenHBand="0" w:firstRowFirstColumn="0" w:firstRowLastColumn="0" w:lastRowFirstColumn="0" w:lastRowLastColumn="0"/>
            </w:pPr>
            <w:r w:rsidRPr="008052CD">
              <w:t>Quality Rating</w:t>
            </w:r>
          </w:p>
        </w:tc>
        <w:tc>
          <w:tcPr>
            <w:tcW w:w="1084" w:type="dxa"/>
            <w:hideMark/>
          </w:tcPr>
          <w:p w14:paraId="101E3BBD" w14:textId="77777777" w:rsidR="00D0002F" w:rsidRPr="008052CD" w:rsidRDefault="00D0002F" w:rsidP="0076048B">
            <w:pPr>
              <w:pStyle w:val="TableHeading"/>
              <w:cnfStyle w:val="100000000000" w:firstRow="1" w:lastRow="0" w:firstColumn="0" w:lastColumn="0" w:oddVBand="0" w:evenVBand="0" w:oddHBand="0" w:evenHBand="0" w:firstRowFirstColumn="0" w:firstRowLastColumn="0" w:lastRowFirstColumn="0" w:lastRowLastColumn="0"/>
            </w:pPr>
            <w:r w:rsidRPr="008052CD">
              <w:t>No. of Primary Studies</w:t>
            </w:r>
          </w:p>
        </w:tc>
        <w:tc>
          <w:tcPr>
            <w:tcW w:w="1425" w:type="dxa"/>
            <w:hideMark/>
          </w:tcPr>
          <w:p w14:paraId="72E6822C" w14:textId="77777777" w:rsidR="00D0002F" w:rsidRPr="008052CD" w:rsidRDefault="00D0002F" w:rsidP="0076048B">
            <w:pPr>
              <w:pStyle w:val="TableHeading"/>
              <w:cnfStyle w:val="100000000000" w:firstRow="1" w:lastRow="0" w:firstColumn="0" w:lastColumn="0" w:oddVBand="0" w:evenVBand="0" w:oddHBand="0" w:evenHBand="0" w:firstRowFirstColumn="0" w:firstRowLastColumn="0" w:lastRowFirstColumn="0" w:lastRowLastColumn="0"/>
            </w:pPr>
            <w:r w:rsidRPr="008052CD">
              <w:t>Country Focus</w:t>
            </w:r>
          </w:p>
        </w:tc>
        <w:tc>
          <w:tcPr>
            <w:tcW w:w="0" w:type="auto"/>
            <w:hideMark/>
          </w:tcPr>
          <w:p w14:paraId="101CBAE3" w14:textId="77777777" w:rsidR="00D0002F" w:rsidRPr="008052CD" w:rsidRDefault="00D0002F" w:rsidP="0076048B">
            <w:pPr>
              <w:pStyle w:val="TableHeading"/>
              <w:cnfStyle w:val="100000000000" w:firstRow="1" w:lastRow="0" w:firstColumn="0" w:lastColumn="0" w:oddVBand="0" w:evenVBand="0" w:oddHBand="0" w:evenHBand="0" w:firstRowFirstColumn="0" w:firstRowLastColumn="0" w:lastRowFirstColumn="0" w:lastRowLastColumn="0"/>
            </w:pPr>
            <w:r w:rsidRPr="008052CD">
              <w:t>Notes</w:t>
            </w:r>
          </w:p>
        </w:tc>
      </w:tr>
      <w:tr w:rsidR="00D0002F" w:rsidRPr="008052CD" w14:paraId="291F2843" w14:textId="77777777" w:rsidTr="00760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E86092" w14:textId="77777777" w:rsidR="00D0002F" w:rsidRPr="00EE1E14" w:rsidRDefault="00D0002F" w:rsidP="0076048B">
            <w:pPr>
              <w:pStyle w:val="TableText"/>
            </w:pPr>
            <w:r w:rsidRPr="00EE1E14">
              <w:t>Enticott, A., &amp; Dew, A. (2025). A systematic review of the characteristics of programs and services resulting in competitive employment outcomes for young people with an intellectual disability. Journal of Intellectual &amp; Developmental Disability.</w:t>
            </w:r>
          </w:p>
        </w:tc>
        <w:tc>
          <w:tcPr>
            <w:tcW w:w="0" w:type="auto"/>
            <w:hideMark/>
          </w:tcPr>
          <w:p w14:paraId="26CD677B"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Low</w:t>
            </w:r>
          </w:p>
        </w:tc>
        <w:tc>
          <w:tcPr>
            <w:tcW w:w="1084" w:type="dxa"/>
            <w:hideMark/>
          </w:tcPr>
          <w:p w14:paraId="31079421"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7</w:t>
            </w:r>
          </w:p>
        </w:tc>
        <w:tc>
          <w:tcPr>
            <w:tcW w:w="1425" w:type="dxa"/>
            <w:hideMark/>
          </w:tcPr>
          <w:p w14:paraId="0ACA838B"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Australia</w:t>
            </w:r>
          </w:p>
        </w:tc>
        <w:tc>
          <w:tcPr>
            <w:tcW w:w="0" w:type="auto"/>
            <w:hideMark/>
          </w:tcPr>
          <w:p w14:paraId="16251EE6"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Early career planning, post-secondary education, on-the-job training improve outcomes</w:t>
            </w:r>
          </w:p>
        </w:tc>
      </w:tr>
      <w:tr w:rsidR="00D0002F" w:rsidRPr="008052CD" w14:paraId="31FAE1E9" w14:textId="77777777" w:rsidTr="007604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58497D" w14:textId="77777777" w:rsidR="00D0002F" w:rsidRPr="00EE1E14" w:rsidRDefault="00D0002F" w:rsidP="0076048B">
            <w:pPr>
              <w:pStyle w:val="TableText"/>
            </w:pPr>
            <w:r w:rsidRPr="00EE1E14">
              <w:t>Morash-Macneil, V., Johnson, F., &amp; Ryan, J. B. (2018). A systematic review of assistive technology for individuals with intellectual disability in the workplace. Journal of Special Education Technology, 33(1), 15</w:t>
            </w:r>
            <w:r>
              <w:t>-</w:t>
            </w:r>
            <w:r w:rsidRPr="00EE1E14">
              <w:t>26.</w:t>
            </w:r>
          </w:p>
        </w:tc>
        <w:tc>
          <w:tcPr>
            <w:tcW w:w="0" w:type="auto"/>
            <w:hideMark/>
          </w:tcPr>
          <w:p w14:paraId="75080E42"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Medium</w:t>
            </w:r>
          </w:p>
        </w:tc>
        <w:tc>
          <w:tcPr>
            <w:tcW w:w="1084" w:type="dxa"/>
            <w:hideMark/>
          </w:tcPr>
          <w:p w14:paraId="5117EF9D"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10</w:t>
            </w:r>
          </w:p>
        </w:tc>
        <w:tc>
          <w:tcPr>
            <w:tcW w:w="1425" w:type="dxa"/>
            <w:hideMark/>
          </w:tcPr>
          <w:p w14:paraId="1E503A9F"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United States</w:t>
            </w:r>
          </w:p>
        </w:tc>
        <w:tc>
          <w:tcPr>
            <w:tcW w:w="0" w:type="auto"/>
            <w:hideMark/>
          </w:tcPr>
          <w:p w14:paraId="06E59E69"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AT improves independence; portable devices most effective; wearable tech less consistent</w:t>
            </w:r>
          </w:p>
        </w:tc>
      </w:tr>
      <w:tr w:rsidR="00D0002F" w:rsidRPr="008052CD" w14:paraId="4BDE7760" w14:textId="77777777" w:rsidTr="00760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B9713A" w14:textId="77777777" w:rsidR="00D0002F" w:rsidRPr="00EE1E14" w:rsidRDefault="00D0002F" w:rsidP="0076048B">
            <w:pPr>
              <w:pStyle w:val="TableText"/>
            </w:pPr>
            <w:r w:rsidRPr="00EE1E14">
              <w:t>Taubner, H., Tideman, M., &amp; Staland Nyman, C. (2022). Employment sustainability for people with intellectual disability: A systematic review. Journal of Occupational Rehabilitation, 32(3), 353</w:t>
            </w:r>
            <w:r>
              <w:t>-</w:t>
            </w:r>
            <w:r w:rsidRPr="00EE1E14">
              <w:t>364.</w:t>
            </w:r>
          </w:p>
        </w:tc>
        <w:tc>
          <w:tcPr>
            <w:tcW w:w="0" w:type="auto"/>
            <w:hideMark/>
          </w:tcPr>
          <w:p w14:paraId="65397FC8"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Low</w:t>
            </w:r>
          </w:p>
        </w:tc>
        <w:tc>
          <w:tcPr>
            <w:tcW w:w="1084" w:type="dxa"/>
            <w:hideMark/>
          </w:tcPr>
          <w:p w14:paraId="69E800F5"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10</w:t>
            </w:r>
          </w:p>
        </w:tc>
        <w:tc>
          <w:tcPr>
            <w:tcW w:w="1425" w:type="dxa"/>
            <w:hideMark/>
          </w:tcPr>
          <w:p w14:paraId="0479B27D"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Sweden, Europe</w:t>
            </w:r>
          </w:p>
        </w:tc>
        <w:tc>
          <w:tcPr>
            <w:tcW w:w="0" w:type="auto"/>
            <w:hideMark/>
          </w:tcPr>
          <w:p w14:paraId="4BC12613"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Limited research; facilitators: education, licence, employer support; barriers: stigma, discrimination</w:t>
            </w:r>
          </w:p>
        </w:tc>
      </w:tr>
      <w:tr w:rsidR="00D0002F" w:rsidRPr="008052CD" w14:paraId="0EBC277F" w14:textId="77777777" w:rsidTr="007604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967ADD" w14:textId="77777777" w:rsidR="00D0002F" w:rsidRPr="00EE1E14" w:rsidRDefault="00D0002F" w:rsidP="0076048B">
            <w:pPr>
              <w:pStyle w:val="TableText"/>
            </w:pPr>
            <w:r w:rsidRPr="00EE1E14">
              <w:t xml:space="preserve">Taylor, J., Avellone, L., Brooke, V., Wehman, P., Inge, K., Schall, C., &amp; Iwanaga, K. (2022). The impact of competitive integrated employment on economic, psychological, </w:t>
            </w:r>
            <w:r w:rsidRPr="00EE1E14">
              <w:lastRenderedPageBreak/>
              <w:t>and physical health outcomes for individuals with intellectual and developmental disabilities. Journal of Applied Research in Intellectual Disabilities, 35(2), 448</w:t>
            </w:r>
            <w:r>
              <w:t>-</w:t>
            </w:r>
            <w:r w:rsidRPr="00EE1E14">
              <w:t>459.</w:t>
            </w:r>
          </w:p>
        </w:tc>
        <w:tc>
          <w:tcPr>
            <w:tcW w:w="0" w:type="auto"/>
            <w:hideMark/>
          </w:tcPr>
          <w:p w14:paraId="17F433B9"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lastRenderedPageBreak/>
              <w:t>Medium</w:t>
            </w:r>
          </w:p>
        </w:tc>
        <w:tc>
          <w:tcPr>
            <w:tcW w:w="1084" w:type="dxa"/>
            <w:hideMark/>
          </w:tcPr>
          <w:p w14:paraId="0E7105F8"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17</w:t>
            </w:r>
          </w:p>
        </w:tc>
        <w:tc>
          <w:tcPr>
            <w:tcW w:w="1425" w:type="dxa"/>
            <w:hideMark/>
          </w:tcPr>
          <w:p w14:paraId="20FEB2B1"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United States</w:t>
            </w:r>
          </w:p>
        </w:tc>
        <w:tc>
          <w:tcPr>
            <w:tcW w:w="0" w:type="auto"/>
            <w:hideMark/>
          </w:tcPr>
          <w:p w14:paraId="661A0199"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CIE improves economic outcomes; promising psychological/physical benefits</w:t>
            </w:r>
          </w:p>
        </w:tc>
      </w:tr>
      <w:tr w:rsidR="00D0002F" w:rsidRPr="008052CD" w14:paraId="2C391D20" w14:textId="77777777" w:rsidTr="00760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43EF9A" w14:textId="77777777" w:rsidR="00D0002F" w:rsidRPr="00EE1E14" w:rsidRDefault="00D0002F" w:rsidP="0076048B">
            <w:pPr>
              <w:pStyle w:val="TableText"/>
            </w:pPr>
            <w:r w:rsidRPr="00EE1E14">
              <w:t>Taylor, J. P., Avellone, L., Wehman, P., &amp; Brooke, V. (2023). The efficacy of competitive integrated employment versus segregated employment for persons with disabilities: A systematic review. Journal of Vocational Rehabilitation, 58(1), 63</w:t>
            </w:r>
            <w:r>
              <w:t>-</w:t>
            </w:r>
            <w:r w:rsidRPr="00EE1E14">
              <w:t>78.</w:t>
            </w:r>
          </w:p>
        </w:tc>
        <w:tc>
          <w:tcPr>
            <w:tcW w:w="0" w:type="auto"/>
            <w:hideMark/>
          </w:tcPr>
          <w:p w14:paraId="404BD730"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Medium</w:t>
            </w:r>
          </w:p>
        </w:tc>
        <w:tc>
          <w:tcPr>
            <w:tcW w:w="1084" w:type="dxa"/>
            <w:hideMark/>
          </w:tcPr>
          <w:p w14:paraId="388B2A06"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5</w:t>
            </w:r>
          </w:p>
        </w:tc>
        <w:tc>
          <w:tcPr>
            <w:tcW w:w="1425" w:type="dxa"/>
            <w:hideMark/>
          </w:tcPr>
          <w:p w14:paraId="4DD7FCFF"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United States</w:t>
            </w:r>
          </w:p>
        </w:tc>
        <w:tc>
          <w:tcPr>
            <w:tcW w:w="0" w:type="auto"/>
            <w:hideMark/>
          </w:tcPr>
          <w:p w14:paraId="7211B426"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Segregated services do not improve outcomes; integrated models consistently better</w:t>
            </w:r>
          </w:p>
        </w:tc>
      </w:tr>
      <w:tr w:rsidR="00D0002F" w:rsidRPr="008052CD" w14:paraId="13051D1E" w14:textId="77777777" w:rsidTr="007604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1F301D" w14:textId="77777777" w:rsidR="00D0002F" w:rsidRPr="00EE1E14" w:rsidRDefault="00D0002F" w:rsidP="0076048B">
            <w:pPr>
              <w:pStyle w:val="TableText"/>
            </w:pPr>
            <w:r w:rsidRPr="00EE1E14">
              <w:t>Carlson, S. R., Morningstar, M. E., &amp; Munandar, V. (2020). Workplace supports for employees with intellectual disability: A systematic review of the intervention literature. Journal of Vocational Rehabilitation, 52(3), 251</w:t>
            </w:r>
            <w:r>
              <w:t>-</w:t>
            </w:r>
            <w:r w:rsidRPr="00EE1E14">
              <w:t>265.</w:t>
            </w:r>
          </w:p>
        </w:tc>
        <w:tc>
          <w:tcPr>
            <w:tcW w:w="0" w:type="auto"/>
            <w:hideMark/>
          </w:tcPr>
          <w:p w14:paraId="15859A0F"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Medium</w:t>
            </w:r>
          </w:p>
        </w:tc>
        <w:tc>
          <w:tcPr>
            <w:tcW w:w="1084" w:type="dxa"/>
            <w:hideMark/>
          </w:tcPr>
          <w:p w14:paraId="4173FCE7"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14</w:t>
            </w:r>
          </w:p>
        </w:tc>
        <w:tc>
          <w:tcPr>
            <w:tcW w:w="1425" w:type="dxa"/>
            <w:hideMark/>
          </w:tcPr>
          <w:p w14:paraId="19BA0063"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United States</w:t>
            </w:r>
          </w:p>
        </w:tc>
        <w:tc>
          <w:tcPr>
            <w:tcW w:w="0" w:type="auto"/>
            <w:hideMark/>
          </w:tcPr>
          <w:p w14:paraId="0FADA0F9"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Training support providers improves performance and integration; no evidence on career advancement</w:t>
            </w:r>
          </w:p>
        </w:tc>
      </w:tr>
      <w:tr w:rsidR="00D0002F" w:rsidRPr="008052CD" w14:paraId="13506C88" w14:textId="77777777" w:rsidTr="007479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463AC544" w14:textId="77777777" w:rsidR="00D0002F" w:rsidRPr="00EE1E14" w:rsidRDefault="00D0002F" w:rsidP="0076048B">
            <w:pPr>
              <w:pStyle w:val="TableText"/>
            </w:pPr>
            <w:r w:rsidRPr="00EE1E14">
              <w:t>Nevala, N., Pehkonen, I., Teittinen, A., Vesala, H. T., Pörtfors, P., &amp; Anttila, H. (2019). The effectiveness of rehabilitation interventions on the employment and functioning of people with intellectual disabilities: A systematic review. Journal of Occupational Rehabilitation, 29(4), 773</w:t>
            </w:r>
            <w:r>
              <w:t>-</w:t>
            </w:r>
            <w:r w:rsidRPr="00EE1E14">
              <w:t>802.</w:t>
            </w:r>
          </w:p>
        </w:tc>
        <w:tc>
          <w:tcPr>
            <w:tcW w:w="0" w:type="auto"/>
            <w:tcBorders>
              <w:bottom w:val="single" w:sz="4" w:space="0" w:color="C0C0C0" w:themeColor="accent5"/>
            </w:tcBorders>
            <w:hideMark/>
          </w:tcPr>
          <w:p w14:paraId="57AE927A"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Medium</w:t>
            </w:r>
          </w:p>
        </w:tc>
        <w:tc>
          <w:tcPr>
            <w:tcW w:w="1084" w:type="dxa"/>
            <w:tcBorders>
              <w:bottom w:val="single" w:sz="4" w:space="0" w:color="C0C0C0" w:themeColor="accent5"/>
            </w:tcBorders>
            <w:hideMark/>
          </w:tcPr>
          <w:p w14:paraId="5F3624D1"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38</w:t>
            </w:r>
          </w:p>
        </w:tc>
        <w:tc>
          <w:tcPr>
            <w:tcW w:w="1425" w:type="dxa"/>
            <w:tcBorders>
              <w:bottom w:val="single" w:sz="4" w:space="0" w:color="C0C0C0" w:themeColor="accent5"/>
            </w:tcBorders>
            <w:hideMark/>
          </w:tcPr>
          <w:p w14:paraId="3B2F3F3E"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Finland, UK, United States</w:t>
            </w:r>
          </w:p>
        </w:tc>
        <w:tc>
          <w:tcPr>
            <w:tcW w:w="0" w:type="auto"/>
            <w:tcBorders>
              <w:bottom w:val="single" w:sz="4" w:space="0" w:color="C0C0C0" w:themeColor="accent5"/>
            </w:tcBorders>
            <w:hideMark/>
          </w:tcPr>
          <w:p w14:paraId="1E99F4C8" w14:textId="77777777" w:rsidR="00D0002F" w:rsidRPr="008052CD" w:rsidRDefault="00D0002F" w:rsidP="0076048B">
            <w:pPr>
              <w:pStyle w:val="TableText"/>
              <w:cnfStyle w:val="000000100000" w:firstRow="0" w:lastRow="0" w:firstColumn="0" w:lastColumn="0" w:oddVBand="0" w:evenVBand="0" w:oddHBand="1" w:evenHBand="0" w:firstRowFirstColumn="0" w:firstRowLastColumn="0" w:lastRowFirstColumn="0" w:lastRowLastColumn="0"/>
            </w:pPr>
            <w:r w:rsidRPr="008052CD">
              <w:t>Tailored services improve employment; barriers: sheltered work, discrimination</w:t>
            </w:r>
          </w:p>
        </w:tc>
      </w:tr>
      <w:tr w:rsidR="00D0002F" w:rsidRPr="008052CD" w14:paraId="42E3A230" w14:textId="77777777" w:rsidTr="007479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0F606903" w14:textId="77777777" w:rsidR="00D0002F" w:rsidRPr="00EE1E14" w:rsidRDefault="00D0002F" w:rsidP="0076048B">
            <w:pPr>
              <w:pStyle w:val="TableText"/>
            </w:pPr>
            <w:r w:rsidRPr="00EE1E14">
              <w:t>Jetha, A., Shaw, R., Sinden, A. R., Mahood, Q., Gignac, M. A. M., McColl, M. A., &amp; Martin Ginis, K. A. (2019). Work</w:t>
            </w:r>
            <w:r>
              <w:t>-</w:t>
            </w:r>
            <w:r w:rsidRPr="00EE1E14">
              <w:t xml:space="preserve">focused interventions that promote the labour market transition of young adults with chronic disabling health </w:t>
            </w:r>
            <w:r w:rsidRPr="00EE1E14">
              <w:lastRenderedPageBreak/>
              <w:t>conditions: A systematic review. Occupational and Environmental Medicine, 76(3), 189</w:t>
            </w:r>
            <w:r>
              <w:t>-</w:t>
            </w:r>
            <w:r w:rsidRPr="00EE1E14">
              <w:t>198.</w:t>
            </w:r>
          </w:p>
        </w:tc>
        <w:tc>
          <w:tcPr>
            <w:tcW w:w="0" w:type="auto"/>
            <w:tcBorders>
              <w:bottom w:val="single" w:sz="4" w:space="0" w:color="C0C0C0" w:themeColor="accent5"/>
            </w:tcBorders>
            <w:hideMark/>
          </w:tcPr>
          <w:p w14:paraId="00A95622"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lastRenderedPageBreak/>
              <w:t>High</w:t>
            </w:r>
          </w:p>
        </w:tc>
        <w:tc>
          <w:tcPr>
            <w:tcW w:w="1084" w:type="dxa"/>
            <w:tcBorders>
              <w:bottom w:val="single" w:sz="4" w:space="0" w:color="C0C0C0" w:themeColor="accent5"/>
            </w:tcBorders>
            <w:hideMark/>
          </w:tcPr>
          <w:p w14:paraId="7B5A191C"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10</w:t>
            </w:r>
          </w:p>
        </w:tc>
        <w:tc>
          <w:tcPr>
            <w:tcW w:w="1425" w:type="dxa"/>
            <w:tcBorders>
              <w:bottom w:val="single" w:sz="4" w:space="0" w:color="C0C0C0" w:themeColor="accent5"/>
            </w:tcBorders>
            <w:hideMark/>
          </w:tcPr>
          <w:p w14:paraId="4A82414E"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United States, OECD</w:t>
            </w:r>
          </w:p>
        </w:tc>
        <w:tc>
          <w:tcPr>
            <w:tcW w:w="0" w:type="auto"/>
            <w:tcBorders>
              <w:bottom w:val="single" w:sz="4" w:space="0" w:color="C0C0C0" w:themeColor="accent5"/>
            </w:tcBorders>
            <w:hideMark/>
          </w:tcPr>
          <w:p w14:paraId="02103591" w14:textId="77777777" w:rsidR="00D0002F" w:rsidRPr="008052CD" w:rsidRDefault="00D0002F" w:rsidP="0076048B">
            <w:pPr>
              <w:pStyle w:val="TableText"/>
              <w:cnfStyle w:val="000000010000" w:firstRow="0" w:lastRow="0" w:firstColumn="0" w:lastColumn="0" w:oddVBand="0" w:evenVBand="0" w:oddHBand="0" w:evenHBand="1" w:firstRowFirstColumn="0" w:firstRowLastColumn="0" w:lastRowFirstColumn="0" w:lastRowLastColumn="0"/>
            </w:pPr>
            <w:r w:rsidRPr="008052CD">
              <w:t>Tailored SE supports competitive employment; gaps for sustaining work and advancement</w:t>
            </w:r>
          </w:p>
        </w:tc>
      </w:tr>
    </w:tbl>
    <w:p w14:paraId="31D1F337" w14:textId="3B442416" w:rsidR="00D0002F" w:rsidRPr="00E72EED" w:rsidRDefault="00D0002F" w:rsidP="00E72EED">
      <w:pPr>
        <w:pStyle w:val="TableCaption"/>
      </w:pPr>
      <w:r w:rsidRPr="00E72EED">
        <w:t xml:space="preserve">Table </w:t>
      </w:r>
      <w:r w:rsidR="0074797B">
        <w:t>F2.</w:t>
      </w:r>
      <w:r w:rsidRPr="00E72EED">
        <w:t xml:space="preserve"> Post-SR Primary Studies (11 post-SR primary studies were included in the synthesis)</w:t>
      </w:r>
    </w:p>
    <w:tbl>
      <w:tblPr>
        <w:tblStyle w:val="CIETable"/>
        <w:tblW w:w="0" w:type="auto"/>
        <w:tblLayout w:type="fixed"/>
        <w:tblLook w:val="04A0" w:firstRow="1" w:lastRow="0" w:firstColumn="1" w:lastColumn="0" w:noHBand="0" w:noVBand="1"/>
      </w:tblPr>
      <w:tblGrid>
        <w:gridCol w:w="4123"/>
        <w:gridCol w:w="1117"/>
        <w:gridCol w:w="1276"/>
        <w:gridCol w:w="619"/>
        <w:gridCol w:w="1224"/>
        <w:gridCol w:w="1269"/>
      </w:tblGrid>
      <w:tr w:rsidR="00D0002F" w:rsidRPr="008052CD" w14:paraId="5EFB488C" w14:textId="77777777" w:rsidTr="00336D5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3" w:type="dxa"/>
            <w:hideMark/>
          </w:tcPr>
          <w:p w14:paraId="5E6C6569" w14:textId="77777777" w:rsidR="00D0002F" w:rsidRPr="008052CD" w:rsidRDefault="00D0002F" w:rsidP="00E72EED">
            <w:pPr>
              <w:pStyle w:val="TableHeading"/>
            </w:pPr>
            <w:r w:rsidRPr="008052CD">
              <w:t>Full Citation</w:t>
            </w:r>
          </w:p>
        </w:tc>
        <w:tc>
          <w:tcPr>
            <w:tcW w:w="1117" w:type="dxa"/>
            <w:hideMark/>
          </w:tcPr>
          <w:p w14:paraId="7F7B6494" w14:textId="77777777" w:rsidR="00D0002F" w:rsidRPr="008052CD" w:rsidRDefault="00D0002F" w:rsidP="00E72EED">
            <w:pPr>
              <w:pStyle w:val="TableHeading"/>
              <w:cnfStyle w:val="100000000000" w:firstRow="1" w:lastRow="0" w:firstColumn="0" w:lastColumn="0" w:oddVBand="0" w:evenVBand="0" w:oddHBand="0" w:evenHBand="0" w:firstRowFirstColumn="0" w:firstRowLastColumn="0" w:lastRowFirstColumn="0" w:lastRowLastColumn="0"/>
            </w:pPr>
            <w:r w:rsidRPr="008052CD">
              <w:t>Country</w:t>
            </w:r>
          </w:p>
        </w:tc>
        <w:tc>
          <w:tcPr>
            <w:tcW w:w="1276" w:type="dxa"/>
            <w:hideMark/>
          </w:tcPr>
          <w:p w14:paraId="3BCE7023" w14:textId="77777777" w:rsidR="00D0002F" w:rsidRPr="008052CD" w:rsidRDefault="00D0002F" w:rsidP="00E72EED">
            <w:pPr>
              <w:pStyle w:val="TableHeading"/>
              <w:cnfStyle w:val="100000000000" w:firstRow="1" w:lastRow="0" w:firstColumn="0" w:lastColumn="0" w:oddVBand="0" w:evenVBand="0" w:oddHBand="0" w:evenHBand="0" w:firstRowFirstColumn="0" w:firstRowLastColumn="0" w:lastRowFirstColumn="0" w:lastRowLastColumn="0"/>
            </w:pPr>
            <w:r w:rsidRPr="008052CD">
              <w:t>Design</w:t>
            </w:r>
          </w:p>
        </w:tc>
        <w:tc>
          <w:tcPr>
            <w:tcW w:w="619" w:type="dxa"/>
            <w:hideMark/>
          </w:tcPr>
          <w:p w14:paraId="79B0B79E" w14:textId="77777777" w:rsidR="00D0002F" w:rsidRPr="008052CD" w:rsidRDefault="00D0002F" w:rsidP="00E72EED">
            <w:pPr>
              <w:pStyle w:val="TableHeading"/>
              <w:cnfStyle w:val="100000000000" w:firstRow="1" w:lastRow="0" w:firstColumn="0" w:lastColumn="0" w:oddVBand="0" w:evenVBand="0" w:oddHBand="0" w:evenHBand="0" w:firstRowFirstColumn="0" w:firstRowLastColumn="0" w:lastRowFirstColumn="0" w:lastRowLastColumn="0"/>
            </w:pPr>
            <w:r w:rsidRPr="008052CD">
              <w:t>AERO Level</w:t>
            </w:r>
          </w:p>
        </w:tc>
        <w:tc>
          <w:tcPr>
            <w:tcW w:w="1224" w:type="dxa"/>
            <w:hideMark/>
          </w:tcPr>
          <w:p w14:paraId="0B811E7D" w14:textId="77777777" w:rsidR="00D0002F" w:rsidRPr="008052CD" w:rsidRDefault="00D0002F" w:rsidP="00E72EED">
            <w:pPr>
              <w:pStyle w:val="TableHeading"/>
              <w:cnfStyle w:val="100000000000" w:firstRow="1" w:lastRow="0" w:firstColumn="0" w:lastColumn="0" w:oddVBand="0" w:evenVBand="0" w:oddHBand="0" w:evenHBand="0" w:firstRowFirstColumn="0" w:firstRowLastColumn="0" w:lastRowFirstColumn="0" w:lastRowLastColumn="0"/>
            </w:pPr>
            <w:r w:rsidRPr="008052CD">
              <w:t>Effect Direction</w:t>
            </w:r>
          </w:p>
        </w:tc>
        <w:tc>
          <w:tcPr>
            <w:tcW w:w="1269" w:type="dxa"/>
            <w:hideMark/>
          </w:tcPr>
          <w:p w14:paraId="737B5F13" w14:textId="77777777" w:rsidR="00D0002F" w:rsidRPr="008052CD" w:rsidRDefault="00D0002F" w:rsidP="00E72EED">
            <w:pPr>
              <w:pStyle w:val="TableHeading"/>
              <w:cnfStyle w:val="100000000000" w:firstRow="1" w:lastRow="0" w:firstColumn="0" w:lastColumn="0" w:oddVBand="0" w:evenVBand="0" w:oddHBand="0" w:evenHBand="0" w:firstRowFirstColumn="0" w:firstRowLastColumn="0" w:lastRowFirstColumn="0" w:lastRowLastColumn="0"/>
            </w:pPr>
            <w:r w:rsidRPr="008052CD">
              <w:t>Notes</w:t>
            </w:r>
          </w:p>
        </w:tc>
      </w:tr>
      <w:tr w:rsidR="00D0002F" w:rsidRPr="008052CD" w14:paraId="0F7FC3B2" w14:textId="77777777" w:rsidTr="00336D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691B0B3B" w14:textId="77777777" w:rsidR="00D0002F" w:rsidRPr="00EE1E14" w:rsidRDefault="00D0002F" w:rsidP="00336D59">
            <w:pPr>
              <w:pStyle w:val="TableText"/>
            </w:pPr>
            <w:r w:rsidRPr="00EE1E14">
              <w:t>Inge, K. J., Avellone, L., Wehman, P., Broda, M., &amp; Joy, J. (2023). Effects of Customized Employment on the Independence of Youth with Intellectual and Developmental Disabilities. Intellectual and Developmental Disabilities, 61(6), 481-491. https://doi.org/10.1352/1934-9556-61.6.481</w:t>
            </w:r>
          </w:p>
        </w:tc>
        <w:tc>
          <w:tcPr>
            <w:tcW w:w="1117" w:type="dxa"/>
            <w:hideMark/>
          </w:tcPr>
          <w:p w14:paraId="4D8AD79C"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USA</w:t>
            </w:r>
          </w:p>
        </w:tc>
        <w:tc>
          <w:tcPr>
            <w:tcW w:w="1276" w:type="dxa"/>
            <w:hideMark/>
          </w:tcPr>
          <w:p w14:paraId="627E5B34"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Quantit</w:t>
            </w:r>
            <w:r>
              <w:t>a</w:t>
            </w:r>
            <w:r w:rsidRPr="008052CD">
              <w:t>tive</w:t>
            </w:r>
          </w:p>
        </w:tc>
        <w:tc>
          <w:tcPr>
            <w:tcW w:w="619" w:type="dxa"/>
            <w:hideMark/>
          </w:tcPr>
          <w:p w14:paraId="247DCA6F"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4</w:t>
            </w:r>
          </w:p>
        </w:tc>
        <w:tc>
          <w:tcPr>
            <w:tcW w:w="1224" w:type="dxa"/>
            <w:hideMark/>
          </w:tcPr>
          <w:p w14:paraId="08CBD76C"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Positive</w:t>
            </w:r>
          </w:p>
        </w:tc>
        <w:tc>
          <w:tcPr>
            <w:tcW w:w="1269" w:type="dxa"/>
            <w:hideMark/>
          </w:tcPr>
          <w:p w14:paraId="0F140E93"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CE intervention: SIS-A Employment subscale improved</w:t>
            </w:r>
          </w:p>
        </w:tc>
      </w:tr>
      <w:tr w:rsidR="00D0002F" w:rsidRPr="008052CD" w14:paraId="5DE14649" w14:textId="77777777" w:rsidTr="00336D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3383302C" w14:textId="77777777" w:rsidR="00D0002F" w:rsidRPr="00EE1E14" w:rsidRDefault="00D0002F" w:rsidP="00336D59">
            <w:pPr>
              <w:pStyle w:val="TableText"/>
            </w:pPr>
            <w:r w:rsidRPr="00EE1E14">
              <w:t>Inge, K. J., Wehman, P., Avellone, L., Broda, M., &amp; McDonough, J. (2024). The impact of customized employment on the competitive integrated employment outcomes of transition age youth with intellectual and developmental disabilities: A randomised controlled trial study. Work, 77(3), 721</w:t>
            </w:r>
            <w:r>
              <w:t>-</w:t>
            </w:r>
            <w:r w:rsidRPr="00EE1E14">
              <w:t>729. https://doi.org/10.3233/WOR-246003</w:t>
            </w:r>
          </w:p>
        </w:tc>
        <w:tc>
          <w:tcPr>
            <w:tcW w:w="1117" w:type="dxa"/>
            <w:hideMark/>
          </w:tcPr>
          <w:p w14:paraId="4ADBDDC7"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USA</w:t>
            </w:r>
          </w:p>
        </w:tc>
        <w:tc>
          <w:tcPr>
            <w:tcW w:w="1276" w:type="dxa"/>
            <w:hideMark/>
          </w:tcPr>
          <w:p w14:paraId="6FD7F44E"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Quantit</w:t>
            </w:r>
            <w:r>
              <w:t>a</w:t>
            </w:r>
            <w:r w:rsidRPr="008052CD">
              <w:t>tive</w:t>
            </w:r>
          </w:p>
        </w:tc>
        <w:tc>
          <w:tcPr>
            <w:tcW w:w="619" w:type="dxa"/>
            <w:hideMark/>
          </w:tcPr>
          <w:p w14:paraId="4AC44C72"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4</w:t>
            </w:r>
          </w:p>
        </w:tc>
        <w:tc>
          <w:tcPr>
            <w:tcW w:w="1224" w:type="dxa"/>
            <w:hideMark/>
          </w:tcPr>
          <w:p w14:paraId="67B591D8"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Positive</w:t>
            </w:r>
          </w:p>
        </w:tc>
        <w:tc>
          <w:tcPr>
            <w:tcW w:w="1269" w:type="dxa"/>
            <w:hideMark/>
          </w:tcPr>
          <w:p w14:paraId="3BA902E8"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CE RCT; significant CIE outcomes (aRR = 4.11)</w:t>
            </w:r>
          </w:p>
        </w:tc>
      </w:tr>
      <w:tr w:rsidR="00D0002F" w:rsidRPr="008052CD" w14:paraId="558B3540" w14:textId="77777777" w:rsidTr="00336D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26524DB7" w14:textId="77777777" w:rsidR="00D0002F" w:rsidRPr="00EE1E14" w:rsidRDefault="00D0002F" w:rsidP="00336D59">
            <w:pPr>
              <w:pStyle w:val="TableText"/>
            </w:pPr>
            <w:r w:rsidRPr="00EE1E14">
              <w:t>Butterworth, J., Migliore, A., Nye-Lengerman, K., Lyons, O., Gunty, A., Eastman, J., &amp; Foos, P. (2020). Using data-enabled performance feedback and guidance to assist employment consultants in their work with job seekers: An experimental study. Journal of Vocational Rehabilitation, 53(2), 189</w:t>
            </w:r>
            <w:r>
              <w:t>-</w:t>
            </w:r>
            <w:r w:rsidRPr="00EE1E14">
              <w:t>203.</w:t>
            </w:r>
          </w:p>
        </w:tc>
        <w:tc>
          <w:tcPr>
            <w:tcW w:w="1117" w:type="dxa"/>
            <w:hideMark/>
          </w:tcPr>
          <w:p w14:paraId="3E7C2E3C"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USA</w:t>
            </w:r>
          </w:p>
        </w:tc>
        <w:tc>
          <w:tcPr>
            <w:tcW w:w="1276" w:type="dxa"/>
            <w:hideMark/>
          </w:tcPr>
          <w:p w14:paraId="3D069BF3"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Quantitative</w:t>
            </w:r>
          </w:p>
        </w:tc>
        <w:tc>
          <w:tcPr>
            <w:tcW w:w="619" w:type="dxa"/>
            <w:hideMark/>
          </w:tcPr>
          <w:p w14:paraId="41997F30"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4</w:t>
            </w:r>
          </w:p>
        </w:tc>
        <w:tc>
          <w:tcPr>
            <w:tcW w:w="1224" w:type="dxa"/>
            <w:hideMark/>
          </w:tcPr>
          <w:p w14:paraId="38B119F9"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Mixed</w:t>
            </w:r>
          </w:p>
        </w:tc>
        <w:tc>
          <w:tcPr>
            <w:tcW w:w="1269" w:type="dxa"/>
            <w:hideMark/>
          </w:tcPr>
          <w:p w14:paraId="7D3E2E82"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 xml:space="preserve">Consultant-facing intervention; </w:t>
            </w:r>
            <w:r w:rsidRPr="008052CD">
              <w:rPr>
                <w:rFonts w:ascii="Arial" w:hAnsi="Arial" w:cs="Arial"/>
              </w:rPr>
              <w:t>↑</w:t>
            </w:r>
            <w:r w:rsidRPr="008052CD">
              <w:t xml:space="preserve"> hours worked, NS for earnings</w:t>
            </w:r>
          </w:p>
        </w:tc>
      </w:tr>
      <w:tr w:rsidR="00D0002F" w:rsidRPr="008052CD" w14:paraId="1BBE8061" w14:textId="77777777" w:rsidTr="00336D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5886B409" w14:textId="77777777" w:rsidR="00D0002F" w:rsidRPr="00EE1E14" w:rsidRDefault="00D0002F" w:rsidP="00336D59">
            <w:pPr>
              <w:pStyle w:val="TableText"/>
            </w:pPr>
            <w:r w:rsidRPr="00EE1E14">
              <w:t xml:space="preserve">Damianidou, D., Arthur-Kelly, M., Lyons, G., &amp; Wehmeyer, M. L. (2019). Technology use to support employment-related outcomes for people with intellectual and </w:t>
            </w:r>
            <w:r w:rsidRPr="00EE1E14">
              <w:lastRenderedPageBreak/>
              <w:t>developmental disability: An updated meta-analysis. International Journal of Developmental Disabilities, 65(4), 220</w:t>
            </w:r>
            <w:r>
              <w:t>-</w:t>
            </w:r>
            <w:r w:rsidRPr="00EE1E14">
              <w:t>230.</w:t>
            </w:r>
          </w:p>
        </w:tc>
        <w:tc>
          <w:tcPr>
            <w:tcW w:w="1117" w:type="dxa"/>
            <w:hideMark/>
          </w:tcPr>
          <w:p w14:paraId="42B5AAAA"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lastRenderedPageBreak/>
              <w:t>International</w:t>
            </w:r>
          </w:p>
        </w:tc>
        <w:tc>
          <w:tcPr>
            <w:tcW w:w="1276" w:type="dxa"/>
            <w:hideMark/>
          </w:tcPr>
          <w:p w14:paraId="4E611D17"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Quantitative</w:t>
            </w:r>
          </w:p>
        </w:tc>
        <w:tc>
          <w:tcPr>
            <w:tcW w:w="619" w:type="dxa"/>
            <w:hideMark/>
          </w:tcPr>
          <w:p w14:paraId="7EA5D351"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4</w:t>
            </w:r>
          </w:p>
        </w:tc>
        <w:tc>
          <w:tcPr>
            <w:tcW w:w="1224" w:type="dxa"/>
            <w:hideMark/>
          </w:tcPr>
          <w:p w14:paraId="3AA8D412"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Positive</w:t>
            </w:r>
          </w:p>
        </w:tc>
        <w:tc>
          <w:tcPr>
            <w:tcW w:w="1269" w:type="dxa"/>
            <w:hideMark/>
          </w:tcPr>
          <w:p w14:paraId="79DC83F0"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 xml:space="preserve">Meta-analysis of assistive tech; PND = 87; </w:t>
            </w:r>
            <w:r w:rsidRPr="008052CD">
              <w:lastRenderedPageBreak/>
              <w:t>moderated by ID severity and UD features</w:t>
            </w:r>
          </w:p>
        </w:tc>
      </w:tr>
      <w:tr w:rsidR="00D0002F" w:rsidRPr="008052CD" w14:paraId="535BB731" w14:textId="77777777" w:rsidTr="00336D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764FDC2E" w14:textId="77777777" w:rsidR="00D0002F" w:rsidRPr="00EE1E14" w:rsidRDefault="00D0002F" w:rsidP="00336D59">
            <w:pPr>
              <w:pStyle w:val="TableText"/>
            </w:pPr>
            <w:r w:rsidRPr="00EE1E14">
              <w:lastRenderedPageBreak/>
              <w:t>Brown, L., Schmid, S., Cutler, S., Kessler, K., &amp; Shiraga, B. (2021). When ordinary becomes extraordinary: A postschool follow</w:t>
            </w:r>
            <w:r>
              <w:t>-</w:t>
            </w:r>
            <w:r w:rsidRPr="00EE1E14">
              <w:t>up study of the integrated vocational functioning of 50 workers with significant intellectual disabilities, 1984</w:t>
            </w:r>
            <w:r>
              <w:t>-</w:t>
            </w:r>
            <w:r w:rsidRPr="00EE1E14">
              <w:t>2020. Journal of Vocational Rehabilitation, 54(2), 211</w:t>
            </w:r>
            <w:r>
              <w:t>-</w:t>
            </w:r>
            <w:r w:rsidRPr="00EE1E14">
              <w:t>253.</w:t>
            </w:r>
          </w:p>
        </w:tc>
        <w:tc>
          <w:tcPr>
            <w:tcW w:w="1117" w:type="dxa"/>
            <w:hideMark/>
          </w:tcPr>
          <w:p w14:paraId="70BED3D5"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USA</w:t>
            </w:r>
          </w:p>
        </w:tc>
        <w:tc>
          <w:tcPr>
            <w:tcW w:w="1276" w:type="dxa"/>
            <w:hideMark/>
          </w:tcPr>
          <w:p w14:paraId="63D18DA2"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Quantitative</w:t>
            </w:r>
          </w:p>
        </w:tc>
        <w:tc>
          <w:tcPr>
            <w:tcW w:w="619" w:type="dxa"/>
            <w:hideMark/>
          </w:tcPr>
          <w:p w14:paraId="79337868"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3</w:t>
            </w:r>
          </w:p>
        </w:tc>
        <w:tc>
          <w:tcPr>
            <w:tcW w:w="1224" w:type="dxa"/>
            <w:hideMark/>
          </w:tcPr>
          <w:p w14:paraId="469F37F3"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Positive</w:t>
            </w:r>
          </w:p>
        </w:tc>
        <w:tc>
          <w:tcPr>
            <w:tcW w:w="1269" w:type="dxa"/>
            <w:hideMark/>
          </w:tcPr>
          <w:p w14:paraId="65323D04"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36-year follow-up; sustained integration</w:t>
            </w:r>
          </w:p>
        </w:tc>
      </w:tr>
      <w:tr w:rsidR="00D0002F" w:rsidRPr="008052CD" w14:paraId="528FF005" w14:textId="77777777" w:rsidTr="00336D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008FAC7F" w14:textId="77777777" w:rsidR="00D0002F" w:rsidRPr="00EE1E14" w:rsidRDefault="00D0002F" w:rsidP="00336D59">
            <w:pPr>
              <w:pStyle w:val="TableText"/>
            </w:pPr>
            <w:r w:rsidRPr="00EE1E14">
              <w:t>Berástegui, A., Suárez, G., &amp; González, M. D. (2024). Competencies and employment after a university program in young people with intellectual disabilities. Journal of Intellectual Disabilities, 28(3), 615</w:t>
            </w:r>
            <w:r>
              <w:t>-</w:t>
            </w:r>
            <w:r w:rsidRPr="00EE1E14">
              <w:t>628.</w:t>
            </w:r>
          </w:p>
        </w:tc>
        <w:tc>
          <w:tcPr>
            <w:tcW w:w="1117" w:type="dxa"/>
            <w:hideMark/>
          </w:tcPr>
          <w:p w14:paraId="22D92183"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Spain</w:t>
            </w:r>
          </w:p>
        </w:tc>
        <w:tc>
          <w:tcPr>
            <w:tcW w:w="1276" w:type="dxa"/>
            <w:hideMark/>
          </w:tcPr>
          <w:p w14:paraId="7EE759DB"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Quantitative</w:t>
            </w:r>
          </w:p>
        </w:tc>
        <w:tc>
          <w:tcPr>
            <w:tcW w:w="619" w:type="dxa"/>
            <w:hideMark/>
          </w:tcPr>
          <w:p w14:paraId="0C6F25E7"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3</w:t>
            </w:r>
          </w:p>
        </w:tc>
        <w:tc>
          <w:tcPr>
            <w:tcW w:w="1224" w:type="dxa"/>
            <w:hideMark/>
          </w:tcPr>
          <w:p w14:paraId="1F0DCA0A"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Positive</w:t>
            </w:r>
          </w:p>
        </w:tc>
        <w:tc>
          <w:tcPr>
            <w:tcW w:w="1269" w:type="dxa"/>
            <w:hideMark/>
          </w:tcPr>
          <w:p w14:paraId="6F0CA12B"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University-based training; OR = 1.11 per skill</w:t>
            </w:r>
          </w:p>
        </w:tc>
      </w:tr>
      <w:tr w:rsidR="00D0002F" w:rsidRPr="008052CD" w14:paraId="6B0170A3" w14:textId="77777777" w:rsidTr="00336D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76F7E454" w14:textId="77777777" w:rsidR="00D0002F" w:rsidRPr="00EE1E14" w:rsidRDefault="00D0002F" w:rsidP="00336D59">
            <w:pPr>
              <w:pStyle w:val="TableText"/>
            </w:pPr>
            <w:r w:rsidRPr="00EE1E14">
              <w:t>Gomes-Machado, M. L., Santos, F. H., Schoen, T., &amp; Chiari, B. (2016). Effects of Vocational Training on a Group of People with Intellectual Disabilities. Journal of Policy and Practice in Intellectual Disabilities, 13(1), 33</w:t>
            </w:r>
            <w:r>
              <w:t>-</w:t>
            </w:r>
            <w:r w:rsidRPr="00EE1E14">
              <w:t>40.</w:t>
            </w:r>
          </w:p>
        </w:tc>
        <w:tc>
          <w:tcPr>
            <w:tcW w:w="1117" w:type="dxa"/>
            <w:hideMark/>
          </w:tcPr>
          <w:p w14:paraId="1EFF55AA"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Brazil</w:t>
            </w:r>
          </w:p>
        </w:tc>
        <w:tc>
          <w:tcPr>
            <w:tcW w:w="1276" w:type="dxa"/>
            <w:hideMark/>
          </w:tcPr>
          <w:p w14:paraId="44862ADB"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Quantitative</w:t>
            </w:r>
          </w:p>
        </w:tc>
        <w:tc>
          <w:tcPr>
            <w:tcW w:w="619" w:type="dxa"/>
            <w:hideMark/>
          </w:tcPr>
          <w:p w14:paraId="6A26F410"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3</w:t>
            </w:r>
          </w:p>
        </w:tc>
        <w:tc>
          <w:tcPr>
            <w:tcW w:w="1224" w:type="dxa"/>
            <w:hideMark/>
          </w:tcPr>
          <w:p w14:paraId="736E0837"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Positive</w:t>
            </w:r>
          </w:p>
        </w:tc>
        <w:tc>
          <w:tcPr>
            <w:tcW w:w="1269" w:type="dxa"/>
            <w:hideMark/>
          </w:tcPr>
          <w:p w14:paraId="5F3E103A"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100% employed at 1-year follow-up; high satisfaction</w:t>
            </w:r>
          </w:p>
        </w:tc>
      </w:tr>
      <w:tr w:rsidR="00D0002F" w:rsidRPr="008052CD" w14:paraId="49D6DA54" w14:textId="77777777" w:rsidTr="00336D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314B08D0" w14:textId="77777777" w:rsidR="00D0002F" w:rsidRPr="00EE1E14" w:rsidRDefault="00D0002F" w:rsidP="00336D59">
            <w:pPr>
              <w:pStyle w:val="TableText"/>
            </w:pPr>
            <w:r w:rsidRPr="00EE1E14">
              <w:t>Sung, C., Fisher, M. H., Okyere, C., Park, J., &amp; Choi, H. (2023). Employment outcomes and support needs of Michigan Project SEARCH graduates with intellectual and developmental disabilities: A mixed-method study. Journal of Vocational Rehabilitation, 59(3), 233</w:t>
            </w:r>
            <w:r>
              <w:t>-</w:t>
            </w:r>
            <w:r w:rsidRPr="00EE1E14">
              <w:t>249.</w:t>
            </w:r>
          </w:p>
        </w:tc>
        <w:tc>
          <w:tcPr>
            <w:tcW w:w="1117" w:type="dxa"/>
            <w:hideMark/>
          </w:tcPr>
          <w:p w14:paraId="269DE71C"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USA</w:t>
            </w:r>
          </w:p>
        </w:tc>
        <w:tc>
          <w:tcPr>
            <w:tcW w:w="1276" w:type="dxa"/>
            <w:hideMark/>
          </w:tcPr>
          <w:p w14:paraId="12B7E4F5" w14:textId="77777777" w:rsidR="00D0002F"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Mixed</w:t>
            </w:r>
          </w:p>
          <w:p w14:paraId="33D73EEE"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methods</w:t>
            </w:r>
          </w:p>
        </w:tc>
        <w:tc>
          <w:tcPr>
            <w:tcW w:w="619" w:type="dxa"/>
            <w:hideMark/>
          </w:tcPr>
          <w:p w14:paraId="63960594"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3</w:t>
            </w:r>
          </w:p>
        </w:tc>
        <w:tc>
          <w:tcPr>
            <w:tcW w:w="1224" w:type="dxa"/>
            <w:hideMark/>
          </w:tcPr>
          <w:p w14:paraId="0D60E5CC"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Positive</w:t>
            </w:r>
          </w:p>
        </w:tc>
        <w:tc>
          <w:tcPr>
            <w:tcW w:w="1269" w:type="dxa"/>
            <w:hideMark/>
          </w:tcPr>
          <w:p w14:paraId="595C6D38"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Project SEARCH; 77% employed; 75% retained</w:t>
            </w:r>
          </w:p>
        </w:tc>
      </w:tr>
      <w:tr w:rsidR="00D0002F" w:rsidRPr="008052CD" w14:paraId="2409B409" w14:textId="77777777" w:rsidTr="00336D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5282B250" w14:textId="77777777" w:rsidR="00D0002F" w:rsidRPr="00EE1E14" w:rsidRDefault="00D0002F" w:rsidP="00336D59">
            <w:pPr>
              <w:pStyle w:val="TableText"/>
            </w:pPr>
            <w:r w:rsidRPr="00EE1E14">
              <w:t>Schwartzman, B. C. (2021). Mixed methods analysis of an exploratory apprenticeship model employment program for young adults with developmental disabilities. Journal of Vocational Rehabilitation, 55(2), 185</w:t>
            </w:r>
            <w:r>
              <w:t>-</w:t>
            </w:r>
            <w:r w:rsidRPr="00EE1E14">
              <w:t>205.</w:t>
            </w:r>
          </w:p>
        </w:tc>
        <w:tc>
          <w:tcPr>
            <w:tcW w:w="1117" w:type="dxa"/>
            <w:hideMark/>
          </w:tcPr>
          <w:p w14:paraId="7AFF932E"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USA</w:t>
            </w:r>
          </w:p>
        </w:tc>
        <w:tc>
          <w:tcPr>
            <w:tcW w:w="1276" w:type="dxa"/>
            <w:hideMark/>
          </w:tcPr>
          <w:p w14:paraId="39BE5009"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Mixed methods</w:t>
            </w:r>
          </w:p>
        </w:tc>
        <w:tc>
          <w:tcPr>
            <w:tcW w:w="619" w:type="dxa"/>
            <w:hideMark/>
          </w:tcPr>
          <w:p w14:paraId="55113A91"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3</w:t>
            </w:r>
          </w:p>
        </w:tc>
        <w:tc>
          <w:tcPr>
            <w:tcW w:w="1224" w:type="dxa"/>
            <w:hideMark/>
          </w:tcPr>
          <w:p w14:paraId="1100A997"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Positive</w:t>
            </w:r>
          </w:p>
        </w:tc>
        <w:tc>
          <w:tcPr>
            <w:tcW w:w="1269" w:type="dxa"/>
            <w:hideMark/>
          </w:tcPr>
          <w:p w14:paraId="6176C252"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 xml:space="preserve">Apprenticeship model; </w:t>
            </w:r>
            <w:r w:rsidRPr="008052CD">
              <w:rPr>
                <w:rFonts w:ascii="Arial" w:hAnsi="Arial" w:cs="Arial"/>
              </w:rPr>
              <w:t>↑</w:t>
            </w:r>
            <w:r w:rsidRPr="008052CD">
              <w:t xml:space="preserve"> vocational confidence</w:t>
            </w:r>
          </w:p>
        </w:tc>
      </w:tr>
      <w:tr w:rsidR="00D0002F" w:rsidRPr="008052CD" w14:paraId="0B2DC2A0" w14:textId="77777777" w:rsidTr="00336D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234C747E" w14:textId="77777777" w:rsidR="00D0002F" w:rsidRPr="00EE1E14" w:rsidRDefault="00D0002F" w:rsidP="00336D59">
            <w:pPr>
              <w:pStyle w:val="TableText"/>
            </w:pPr>
            <w:r w:rsidRPr="00EE1E14">
              <w:lastRenderedPageBreak/>
              <w:t>Kiegaldie, D., Shaw, L., Hunter, S., Davis, J., Siddel, H., &amp; O’Brien, M. (2023). An integrated practical placement programme for students with disability: A pilot study. Journal of Intellectual Disabilities, 27(4), 994</w:t>
            </w:r>
            <w:r>
              <w:t>-</w:t>
            </w:r>
            <w:r w:rsidRPr="00EE1E14">
              <w:t>1012.</w:t>
            </w:r>
          </w:p>
        </w:tc>
        <w:tc>
          <w:tcPr>
            <w:tcW w:w="1117" w:type="dxa"/>
            <w:hideMark/>
          </w:tcPr>
          <w:p w14:paraId="471DDA98"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Australia</w:t>
            </w:r>
          </w:p>
        </w:tc>
        <w:tc>
          <w:tcPr>
            <w:tcW w:w="1276" w:type="dxa"/>
            <w:hideMark/>
          </w:tcPr>
          <w:p w14:paraId="5F57C45F"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Mixed methods</w:t>
            </w:r>
          </w:p>
        </w:tc>
        <w:tc>
          <w:tcPr>
            <w:tcW w:w="619" w:type="dxa"/>
            <w:hideMark/>
          </w:tcPr>
          <w:p w14:paraId="45155178"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3</w:t>
            </w:r>
          </w:p>
        </w:tc>
        <w:tc>
          <w:tcPr>
            <w:tcW w:w="1224" w:type="dxa"/>
            <w:hideMark/>
          </w:tcPr>
          <w:p w14:paraId="5DE34414"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Positive</w:t>
            </w:r>
          </w:p>
        </w:tc>
        <w:tc>
          <w:tcPr>
            <w:tcW w:w="1269" w:type="dxa"/>
            <w:hideMark/>
          </w:tcPr>
          <w:p w14:paraId="72B7AB26" w14:textId="77777777" w:rsidR="00D0002F" w:rsidRPr="008052CD" w:rsidRDefault="00D0002F" w:rsidP="00336D59">
            <w:pPr>
              <w:pStyle w:val="TableText"/>
              <w:cnfStyle w:val="000000010000" w:firstRow="0" w:lastRow="0" w:firstColumn="0" w:lastColumn="0" w:oddVBand="0" w:evenVBand="0" w:oddHBand="0" w:evenHBand="1" w:firstRowFirstColumn="0" w:firstRowLastColumn="0" w:lastRowFirstColumn="0" w:lastRowLastColumn="0"/>
            </w:pPr>
            <w:r w:rsidRPr="008052CD">
              <w:t>IPP pilot; 70% employment vs 15.4% comparison</w:t>
            </w:r>
          </w:p>
        </w:tc>
      </w:tr>
      <w:tr w:rsidR="00D0002F" w:rsidRPr="008052CD" w14:paraId="0B4A3A6D" w14:textId="77777777" w:rsidTr="00336D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3" w:type="dxa"/>
            <w:hideMark/>
          </w:tcPr>
          <w:p w14:paraId="7590244D" w14:textId="77777777" w:rsidR="00D0002F" w:rsidRPr="00EE1E14" w:rsidRDefault="00D0002F" w:rsidP="00336D59">
            <w:pPr>
              <w:pStyle w:val="TableText"/>
            </w:pPr>
            <w:r w:rsidRPr="00EE1E14">
              <w:t>Gilson, C. B., Carter, E. W., Bumble, J. L., &amp; McMillan, E. D. (2018). Family perspectives on integrated employment for adults with intellectual and developmental disabilities. Research and Practice for Persons with Severe Disabilities, 43(1), 20</w:t>
            </w:r>
            <w:r>
              <w:t>-</w:t>
            </w:r>
            <w:r w:rsidRPr="00EE1E14">
              <w:t>37. https://doi.org/10.1177/1540796917751134</w:t>
            </w:r>
          </w:p>
        </w:tc>
        <w:tc>
          <w:tcPr>
            <w:tcW w:w="1117" w:type="dxa"/>
            <w:hideMark/>
          </w:tcPr>
          <w:p w14:paraId="35CD964F"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USA</w:t>
            </w:r>
          </w:p>
        </w:tc>
        <w:tc>
          <w:tcPr>
            <w:tcW w:w="1276" w:type="dxa"/>
            <w:hideMark/>
          </w:tcPr>
          <w:p w14:paraId="2B0C239A"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Quantitative</w:t>
            </w:r>
          </w:p>
        </w:tc>
        <w:tc>
          <w:tcPr>
            <w:tcW w:w="619" w:type="dxa"/>
            <w:hideMark/>
          </w:tcPr>
          <w:p w14:paraId="0BBE88B1"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3</w:t>
            </w:r>
          </w:p>
        </w:tc>
        <w:tc>
          <w:tcPr>
            <w:tcW w:w="1224" w:type="dxa"/>
            <w:hideMark/>
          </w:tcPr>
          <w:p w14:paraId="278E9531"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Positive</w:t>
            </w:r>
          </w:p>
        </w:tc>
        <w:tc>
          <w:tcPr>
            <w:tcW w:w="1269" w:type="dxa"/>
            <w:hideMark/>
          </w:tcPr>
          <w:p w14:paraId="23FE36B2"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r w:rsidRPr="008052CD">
              <w:t>Family perspectives; job quality and implementation barriers/enablers</w:t>
            </w:r>
          </w:p>
          <w:p w14:paraId="6A84FF7C" w14:textId="77777777" w:rsidR="00D0002F" w:rsidRPr="008052CD" w:rsidRDefault="00D0002F" w:rsidP="00336D59">
            <w:pPr>
              <w:pStyle w:val="TableText"/>
              <w:cnfStyle w:val="000000100000" w:firstRow="0" w:lastRow="0" w:firstColumn="0" w:lastColumn="0" w:oddVBand="0" w:evenVBand="0" w:oddHBand="1" w:evenHBand="0" w:firstRowFirstColumn="0" w:firstRowLastColumn="0" w:lastRowFirstColumn="0" w:lastRowLastColumn="0"/>
            </w:pPr>
          </w:p>
        </w:tc>
      </w:tr>
    </w:tbl>
    <w:p w14:paraId="39B01D2C" w14:textId="77777777" w:rsidR="00D0002F" w:rsidRDefault="00D0002F" w:rsidP="00D0002F"/>
    <w:p w14:paraId="345BF5F4" w14:textId="77777777" w:rsidR="00D0002F" w:rsidRDefault="00D0002F" w:rsidP="00D0002F">
      <w:r>
        <w:br w:type="page"/>
      </w:r>
    </w:p>
    <w:p w14:paraId="46F76ABB" w14:textId="757D8FD0" w:rsidR="00D0002F" w:rsidRDefault="00D0002F" w:rsidP="00D0002F">
      <w:pPr>
        <w:pStyle w:val="Heading2"/>
      </w:pPr>
      <w:bookmarkStart w:id="86" w:name="_Toc231220096"/>
      <w:r>
        <w:lastRenderedPageBreak/>
        <w:t xml:space="preserve">Appendix G. </w:t>
      </w:r>
      <w:r w:rsidRPr="00ED411B">
        <w:t xml:space="preserve">Appraisal </w:t>
      </w:r>
      <w:r w:rsidR="00336D59" w:rsidRPr="00ED411B">
        <w:t>tools and certainty assessment frameworks</w:t>
      </w:r>
      <w:bookmarkEnd w:id="86"/>
    </w:p>
    <w:p w14:paraId="1CC660A7" w14:textId="77777777" w:rsidR="00D0002F" w:rsidRPr="008052CD" w:rsidRDefault="00D0002F" w:rsidP="00336D59">
      <w:pPr>
        <w:pStyle w:val="TableCaption"/>
      </w:pPr>
      <w:r w:rsidRPr="008052CD">
        <w:t>Table G1. Overview of Appraisal and Certainty Tools</w:t>
      </w:r>
    </w:p>
    <w:tbl>
      <w:tblPr>
        <w:tblStyle w:val="CIETable"/>
        <w:tblW w:w="0" w:type="auto"/>
        <w:tblLook w:val="04A0" w:firstRow="1" w:lastRow="0" w:firstColumn="1" w:lastColumn="0" w:noHBand="0" w:noVBand="1"/>
      </w:tblPr>
      <w:tblGrid>
        <w:gridCol w:w="2405"/>
        <w:gridCol w:w="2268"/>
        <w:gridCol w:w="2268"/>
        <w:gridCol w:w="2680"/>
      </w:tblGrid>
      <w:tr w:rsidR="00D0002F" w:rsidRPr="00ED411B" w14:paraId="2F1FC1ED" w14:textId="77777777" w:rsidTr="00C54A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hideMark/>
          </w:tcPr>
          <w:p w14:paraId="01769C8C" w14:textId="77777777" w:rsidR="00D0002F" w:rsidRPr="008052CD" w:rsidRDefault="00D0002F" w:rsidP="00C54A3F">
            <w:pPr>
              <w:pStyle w:val="TableHeading"/>
            </w:pPr>
            <w:r w:rsidRPr="008052CD">
              <w:t>Tool / Framework</w:t>
            </w:r>
          </w:p>
        </w:tc>
        <w:tc>
          <w:tcPr>
            <w:tcW w:w="2268" w:type="dxa"/>
            <w:hideMark/>
          </w:tcPr>
          <w:p w14:paraId="3E604AFA" w14:textId="77777777" w:rsidR="00D0002F" w:rsidRPr="008052CD" w:rsidRDefault="00D0002F" w:rsidP="00C54A3F">
            <w:pPr>
              <w:pStyle w:val="TableHeading"/>
              <w:cnfStyle w:val="100000000000" w:firstRow="1" w:lastRow="0" w:firstColumn="0" w:lastColumn="0" w:oddVBand="0" w:evenVBand="0" w:oddHBand="0" w:evenHBand="0" w:firstRowFirstColumn="0" w:firstRowLastColumn="0" w:lastRowFirstColumn="0" w:lastRowLastColumn="0"/>
            </w:pPr>
            <w:r w:rsidRPr="008052CD">
              <w:t>Purpose</w:t>
            </w:r>
          </w:p>
        </w:tc>
        <w:tc>
          <w:tcPr>
            <w:tcW w:w="2268" w:type="dxa"/>
            <w:hideMark/>
          </w:tcPr>
          <w:p w14:paraId="0F29216E" w14:textId="77777777" w:rsidR="00D0002F" w:rsidRPr="008052CD" w:rsidRDefault="00D0002F" w:rsidP="00C54A3F">
            <w:pPr>
              <w:pStyle w:val="TableHeading"/>
              <w:cnfStyle w:val="100000000000" w:firstRow="1" w:lastRow="0" w:firstColumn="0" w:lastColumn="0" w:oddVBand="0" w:evenVBand="0" w:oddHBand="0" w:evenHBand="0" w:firstRowFirstColumn="0" w:firstRowLastColumn="0" w:lastRowFirstColumn="0" w:lastRowLastColumn="0"/>
            </w:pPr>
            <w:r w:rsidRPr="008052CD">
              <w:t>Evidence Type Applied To</w:t>
            </w:r>
          </w:p>
        </w:tc>
        <w:tc>
          <w:tcPr>
            <w:tcW w:w="2680" w:type="dxa"/>
            <w:hideMark/>
          </w:tcPr>
          <w:p w14:paraId="37F43847" w14:textId="77777777" w:rsidR="00D0002F" w:rsidRPr="008052CD" w:rsidRDefault="00D0002F" w:rsidP="00C54A3F">
            <w:pPr>
              <w:pStyle w:val="TableHeading"/>
              <w:cnfStyle w:val="100000000000" w:firstRow="1" w:lastRow="0" w:firstColumn="0" w:lastColumn="0" w:oddVBand="0" w:evenVBand="0" w:oddHBand="0" w:evenHBand="0" w:firstRowFirstColumn="0" w:firstRowLastColumn="0" w:lastRowFirstColumn="0" w:lastRowLastColumn="0"/>
            </w:pPr>
            <w:r w:rsidRPr="008052CD">
              <w:t>Key Domains Assessed</w:t>
            </w:r>
          </w:p>
        </w:tc>
      </w:tr>
      <w:tr w:rsidR="00D0002F" w:rsidRPr="00C54A3F" w14:paraId="53C4F796" w14:textId="77777777" w:rsidTr="00C54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705F7B89" w14:textId="77777777" w:rsidR="00D0002F" w:rsidRPr="00C54A3F" w:rsidRDefault="00D0002F" w:rsidP="00C54A3F">
            <w:pPr>
              <w:pStyle w:val="TableText"/>
            </w:pPr>
            <w:r w:rsidRPr="00C54A3F">
              <w:t>GRADE (Grading of Recommendations Assessment, Development and Evaluation)</w:t>
            </w:r>
          </w:p>
        </w:tc>
        <w:tc>
          <w:tcPr>
            <w:tcW w:w="2268" w:type="dxa"/>
            <w:hideMark/>
          </w:tcPr>
          <w:p w14:paraId="1A1319D4"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To assess certainty in quantitative evidence and inform strength of recommendations</w:t>
            </w:r>
          </w:p>
        </w:tc>
        <w:tc>
          <w:tcPr>
            <w:tcW w:w="2268" w:type="dxa"/>
            <w:hideMark/>
          </w:tcPr>
          <w:p w14:paraId="69D2926F"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Quantitative outcomes from post-SR primary studies</w:t>
            </w:r>
          </w:p>
        </w:tc>
        <w:tc>
          <w:tcPr>
            <w:tcW w:w="2680" w:type="dxa"/>
            <w:hideMark/>
          </w:tcPr>
          <w:p w14:paraId="4E48A3E9"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Risk of bias, inconsistency, indirectness, imprecision, publication bias</w:t>
            </w:r>
          </w:p>
        </w:tc>
      </w:tr>
      <w:tr w:rsidR="00D0002F" w:rsidRPr="00C54A3F" w14:paraId="48EA3FAB" w14:textId="77777777" w:rsidTr="00C54A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465B1C72" w14:textId="77777777" w:rsidR="00D0002F" w:rsidRPr="00C54A3F" w:rsidRDefault="00D0002F" w:rsidP="00C54A3F">
            <w:pPr>
              <w:pStyle w:val="TableText"/>
            </w:pPr>
            <w:r w:rsidRPr="00C54A3F">
              <w:t>GRADE-CERQual (Confidence in the Evidence from Reviews of Qualitative Research)</w:t>
            </w:r>
          </w:p>
        </w:tc>
        <w:tc>
          <w:tcPr>
            <w:tcW w:w="2268" w:type="dxa"/>
            <w:hideMark/>
          </w:tcPr>
          <w:p w14:paraId="305F0AEC" w14:textId="77777777" w:rsidR="00D0002F" w:rsidRPr="00C54A3F" w:rsidRDefault="00D0002F" w:rsidP="00C54A3F">
            <w:pPr>
              <w:pStyle w:val="TableText"/>
              <w:cnfStyle w:val="000000010000" w:firstRow="0" w:lastRow="0" w:firstColumn="0" w:lastColumn="0" w:oddVBand="0" w:evenVBand="0" w:oddHBand="0" w:evenHBand="1" w:firstRowFirstColumn="0" w:firstRowLastColumn="0" w:lastRowFirstColumn="0" w:lastRowLastColumn="0"/>
            </w:pPr>
            <w:r w:rsidRPr="00C54A3F">
              <w:t>To assess confidence in synthesised qualitative findings</w:t>
            </w:r>
          </w:p>
        </w:tc>
        <w:tc>
          <w:tcPr>
            <w:tcW w:w="2268" w:type="dxa"/>
            <w:hideMark/>
          </w:tcPr>
          <w:p w14:paraId="4932BA7A" w14:textId="77777777" w:rsidR="00D0002F" w:rsidRPr="00C54A3F" w:rsidRDefault="00D0002F" w:rsidP="00C54A3F">
            <w:pPr>
              <w:pStyle w:val="TableText"/>
              <w:cnfStyle w:val="000000010000" w:firstRow="0" w:lastRow="0" w:firstColumn="0" w:lastColumn="0" w:oddVBand="0" w:evenVBand="0" w:oddHBand="0" w:evenHBand="1" w:firstRowFirstColumn="0" w:firstRowLastColumn="0" w:lastRowFirstColumn="0" w:lastRowLastColumn="0"/>
            </w:pPr>
            <w:r w:rsidRPr="00C54A3F">
              <w:t>Synthesised qualitative themes (e.g., lived experience sub-stream)</w:t>
            </w:r>
          </w:p>
        </w:tc>
        <w:tc>
          <w:tcPr>
            <w:tcW w:w="2680" w:type="dxa"/>
            <w:hideMark/>
          </w:tcPr>
          <w:p w14:paraId="3A28C3BF" w14:textId="77777777" w:rsidR="00D0002F" w:rsidRPr="00C54A3F" w:rsidRDefault="00D0002F" w:rsidP="00C54A3F">
            <w:pPr>
              <w:pStyle w:val="TableText"/>
              <w:cnfStyle w:val="000000010000" w:firstRow="0" w:lastRow="0" w:firstColumn="0" w:lastColumn="0" w:oddVBand="0" w:evenVBand="0" w:oddHBand="0" w:evenHBand="1" w:firstRowFirstColumn="0" w:firstRowLastColumn="0" w:lastRowFirstColumn="0" w:lastRowLastColumn="0"/>
            </w:pPr>
            <w:r w:rsidRPr="00C54A3F">
              <w:t>Methodological limitations, coherence, adequacy of data, relevance</w:t>
            </w:r>
          </w:p>
        </w:tc>
      </w:tr>
      <w:tr w:rsidR="00D0002F" w:rsidRPr="00C54A3F" w14:paraId="32571061" w14:textId="77777777" w:rsidTr="00C54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5D994F52" w14:textId="77777777" w:rsidR="00D0002F" w:rsidRPr="00C54A3F" w:rsidRDefault="00D0002F" w:rsidP="00C54A3F">
            <w:pPr>
              <w:pStyle w:val="TableText"/>
            </w:pPr>
            <w:r w:rsidRPr="00C54A3F">
              <w:t>AERO Standards of Evidence</w:t>
            </w:r>
          </w:p>
        </w:tc>
        <w:tc>
          <w:tcPr>
            <w:tcW w:w="2268" w:type="dxa"/>
            <w:hideMark/>
          </w:tcPr>
          <w:p w14:paraId="5D84F293"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To classify evidence by rigour and relevance for practice translation</w:t>
            </w:r>
          </w:p>
        </w:tc>
        <w:tc>
          <w:tcPr>
            <w:tcW w:w="2268" w:type="dxa"/>
            <w:hideMark/>
          </w:tcPr>
          <w:p w14:paraId="505ADFEC"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All evidence types, including grey literature and mixed-methods studies</w:t>
            </w:r>
          </w:p>
        </w:tc>
        <w:tc>
          <w:tcPr>
            <w:tcW w:w="2680" w:type="dxa"/>
            <w:hideMark/>
          </w:tcPr>
          <w:p w14:paraId="494D3780"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Study design, implementation quality, outcome relevance, replicability, applicability</w:t>
            </w:r>
          </w:p>
        </w:tc>
      </w:tr>
    </w:tbl>
    <w:p w14:paraId="511C1BC6" w14:textId="77777777" w:rsidR="00D0002F" w:rsidRPr="008052CD" w:rsidRDefault="00D0002F" w:rsidP="00C54A3F">
      <w:pPr>
        <w:pStyle w:val="TableCaption"/>
      </w:pPr>
      <w:r w:rsidRPr="008052CD">
        <w:t>Table G2. Application of Tools Across Evidence Streams</w:t>
      </w:r>
    </w:p>
    <w:tbl>
      <w:tblPr>
        <w:tblStyle w:val="CIETable"/>
        <w:tblW w:w="0" w:type="auto"/>
        <w:tblLook w:val="04A0" w:firstRow="1" w:lastRow="0" w:firstColumn="1" w:lastColumn="0" w:noHBand="0" w:noVBand="1"/>
      </w:tblPr>
      <w:tblGrid>
        <w:gridCol w:w="2630"/>
        <w:gridCol w:w="2726"/>
        <w:gridCol w:w="4272"/>
      </w:tblGrid>
      <w:tr w:rsidR="00D0002F" w:rsidRPr="00ED411B" w14:paraId="70016A44" w14:textId="77777777" w:rsidTr="00C54A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E626029" w14:textId="77777777" w:rsidR="00D0002F" w:rsidRPr="008052CD" w:rsidRDefault="00D0002F" w:rsidP="00C54A3F">
            <w:pPr>
              <w:pStyle w:val="TableHeading"/>
            </w:pPr>
            <w:r w:rsidRPr="008052CD">
              <w:t>Evidence Stream</w:t>
            </w:r>
          </w:p>
        </w:tc>
        <w:tc>
          <w:tcPr>
            <w:tcW w:w="2726" w:type="dxa"/>
            <w:hideMark/>
          </w:tcPr>
          <w:p w14:paraId="5F0FC794" w14:textId="77777777" w:rsidR="00D0002F" w:rsidRPr="008052CD" w:rsidRDefault="00D0002F" w:rsidP="00C54A3F">
            <w:pPr>
              <w:pStyle w:val="TableHeading"/>
              <w:cnfStyle w:val="100000000000" w:firstRow="1" w:lastRow="0" w:firstColumn="0" w:lastColumn="0" w:oddVBand="0" w:evenVBand="0" w:oddHBand="0" w:evenHBand="0" w:firstRowFirstColumn="0" w:firstRowLastColumn="0" w:lastRowFirstColumn="0" w:lastRowLastColumn="0"/>
            </w:pPr>
            <w:r w:rsidRPr="008052CD">
              <w:t>Appraisal Tool(s) Applied</w:t>
            </w:r>
          </w:p>
        </w:tc>
        <w:tc>
          <w:tcPr>
            <w:tcW w:w="4272" w:type="dxa"/>
            <w:hideMark/>
          </w:tcPr>
          <w:p w14:paraId="7B686BED" w14:textId="77777777" w:rsidR="00D0002F" w:rsidRPr="008052CD" w:rsidRDefault="00D0002F" w:rsidP="00C54A3F">
            <w:pPr>
              <w:pStyle w:val="TableHeading"/>
              <w:cnfStyle w:val="100000000000" w:firstRow="1" w:lastRow="0" w:firstColumn="0" w:lastColumn="0" w:oddVBand="0" w:evenVBand="0" w:oddHBand="0" w:evenHBand="0" w:firstRowFirstColumn="0" w:firstRowLastColumn="0" w:lastRowFirstColumn="0" w:lastRowLastColumn="0"/>
            </w:pPr>
            <w:r w:rsidRPr="008052CD">
              <w:t>Notes</w:t>
            </w:r>
          </w:p>
        </w:tc>
      </w:tr>
      <w:tr w:rsidR="00D0002F" w:rsidRPr="00C54A3F" w14:paraId="3F3F0E4F" w14:textId="77777777" w:rsidTr="00C54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56A69F" w14:textId="77777777" w:rsidR="00D0002F" w:rsidRPr="00C54A3F" w:rsidRDefault="00D0002F" w:rsidP="00C54A3F">
            <w:pPr>
              <w:pStyle w:val="TableText"/>
            </w:pPr>
            <w:r w:rsidRPr="00C54A3F">
              <w:t>Systematic reviews (SR-level synthesis)</w:t>
            </w:r>
          </w:p>
        </w:tc>
        <w:tc>
          <w:tcPr>
            <w:tcW w:w="2726" w:type="dxa"/>
            <w:hideMark/>
          </w:tcPr>
          <w:p w14:paraId="7442D53C"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AERO</w:t>
            </w:r>
          </w:p>
        </w:tc>
        <w:tc>
          <w:tcPr>
            <w:tcW w:w="4272" w:type="dxa"/>
            <w:hideMark/>
          </w:tcPr>
          <w:p w14:paraId="42FB56D5"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SRs were assessed for methodological rigour and relevance to practice</w:t>
            </w:r>
          </w:p>
        </w:tc>
      </w:tr>
      <w:tr w:rsidR="00D0002F" w:rsidRPr="00C54A3F" w14:paraId="3510D9E6" w14:textId="77777777" w:rsidTr="00C54A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14B9DF" w14:textId="77777777" w:rsidR="00D0002F" w:rsidRPr="00C54A3F" w:rsidRDefault="00D0002F" w:rsidP="00C54A3F">
            <w:pPr>
              <w:pStyle w:val="TableText"/>
            </w:pPr>
            <w:r w:rsidRPr="00C54A3F">
              <w:t>Post-SR primary studies (quantitative)</w:t>
            </w:r>
          </w:p>
        </w:tc>
        <w:tc>
          <w:tcPr>
            <w:tcW w:w="2726" w:type="dxa"/>
            <w:hideMark/>
          </w:tcPr>
          <w:p w14:paraId="432BA3A9" w14:textId="77777777" w:rsidR="00D0002F" w:rsidRPr="00C54A3F" w:rsidRDefault="00D0002F" w:rsidP="00C54A3F">
            <w:pPr>
              <w:pStyle w:val="TableText"/>
              <w:cnfStyle w:val="000000010000" w:firstRow="0" w:lastRow="0" w:firstColumn="0" w:lastColumn="0" w:oddVBand="0" w:evenVBand="0" w:oddHBand="0" w:evenHBand="1" w:firstRowFirstColumn="0" w:firstRowLastColumn="0" w:lastRowFirstColumn="0" w:lastRowLastColumn="0"/>
            </w:pPr>
            <w:r w:rsidRPr="00C54A3F">
              <w:t>GRADE, AERO</w:t>
            </w:r>
          </w:p>
        </w:tc>
        <w:tc>
          <w:tcPr>
            <w:tcW w:w="4272" w:type="dxa"/>
            <w:hideMark/>
          </w:tcPr>
          <w:p w14:paraId="7C3269C6" w14:textId="77777777" w:rsidR="00D0002F" w:rsidRPr="00C54A3F" w:rsidRDefault="00D0002F" w:rsidP="00C54A3F">
            <w:pPr>
              <w:pStyle w:val="TableText"/>
              <w:cnfStyle w:val="000000010000" w:firstRow="0" w:lastRow="0" w:firstColumn="0" w:lastColumn="0" w:oddVBand="0" w:evenVBand="0" w:oddHBand="0" w:evenHBand="1" w:firstRowFirstColumn="0" w:firstRowLastColumn="0" w:lastRowFirstColumn="0" w:lastRowLastColumn="0"/>
            </w:pPr>
            <w:r w:rsidRPr="00C54A3F">
              <w:t>GRADE applied to studies meeting AERO Level 3+ criteria</w:t>
            </w:r>
          </w:p>
        </w:tc>
      </w:tr>
      <w:tr w:rsidR="00D0002F" w:rsidRPr="00C54A3F" w14:paraId="23F627A2" w14:textId="77777777" w:rsidTr="00C54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8427E4" w14:textId="77777777" w:rsidR="00D0002F" w:rsidRPr="00C54A3F" w:rsidRDefault="00D0002F" w:rsidP="00C54A3F">
            <w:pPr>
              <w:pStyle w:val="TableText"/>
            </w:pPr>
            <w:r w:rsidRPr="00C54A3F">
              <w:t>Post-SR primary studies (qualitative)</w:t>
            </w:r>
          </w:p>
        </w:tc>
        <w:tc>
          <w:tcPr>
            <w:tcW w:w="2726" w:type="dxa"/>
            <w:hideMark/>
          </w:tcPr>
          <w:p w14:paraId="02FB3FC8"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GRADE-CERQual, AERO</w:t>
            </w:r>
          </w:p>
        </w:tc>
        <w:tc>
          <w:tcPr>
            <w:tcW w:w="4272" w:type="dxa"/>
            <w:hideMark/>
          </w:tcPr>
          <w:p w14:paraId="7BCA88FC"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Synthesised themes assessed using CERQual; AERO used for rigour check</w:t>
            </w:r>
          </w:p>
        </w:tc>
      </w:tr>
      <w:tr w:rsidR="00D0002F" w:rsidRPr="00C54A3F" w14:paraId="6491DF33" w14:textId="77777777" w:rsidTr="00C54A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5B3477" w14:textId="77777777" w:rsidR="00D0002F" w:rsidRPr="00C54A3F" w:rsidRDefault="00D0002F" w:rsidP="00C54A3F">
            <w:pPr>
              <w:pStyle w:val="TableText"/>
            </w:pPr>
            <w:r w:rsidRPr="00C54A3F">
              <w:t>Grey literature (e.g., evaluations)</w:t>
            </w:r>
          </w:p>
        </w:tc>
        <w:tc>
          <w:tcPr>
            <w:tcW w:w="2726" w:type="dxa"/>
            <w:hideMark/>
          </w:tcPr>
          <w:p w14:paraId="06F87F11" w14:textId="77777777" w:rsidR="00D0002F" w:rsidRPr="00C54A3F" w:rsidRDefault="00D0002F" w:rsidP="00C54A3F">
            <w:pPr>
              <w:pStyle w:val="TableText"/>
              <w:cnfStyle w:val="000000010000" w:firstRow="0" w:lastRow="0" w:firstColumn="0" w:lastColumn="0" w:oddVBand="0" w:evenVBand="0" w:oddHBand="0" w:evenHBand="1" w:firstRowFirstColumn="0" w:firstRowLastColumn="0" w:lastRowFirstColumn="0" w:lastRowLastColumn="0"/>
            </w:pPr>
            <w:r w:rsidRPr="00C54A3F">
              <w:t>AERO</w:t>
            </w:r>
          </w:p>
        </w:tc>
        <w:tc>
          <w:tcPr>
            <w:tcW w:w="4272" w:type="dxa"/>
            <w:hideMark/>
          </w:tcPr>
          <w:p w14:paraId="062F6DBF" w14:textId="77777777" w:rsidR="00D0002F" w:rsidRPr="00C54A3F" w:rsidRDefault="00D0002F" w:rsidP="00C54A3F">
            <w:pPr>
              <w:pStyle w:val="TableText"/>
              <w:cnfStyle w:val="000000010000" w:firstRow="0" w:lastRow="0" w:firstColumn="0" w:lastColumn="0" w:oddVBand="0" w:evenVBand="0" w:oddHBand="0" w:evenHBand="1" w:firstRowFirstColumn="0" w:firstRowLastColumn="0" w:lastRowFirstColumn="0" w:lastRowLastColumn="0"/>
            </w:pPr>
            <w:r w:rsidRPr="00C54A3F">
              <w:t>Used to assess rigour and practice relevance; not included in GRADE</w:t>
            </w:r>
          </w:p>
        </w:tc>
      </w:tr>
      <w:tr w:rsidR="00D0002F" w:rsidRPr="00C54A3F" w14:paraId="334D9BC4" w14:textId="77777777" w:rsidTr="00C54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2C84D0" w14:textId="77777777" w:rsidR="00D0002F" w:rsidRPr="00C54A3F" w:rsidRDefault="00D0002F" w:rsidP="00C54A3F">
            <w:pPr>
              <w:pStyle w:val="TableText"/>
            </w:pPr>
            <w:r w:rsidRPr="00C54A3F">
              <w:t>Mixed-methods studies</w:t>
            </w:r>
          </w:p>
        </w:tc>
        <w:tc>
          <w:tcPr>
            <w:tcW w:w="2726" w:type="dxa"/>
            <w:hideMark/>
          </w:tcPr>
          <w:p w14:paraId="05EFFEE0"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AERO, GRADE or CERQual (as appropriate)</w:t>
            </w:r>
          </w:p>
        </w:tc>
        <w:tc>
          <w:tcPr>
            <w:tcW w:w="4272" w:type="dxa"/>
            <w:hideMark/>
          </w:tcPr>
          <w:p w14:paraId="63118CA6" w14:textId="77777777" w:rsidR="00D0002F" w:rsidRPr="00C54A3F" w:rsidRDefault="00D0002F" w:rsidP="00C54A3F">
            <w:pPr>
              <w:pStyle w:val="TableText"/>
              <w:cnfStyle w:val="000000100000" w:firstRow="0" w:lastRow="0" w:firstColumn="0" w:lastColumn="0" w:oddVBand="0" w:evenVBand="0" w:oddHBand="1" w:evenHBand="0" w:firstRowFirstColumn="0" w:firstRowLastColumn="0" w:lastRowFirstColumn="0" w:lastRowLastColumn="0"/>
            </w:pPr>
            <w:r w:rsidRPr="00C54A3F">
              <w:t>Appraisal aligned to dominant methodological component</w:t>
            </w:r>
          </w:p>
        </w:tc>
      </w:tr>
    </w:tbl>
    <w:p w14:paraId="435D716A" w14:textId="77777777" w:rsidR="00D0002F" w:rsidRPr="00697ECB" w:rsidRDefault="00D0002F" w:rsidP="00D0002F">
      <w:pPr>
        <w:rPr>
          <w:b/>
          <w:bCs/>
        </w:rPr>
      </w:pPr>
      <w:r w:rsidRPr="00697ECB">
        <w:rPr>
          <w:b/>
          <w:bCs/>
        </w:rPr>
        <w:t>G3. Decision Rules and Thresholds</w:t>
      </w:r>
    </w:p>
    <w:p w14:paraId="72D4C6B9" w14:textId="77777777" w:rsidR="00D0002F" w:rsidRPr="008052CD" w:rsidRDefault="00D0002F" w:rsidP="00D0002F">
      <w:r w:rsidRPr="008052CD">
        <w:t>GRADE ratings were assigned as High, Moderate, Low, or Very Low certainty, based on standard guidance.</w:t>
      </w:r>
    </w:p>
    <w:p w14:paraId="67D89187" w14:textId="77777777" w:rsidR="00D0002F" w:rsidRPr="008052CD" w:rsidRDefault="00D0002F" w:rsidP="00D0002F">
      <w:r w:rsidRPr="008052CD">
        <w:t xml:space="preserve">CERQual confidence levels were assigned as High, Moderate, Low, or Very Low, </w:t>
      </w:r>
      <w:r w:rsidRPr="008052CD">
        <w:lastRenderedPageBreak/>
        <w:t>based on the four domains.</w:t>
      </w:r>
    </w:p>
    <w:p w14:paraId="7A53DEA7" w14:textId="77777777" w:rsidR="00D0002F" w:rsidRPr="008052CD" w:rsidRDefault="00D0002F" w:rsidP="00D0002F">
      <w:r w:rsidRPr="008052CD">
        <w:t xml:space="preserve">AERO levels were used to classify evidence as: </w:t>
      </w:r>
    </w:p>
    <w:p w14:paraId="7E919B1C" w14:textId="77777777" w:rsidR="00D0002F" w:rsidRPr="00642492" w:rsidRDefault="00D0002F" w:rsidP="003A5ACE">
      <w:pPr>
        <w:pStyle w:val="ListParagraph"/>
        <w:numPr>
          <w:ilvl w:val="0"/>
          <w:numId w:val="37"/>
        </w:numPr>
      </w:pPr>
      <w:r w:rsidRPr="00642492">
        <w:t>Level 1: Emerging or promising practice (limited rigour or relevance)</w:t>
      </w:r>
    </w:p>
    <w:p w14:paraId="32F87756" w14:textId="77777777" w:rsidR="00D0002F" w:rsidRPr="00642492" w:rsidRDefault="00D0002F" w:rsidP="003A5ACE">
      <w:pPr>
        <w:pStyle w:val="ListParagraph"/>
        <w:numPr>
          <w:ilvl w:val="0"/>
          <w:numId w:val="37"/>
        </w:numPr>
      </w:pPr>
      <w:r w:rsidRPr="00642492">
        <w:t>Level 2: Moderate rigour and/or relevance</w:t>
      </w:r>
    </w:p>
    <w:p w14:paraId="0106E2F5" w14:textId="77777777" w:rsidR="00D0002F" w:rsidRPr="00642492" w:rsidRDefault="00D0002F" w:rsidP="003A5ACE">
      <w:pPr>
        <w:pStyle w:val="ListParagraph"/>
        <w:numPr>
          <w:ilvl w:val="0"/>
          <w:numId w:val="37"/>
        </w:numPr>
      </w:pPr>
      <w:r w:rsidRPr="00642492">
        <w:t>Level 3: Strong rigour and relevance</w:t>
      </w:r>
    </w:p>
    <w:p w14:paraId="003D73C6" w14:textId="77777777" w:rsidR="00D0002F" w:rsidRPr="00642492" w:rsidRDefault="00D0002F" w:rsidP="003A5ACE">
      <w:pPr>
        <w:pStyle w:val="ListParagraph"/>
        <w:numPr>
          <w:ilvl w:val="0"/>
          <w:numId w:val="37"/>
        </w:numPr>
      </w:pPr>
      <w:r w:rsidRPr="00642492">
        <w:t>Level 4: Exemplary evidence (high rigour, high relevance, replicable)</w:t>
      </w:r>
    </w:p>
    <w:p w14:paraId="508F3132" w14:textId="77777777" w:rsidR="00D0002F" w:rsidRPr="008052CD" w:rsidRDefault="00D0002F" w:rsidP="00D0002F">
      <w:r w:rsidRPr="008052CD">
        <w:t>Only post-SR primary studies meeting AERO Level 3 or higher were included in the effectiveness analysis set (n = 11). Studies below this threshold were excluded from quantitative synthesis but may have contributed to contextual or qualitative insights.</w:t>
      </w:r>
    </w:p>
    <w:p w14:paraId="205F2E55" w14:textId="77777777" w:rsidR="00D0002F" w:rsidRPr="008052CD" w:rsidRDefault="00D0002F" w:rsidP="00D0002F">
      <w:r w:rsidRPr="008052CD">
        <w:t>G4. Adaptations for Rapid Review Context</w:t>
      </w:r>
    </w:p>
    <w:p w14:paraId="7E8134D0" w14:textId="77777777" w:rsidR="00D0002F" w:rsidRPr="008052CD" w:rsidRDefault="00D0002F" w:rsidP="00D0002F">
      <w:r w:rsidRPr="008052CD">
        <w:t>Given the rapid review design, the following adaptations were made:</w:t>
      </w:r>
    </w:p>
    <w:p w14:paraId="3DD409C5" w14:textId="77777777" w:rsidR="00D0002F" w:rsidRPr="00642492" w:rsidRDefault="00D0002F" w:rsidP="003A5ACE">
      <w:pPr>
        <w:pStyle w:val="ListParagraph"/>
        <w:numPr>
          <w:ilvl w:val="0"/>
          <w:numId w:val="38"/>
        </w:numPr>
      </w:pPr>
      <w:r w:rsidRPr="00642492">
        <w:t>Appraisal was conducted by a single reviewer with verification by a second reviewer for a subset of studies.</w:t>
      </w:r>
    </w:p>
    <w:p w14:paraId="0A87AE4D" w14:textId="77777777" w:rsidR="00D0002F" w:rsidRPr="00642492" w:rsidRDefault="00D0002F" w:rsidP="003A5ACE">
      <w:pPr>
        <w:pStyle w:val="ListParagraph"/>
        <w:numPr>
          <w:ilvl w:val="0"/>
          <w:numId w:val="38"/>
        </w:numPr>
      </w:pPr>
      <w:r w:rsidRPr="00642492">
        <w:t>For grey literature, AERO was used as the primary appraisal tool due to the absence of standardised risk of bias instruments.</w:t>
      </w:r>
    </w:p>
    <w:p w14:paraId="12366A63" w14:textId="77777777" w:rsidR="00D0002F" w:rsidRPr="00642492" w:rsidRDefault="00D0002F" w:rsidP="003A5ACE">
      <w:pPr>
        <w:pStyle w:val="ListParagraph"/>
        <w:numPr>
          <w:ilvl w:val="0"/>
          <w:numId w:val="38"/>
        </w:numPr>
      </w:pPr>
      <w:r w:rsidRPr="00642492">
        <w:t>Where full GRADE or CERQual assessments were not feasible, structured summaries of key domains were used to inform confidence ratings.</w:t>
      </w:r>
    </w:p>
    <w:p w14:paraId="4C9C0419" w14:textId="77777777" w:rsidR="00D0002F" w:rsidRPr="008052CD" w:rsidRDefault="00D0002F" w:rsidP="00D0002F">
      <w:r w:rsidRPr="00642492">
        <w:rPr>
          <w:b/>
          <w:bCs/>
        </w:rPr>
        <w:t>Note:</w:t>
      </w:r>
      <w:r w:rsidRPr="008052CD">
        <w:t xml:space="preserve"> This appendix outlines the tools and frameworks used to assess the methodological quality, risk of bias, and confidence in the body of evidence included in the synthesis. These tools were selected to align with the mixed-methods nature of the evidence base and the applied translation focus of the review.</w:t>
      </w:r>
    </w:p>
    <w:p w14:paraId="18560C66" w14:textId="77777777" w:rsidR="00D0002F" w:rsidRPr="00ED411B" w:rsidRDefault="00D0002F" w:rsidP="00D0002F"/>
    <w:p w14:paraId="051713CB" w14:textId="77777777" w:rsidR="00697ECB" w:rsidRDefault="00697ECB" w:rsidP="00D0002F">
      <w:pPr>
        <w:pStyle w:val="Heading2"/>
        <w:sectPr w:rsidR="00697ECB" w:rsidSect="002D32EE">
          <w:pgSz w:w="11906" w:h="16838" w:code="9"/>
          <w:pgMar w:top="1134" w:right="1134" w:bottom="1134" w:left="1134" w:header="454" w:footer="0" w:gutter="0"/>
          <w:cols w:space="708"/>
          <w:docGrid w:linePitch="360"/>
        </w:sectPr>
      </w:pPr>
    </w:p>
    <w:p w14:paraId="38266C50" w14:textId="5FC12986" w:rsidR="00D0002F" w:rsidRPr="00ED411B" w:rsidRDefault="00D0002F" w:rsidP="00D0002F">
      <w:pPr>
        <w:pStyle w:val="Heading2"/>
      </w:pPr>
      <w:bookmarkStart w:id="87" w:name="_Toc231220097"/>
      <w:r>
        <w:lastRenderedPageBreak/>
        <w:t xml:space="preserve">Appendix H. </w:t>
      </w:r>
      <w:r w:rsidRPr="00ED411B">
        <w:t xml:space="preserve">Transferability to the Australian </w:t>
      </w:r>
      <w:r w:rsidR="00697ECB" w:rsidRPr="00ED411B">
        <w:t>context: assessment rubric</w:t>
      </w:r>
      <w:bookmarkEnd w:id="87"/>
    </w:p>
    <w:p w14:paraId="351608F0" w14:textId="77777777" w:rsidR="00D0002F" w:rsidRPr="009036CE" w:rsidRDefault="00D0002F" w:rsidP="00D0002F">
      <w:r w:rsidRPr="009036CE">
        <w:t>This appendix presents the rubric used to assess the transferability of included evidence to the Australian service and policy context. The rubric was applied in two stages: (i) screening for baseline contextual alignment using a priori criteria, and (ii) case-by-case judgement for borderline or complex cases, with rationale documented.</w:t>
      </w:r>
    </w:p>
    <w:p w14:paraId="2961AACB" w14:textId="77777777" w:rsidR="00D0002F" w:rsidRPr="00697ECB" w:rsidRDefault="00D0002F" w:rsidP="00697ECB">
      <w:pPr>
        <w:pStyle w:val="TableCaption"/>
      </w:pPr>
      <w:r w:rsidRPr="00697ECB">
        <w:t>Table H1. Transferability Assessment Rubric</w:t>
      </w:r>
    </w:p>
    <w:tbl>
      <w:tblPr>
        <w:tblStyle w:val="CIETable"/>
        <w:tblW w:w="0" w:type="auto"/>
        <w:tblLook w:val="04A0" w:firstRow="1" w:lastRow="0" w:firstColumn="1" w:lastColumn="0" w:noHBand="0" w:noVBand="1"/>
      </w:tblPr>
      <w:tblGrid>
        <w:gridCol w:w="2502"/>
        <w:gridCol w:w="5628"/>
        <w:gridCol w:w="1498"/>
      </w:tblGrid>
      <w:tr w:rsidR="00D0002F" w:rsidRPr="00697ECB" w14:paraId="1B8E564E" w14:textId="77777777" w:rsidTr="00697E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E1EBCA" w14:textId="77777777" w:rsidR="00D0002F" w:rsidRPr="00697ECB" w:rsidRDefault="00D0002F" w:rsidP="00697ECB">
            <w:pPr>
              <w:pStyle w:val="TableHeading"/>
            </w:pPr>
            <w:r w:rsidRPr="00697ECB">
              <w:t>Criterion</w:t>
            </w:r>
          </w:p>
        </w:tc>
        <w:tc>
          <w:tcPr>
            <w:tcW w:w="0" w:type="auto"/>
            <w:hideMark/>
          </w:tcPr>
          <w:p w14:paraId="501F6725" w14:textId="77777777" w:rsidR="00D0002F" w:rsidRPr="00697ECB" w:rsidRDefault="00D0002F" w:rsidP="00697ECB">
            <w:pPr>
              <w:pStyle w:val="TableHeading"/>
              <w:cnfStyle w:val="100000000000" w:firstRow="1" w:lastRow="0" w:firstColumn="0" w:lastColumn="0" w:oddVBand="0" w:evenVBand="0" w:oddHBand="0" w:evenHBand="0" w:firstRowFirstColumn="0" w:firstRowLastColumn="0" w:lastRowFirstColumn="0" w:lastRowLastColumn="0"/>
            </w:pPr>
            <w:r w:rsidRPr="00697ECB">
              <w:t>Description</w:t>
            </w:r>
          </w:p>
        </w:tc>
        <w:tc>
          <w:tcPr>
            <w:tcW w:w="0" w:type="auto"/>
            <w:hideMark/>
          </w:tcPr>
          <w:p w14:paraId="5FC4CA36" w14:textId="77777777" w:rsidR="00D0002F" w:rsidRPr="00697ECB" w:rsidRDefault="00D0002F" w:rsidP="00697ECB">
            <w:pPr>
              <w:pStyle w:val="TableHeading"/>
              <w:cnfStyle w:val="100000000000" w:firstRow="1" w:lastRow="0" w:firstColumn="0" w:lastColumn="0" w:oddVBand="0" w:evenVBand="0" w:oddHBand="0" w:evenHBand="0" w:firstRowFirstColumn="0" w:firstRowLastColumn="0" w:lastRowFirstColumn="0" w:lastRowLastColumn="0"/>
            </w:pPr>
            <w:r w:rsidRPr="00697ECB">
              <w:t>Rating Scale</w:t>
            </w:r>
          </w:p>
        </w:tc>
      </w:tr>
      <w:tr w:rsidR="00D0002F" w:rsidRPr="009036CE" w14:paraId="001A7C3E" w14:textId="77777777" w:rsidTr="00697E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91BC43" w14:textId="77777777" w:rsidR="00D0002F" w:rsidRPr="009036CE" w:rsidRDefault="00D0002F" w:rsidP="00697ECB">
            <w:pPr>
              <w:pStyle w:val="TableText"/>
            </w:pPr>
            <w:r w:rsidRPr="009036CE">
              <w:t>Population relevance</w:t>
            </w:r>
          </w:p>
        </w:tc>
        <w:tc>
          <w:tcPr>
            <w:tcW w:w="0" w:type="auto"/>
            <w:hideMark/>
          </w:tcPr>
          <w:p w14:paraId="77F02C94" w14:textId="77777777" w:rsidR="00D0002F" w:rsidRPr="009036CE" w:rsidRDefault="00D0002F" w:rsidP="00697ECB">
            <w:pPr>
              <w:pStyle w:val="TableText"/>
              <w:cnfStyle w:val="000000100000" w:firstRow="0" w:lastRow="0" w:firstColumn="0" w:lastColumn="0" w:oddVBand="0" w:evenVBand="0" w:oddHBand="1" w:evenHBand="0" w:firstRowFirstColumn="0" w:firstRowLastColumn="0" w:lastRowFirstColumn="0" w:lastRowLastColumn="0"/>
            </w:pPr>
            <w:r w:rsidRPr="009036CE">
              <w:t>Degree to which the study population reflects the characteristics of people with intellectual disability in Australia (e.g., age, support needs, cultural diversity)</w:t>
            </w:r>
          </w:p>
        </w:tc>
        <w:tc>
          <w:tcPr>
            <w:tcW w:w="0" w:type="auto"/>
            <w:hideMark/>
          </w:tcPr>
          <w:p w14:paraId="53EB2C97" w14:textId="77777777" w:rsidR="00D0002F" w:rsidRPr="009036CE" w:rsidRDefault="00D0002F" w:rsidP="00697ECB">
            <w:pPr>
              <w:pStyle w:val="TableText"/>
              <w:cnfStyle w:val="000000100000" w:firstRow="0" w:lastRow="0" w:firstColumn="0" w:lastColumn="0" w:oddVBand="0" w:evenVBand="0" w:oddHBand="1" w:evenHBand="0" w:firstRowFirstColumn="0" w:firstRowLastColumn="0" w:lastRowFirstColumn="0" w:lastRowLastColumn="0"/>
            </w:pPr>
            <w:r w:rsidRPr="009036CE">
              <w:t>High / Moderate / Low</w:t>
            </w:r>
          </w:p>
        </w:tc>
      </w:tr>
      <w:tr w:rsidR="00D0002F" w:rsidRPr="009036CE" w14:paraId="2796448C" w14:textId="77777777" w:rsidTr="00697E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1D12C5" w14:textId="77777777" w:rsidR="00D0002F" w:rsidRPr="009036CE" w:rsidRDefault="00D0002F" w:rsidP="00697ECB">
            <w:pPr>
              <w:pStyle w:val="TableText"/>
            </w:pPr>
            <w:r w:rsidRPr="009036CE">
              <w:t>Service system comparability</w:t>
            </w:r>
          </w:p>
        </w:tc>
        <w:tc>
          <w:tcPr>
            <w:tcW w:w="0" w:type="auto"/>
            <w:hideMark/>
          </w:tcPr>
          <w:p w14:paraId="5D65C48A" w14:textId="77777777" w:rsidR="00D0002F" w:rsidRPr="009036CE" w:rsidRDefault="00D0002F" w:rsidP="00697ECB">
            <w:pPr>
              <w:pStyle w:val="TableText"/>
              <w:cnfStyle w:val="000000010000" w:firstRow="0" w:lastRow="0" w:firstColumn="0" w:lastColumn="0" w:oddVBand="0" w:evenVBand="0" w:oddHBand="0" w:evenHBand="1" w:firstRowFirstColumn="0" w:firstRowLastColumn="0" w:lastRowFirstColumn="0" w:lastRowLastColumn="0"/>
            </w:pPr>
            <w:r w:rsidRPr="009036CE">
              <w:t>Alignment between the study’s service delivery context and the Australian disability employment ecosystem (e.g., NDIS, DES, open employment pathways)</w:t>
            </w:r>
          </w:p>
        </w:tc>
        <w:tc>
          <w:tcPr>
            <w:tcW w:w="0" w:type="auto"/>
            <w:hideMark/>
          </w:tcPr>
          <w:p w14:paraId="2431DA73" w14:textId="77777777" w:rsidR="00D0002F" w:rsidRPr="009036CE" w:rsidRDefault="00D0002F" w:rsidP="00697ECB">
            <w:pPr>
              <w:pStyle w:val="TableText"/>
              <w:cnfStyle w:val="000000010000" w:firstRow="0" w:lastRow="0" w:firstColumn="0" w:lastColumn="0" w:oddVBand="0" w:evenVBand="0" w:oddHBand="0" w:evenHBand="1" w:firstRowFirstColumn="0" w:firstRowLastColumn="0" w:lastRowFirstColumn="0" w:lastRowLastColumn="0"/>
            </w:pPr>
            <w:r w:rsidRPr="009036CE">
              <w:t>High / Moderate / Low</w:t>
            </w:r>
          </w:p>
        </w:tc>
      </w:tr>
      <w:tr w:rsidR="00D0002F" w:rsidRPr="009036CE" w14:paraId="6BD2DA8F" w14:textId="77777777" w:rsidTr="00697E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D06F5F" w14:textId="77777777" w:rsidR="00D0002F" w:rsidRPr="009036CE" w:rsidRDefault="00D0002F" w:rsidP="00697ECB">
            <w:pPr>
              <w:pStyle w:val="TableText"/>
            </w:pPr>
            <w:r w:rsidRPr="009036CE">
              <w:t>Policy and funding environment</w:t>
            </w:r>
          </w:p>
        </w:tc>
        <w:tc>
          <w:tcPr>
            <w:tcW w:w="0" w:type="auto"/>
            <w:hideMark/>
          </w:tcPr>
          <w:p w14:paraId="394D7869" w14:textId="77777777" w:rsidR="00D0002F" w:rsidRPr="009036CE" w:rsidRDefault="00D0002F" w:rsidP="00697ECB">
            <w:pPr>
              <w:pStyle w:val="TableText"/>
              <w:cnfStyle w:val="000000100000" w:firstRow="0" w:lastRow="0" w:firstColumn="0" w:lastColumn="0" w:oddVBand="0" w:evenVBand="0" w:oddHBand="1" w:evenHBand="0" w:firstRowFirstColumn="0" w:firstRowLastColumn="0" w:lastRowFirstColumn="0" w:lastRowLastColumn="0"/>
            </w:pPr>
            <w:r w:rsidRPr="009036CE">
              <w:t>Similarity of policy levers, funding mechanisms, and regulatory frameworks</w:t>
            </w:r>
          </w:p>
        </w:tc>
        <w:tc>
          <w:tcPr>
            <w:tcW w:w="0" w:type="auto"/>
            <w:hideMark/>
          </w:tcPr>
          <w:p w14:paraId="6C11395F" w14:textId="77777777" w:rsidR="00D0002F" w:rsidRPr="009036CE" w:rsidRDefault="00D0002F" w:rsidP="00697ECB">
            <w:pPr>
              <w:pStyle w:val="TableText"/>
              <w:cnfStyle w:val="000000100000" w:firstRow="0" w:lastRow="0" w:firstColumn="0" w:lastColumn="0" w:oddVBand="0" w:evenVBand="0" w:oddHBand="1" w:evenHBand="0" w:firstRowFirstColumn="0" w:firstRowLastColumn="0" w:lastRowFirstColumn="0" w:lastRowLastColumn="0"/>
            </w:pPr>
            <w:r w:rsidRPr="009036CE">
              <w:t>High / Moderate / Low</w:t>
            </w:r>
          </w:p>
        </w:tc>
      </w:tr>
      <w:tr w:rsidR="00D0002F" w:rsidRPr="009036CE" w14:paraId="2F4EBAF9" w14:textId="77777777" w:rsidTr="00697E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17931E" w14:textId="77777777" w:rsidR="00D0002F" w:rsidRPr="009036CE" w:rsidRDefault="00D0002F" w:rsidP="00697ECB">
            <w:pPr>
              <w:pStyle w:val="TableText"/>
            </w:pPr>
            <w:r w:rsidRPr="009036CE">
              <w:t>Labour market and employer context</w:t>
            </w:r>
          </w:p>
        </w:tc>
        <w:tc>
          <w:tcPr>
            <w:tcW w:w="0" w:type="auto"/>
            <w:hideMark/>
          </w:tcPr>
          <w:p w14:paraId="0A73A06C" w14:textId="77777777" w:rsidR="00D0002F" w:rsidRPr="009036CE" w:rsidRDefault="00D0002F" w:rsidP="00697ECB">
            <w:pPr>
              <w:pStyle w:val="TableText"/>
              <w:cnfStyle w:val="000000010000" w:firstRow="0" w:lastRow="0" w:firstColumn="0" w:lastColumn="0" w:oddVBand="0" w:evenVBand="0" w:oddHBand="0" w:evenHBand="1" w:firstRowFirstColumn="0" w:firstRowLastColumn="0" w:lastRowFirstColumn="0" w:lastRowLastColumn="0"/>
            </w:pPr>
            <w:r w:rsidRPr="009036CE">
              <w:t>Relevance of the employment sector, employer practices, and labour market conditions</w:t>
            </w:r>
          </w:p>
        </w:tc>
        <w:tc>
          <w:tcPr>
            <w:tcW w:w="0" w:type="auto"/>
            <w:hideMark/>
          </w:tcPr>
          <w:p w14:paraId="10DDFD65" w14:textId="77777777" w:rsidR="00D0002F" w:rsidRPr="009036CE" w:rsidRDefault="00D0002F" w:rsidP="00697ECB">
            <w:pPr>
              <w:pStyle w:val="TableText"/>
              <w:cnfStyle w:val="000000010000" w:firstRow="0" w:lastRow="0" w:firstColumn="0" w:lastColumn="0" w:oddVBand="0" w:evenVBand="0" w:oddHBand="0" w:evenHBand="1" w:firstRowFirstColumn="0" w:firstRowLastColumn="0" w:lastRowFirstColumn="0" w:lastRowLastColumn="0"/>
            </w:pPr>
            <w:r w:rsidRPr="009036CE">
              <w:t>High / Moderate / Low</w:t>
            </w:r>
          </w:p>
        </w:tc>
      </w:tr>
      <w:tr w:rsidR="00D0002F" w:rsidRPr="009036CE" w14:paraId="7E3C7115" w14:textId="77777777" w:rsidTr="00697E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7A67AD88" w14:textId="77777777" w:rsidR="00D0002F" w:rsidRPr="009036CE" w:rsidRDefault="00D0002F" w:rsidP="00697ECB">
            <w:pPr>
              <w:pStyle w:val="TableText"/>
            </w:pPr>
            <w:r w:rsidRPr="009036CE">
              <w:t>Implementation feasibility</w:t>
            </w:r>
          </w:p>
        </w:tc>
        <w:tc>
          <w:tcPr>
            <w:tcW w:w="0" w:type="auto"/>
            <w:tcBorders>
              <w:bottom w:val="single" w:sz="4" w:space="0" w:color="C0C0C0" w:themeColor="accent5"/>
            </w:tcBorders>
            <w:hideMark/>
          </w:tcPr>
          <w:p w14:paraId="76793AC1" w14:textId="77777777" w:rsidR="00D0002F" w:rsidRPr="009036CE" w:rsidRDefault="00D0002F" w:rsidP="00697ECB">
            <w:pPr>
              <w:pStyle w:val="TableText"/>
              <w:cnfStyle w:val="000000100000" w:firstRow="0" w:lastRow="0" w:firstColumn="0" w:lastColumn="0" w:oddVBand="0" w:evenVBand="0" w:oddHBand="1" w:evenHBand="0" w:firstRowFirstColumn="0" w:firstRowLastColumn="0" w:lastRowFirstColumn="0" w:lastRowLastColumn="0"/>
            </w:pPr>
            <w:r w:rsidRPr="009036CE">
              <w:t>Practicality of implementing the intervention or practice in Australian settings</w:t>
            </w:r>
          </w:p>
        </w:tc>
        <w:tc>
          <w:tcPr>
            <w:tcW w:w="0" w:type="auto"/>
            <w:tcBorders>
              <w:bottom w:val="single" w:sz="4" w:space="0" w:color="C0C0C0" w:themeColor="accent5"/>
            </w:tcBorders>
            <w:hideMark/>
          </w:tcPr>
          <w:p w14:paraId="23D00429" w14:textId="77777777" w:rsidR="00D0002F" w:rsidRPr="009036CE" w:rsidRDefault="00D0002F" w:rsidP="00697ECB">
            <w:pPr>
              <w:pStyle w:val="TableText"/>
              <w:cnfStyle w:val="000000100000" w:firstRow="0" w:lastRow="0" w:firstColumn="0" w:lastColumn="0" w:oddVBand="0" w:evenVBand="0" w:oddHBand="1" w:evenHBand="0" w:firstRowFirstColumn="0" w:firstRowLastColumn="0" w:lastRowFirstColumn="0" w:lastRowLastColumn="0"/>
            </w:pPr>
            <w:r w:rsidRPr="009036CE">
              <w:t>High / Moderate / Low</w:t>
            </w:r>
          </w:p>
        </w:tc>
      </w:tr>
      <w:tr w:rsidR="00D0002F" w:rsidRPr="009036CE" w14:paraId="4587FBEF" w14:textId="77777777" w:rsidTr="00697E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0C0C0" w:themeColor="accent5"/>
            </w:tcBorders>
            <w:hideMark/>
          </w:tcPr>
          <w:p w14:paraId="6FCB2AD0" w14:textId="77777777" w:rsidR="00D0002F" w:rsidRPr="009036CE" w:rsidRDefault="00D0002F" w:rsidP="00697ECB">
            <w:pPr>
              <w:pStyle w:val="TableText"/>
            </w:pPr>
            <w:r w:rsidRPr="009036CE">
              <w:t>Cultural and linguistic relevance</w:t>
            </w:r>
          </w:p>
        </w:tc>
        <w:tc>
          <w:tcPr>
            <w:tcW w:w="0" w:type="auto"/>
            <w:tcBorders>
              <w:bottom w:val="single" w:sz="4" w:space="0" w:color="C0C0C0" w:themeColor="accent5"/>
            </w:tcBorders>
            <w:hideMark/>
          </w:tcPr>
          <w:p w14:paraId="603654E3" w14:textId="77777777" w:rsidR="00D0002F" w:rsidRPr="009036CE" w:rsidRDefault="00D0002F" w:rsidP="00697ECB">
            <w:pPr>
              <w:pStyle w:val="TableText"/>
              <w:cnfStyle w:val="000000010000" w:firstRow="0" w:lastRow="0" w:firstColumn="0" w:lastColumn="0" w:oddVBand="0" w:evenVBand="0" w:oddHBand="0" w:evenHBand="1" w:firstRowFirstColumn="0" w:firstRowLastColumn="0" w:lastRowFirstColumn="0" w:lastRowLastColumn="0"/>
            </w:pPr>
            <w:r w:rsidRPr="009036CE">
              <w:t>Applicability to culturally and linguistically diverse (CALD) populations and Indigenous communities</w:t>
            </w:r>
          </w:p>
        </w:tc>
        <w:tc>
          <w:tcPr>
            <w:tcW w:w="0" w:type="auto"/>
            <w:tcBorders>
              <w:bottom w:val="single" w:sz="4" w:space="0" w:color="C0C0C0" w:themeColor="accent5"/>
            </w:tcBorders>
            <w:hideMark/>
          </w:tcPr>
          <w:p w14:paraId="1F6374E3" w14:textId="77777777" w:rsidR="00D0002F" w:rsidRPr="009036CE" w:rsidRDefault="00D0002F" w:rsidP="00697ECB">
            <w:pPr>
              <w:pStyle w:val="TableText"/>
              <w:cnfStyle w:val="000000010000" w:firstRow="0" w:lastRow="0" w:firstColumn="0" w:lastColumn="0" w:oddVBand="0" w:evenVBand="0" w:oddHBand="0" w:evenHBand="1" w:firstRowFirstColumn="0" w:firstRowLastColumn="0" w:lastRowFirstColumn="0" w:lastRowLastColumn="0"/>
            </w:pPr>
            <w:r w:rsidRPr="009036CE">
              <w:t>High / Moderate / Low</w:t>
            </w:r>
          </w:p>
        </w:tc>
      </w:tr>
    </w:tbl>
    <w:p w14:paraId="0CD8E701" w14:textId="77777777" w:rsidR="00D0002F" w:rsidRPr="009036CE" w:rsidRDefault="00D0002F" w:rsidP="00D0002F">
      <w:r w:rsidRPr="009036CE">
        <w:t>Each study was assessed against these six criteria. Studies rated as “High” or “Moderate” across most domains were considered transferable. Studies with “Low” ratings in multiple critical domains were flagged for limited applicability and either excluded from synthesis or used cautiously with appropriate caveats.</w:t>
      </w:r>
    </w:p>
    <w:p w14:paraId="7822C968" w14:textId="77777777" w:rsidR="00D0002F" w:rsidRPr="009036CE" w:rsidRDefault="00D0002F" w:rsidP="00D0002F"/>
    <w:p w14:paraId="699595E3" w14:textId="77777777" w:rsidR="00D0002F" w:rsidRPr="00697ECB" w:rsidRDefault="00D0002F" w:rsidP="00D0002F">
      <w:pPr>
        <w:rPr>
          <w:b/>
          <w:bCs/>
        </w:rPr>
      </w:pPr>
      <w:r w:rsidRPr="00697ECB">
        <w:rPr>
          <w:b/>
          <w:bCs/>
        </w:rPr>
        <w:t>H2. Application Notes</w:t>
      </w:r>
    </w:p>
    <w:p w14:paraId="2AA41017" w14:textId="77777777" w:rsidR="00D0002F" w:rsidRPr="000325D9" w:rsidRDefault="00D0002F" w:rsidP="00D0002F">
      <w:r w:rsidRPr="000325D9">
        <w:t xml:space="preserve">For systematic reviews, transferability was assessed at the review level, with additional consideration of the primary studies included. For post-SR primary studies, the rubric was applied directly to the study context and intervention. </w:t>
      </w:r>
      <w:r w:rsidRPr="000325D9">
        <w:lastRenderedPageBreak/>
        <w:t>For grey literature and evaluations, transferability was assessed based on both the intervention setting and the intended audience or system.</w:t>
      </w:r>
    </w:p>
    <w:p w14:paraId="730A0809" w14:textId="77777777" w:rsidR="00D0002F" w:rsidRPr="00ED411B" w:rsidRDefault="00D0002F" w:rsidP="00D0002F">
      <w:r w:rsidRPr="00ED411B">
        <w:br w:type="page"/>
      </w:r>
    </w:p>
    <w:p w14:paraId="62E33E9F" w14:textId="04E266E4" w:rsidR="00D0002F" w:rsidRPr="00ED411B" w:rsidRDefault="00D0002F" w:rsidP="00D0002F">
      <w:pPr>
        <w:pStyle w:val="Heading2"/>
      </w:pPr>
      <w:bookmarkStart w:id="88" w:name="_Toc231220098"/>
      <w:r>
        <w:lastRenderedPageBreak/>
        <w:t xml:space="preserve">Appendix I. </w:t>
      </w:r>
      <w:r w:rsidRPr="00ED411B">
        <w:t xml:space="preserve">Coding </w:t>
      </w:r>
      <w:r w:rsidR="00697ECB" w:rsidRPr="00ED411B">
        <w:t>rules for transition-to-work studies</w:t>
      </w:r>
      <w:bookmarkEnd w:id="88"/>
    </w:p>
    <w:p w14:paraId="42E6559E" w14:textId="77777777" w:rsidR="00D0002F" w:rsidRPr="000325D9" w:rsidRDefault="00D0002F" w:rsidP="00D0002F">
      <w:r w:rsidRPr="000325D9">
        <w:t>This appendix outlines the coding rules applied to studies addressing transition-to-work interventions, particularly where population boundaries, programme types, or age cohorts were ambiguous. These rules were developed to ensure consistent application of inclusion criteria and alignment with the synthesis scope (</w:t>
      </w:r>
      <w:r w:rsidRPr="000325D9">
        <w:rPr>
          <w:b/>
          <w:bCs/>
        </w:rPr>
        <w:t>Section 4.2</w:t>
      </w:r>
      <w:r w:rsidRPr="000325D9">
        <w:t>).</w:t>
      </w:r>
    </w:p>
    <w:p w14:paraId="196F71E8" w14:textId="77777777" w:rsidR="00D0002F" w:rsidRPr="00301EF4" w:rsidRDefault="00D0002F" w:rsidP="00301EF4">
      <w:pPr>
        <w:pStyle w:val="TableCaption"/>
      </w:pPr>
      <w:r w:rsidRPr="00301EF4">
        <w:t>Table I. Coding Logic for Transition-to-Work Studies</w:t>
      </w:r>
    </w:p>
    <w:tbl>
      <w:tblPr>
        <w:tblStyle w:val="CIETable"/>
        <w:tblW w:w="0" w:type="auto"/>
        <w:tblLook w:val="04A0" w:firstRow="1" w:lastRow="0" w:firstColumn="1" w:lastColumn="0" w:noHBand="0" w:noVBand="1"/>
      </w:tblPr>
      <w:tblGrid>
        <w:gridCol w:w="2405"/>
        <w:gridCol w:w="2902"/>
        <w:gridCol w:w="4321"/>
      </w:tblGrid>
      <w:tr w:rsidR="00D0002F" w:rsidRPr="00ED411B" w14:paraId="6C657A19" w14:textId="77777777" w:rsidTr="00301E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63718D26" w14:textId="77777777" w:rsidR="00D0002F" w:rsidRPr="000325D9" w:rsidRDefault="00D0002F" w:rsidP="00301EF4">
            <w:pPr>
              <w:pStyle w:val="TableHeading"/>
            </w:pPr>
            <w:r w:rsidRPr="000325D9">
              <w:t>Scenario / Study Type</w:t>
            </w:r>
          </w:p>
        </w:tc>
        <w:tc>
          <w:tcPr>
            <w:tcW w:w="2902" w:type="dxa"/>
            <w:hideMark/>
          </w:tcPr>
          <w:p w14:paraId="1640C9AB" w14:textId="77777777" w:rsidR="00D0002F" w:rsidRPr="000325D9" w:rsidRDefault="00D0002F" w:rsidP="00301EF4">
            <w:pPr>
              <w:pStyle w:val="TableHeading"/>
              <w:cnfStyle w:val="100000000000" w:firstRow="1" w:lastRow="0" w:firstColumn="0" w:lastColumn="0" w:oddVBand="0" w:evenVBand="0" w:oddHBand="0" w:evenHBand="0" w:firstRowFirstColumn="0" w:firstRowLastColumn="0" w:lastRowFirstColumn="0" w:lastRowLastColumn="0"/>
            </w:pPr>
            <w:r w:rsidRPr="000325D9">
              <w:t>Coding Decision</w:t>
            </w:r>
          </w:p>
        </w:tc>
        <w:tc>
          <w:tcPr>
            <w:tcW w:w="0" w:type="auto"/>
            <w:hideMark/>
          </w:tcPr>
          <w:p w14:paraId="4E8556F3" w14:textId="77777777" w:rsidR="00D0002F" w:rsidRPr="000325D9" w:rsidRDefault="00D0002F" w:rsidP="00301EF4">
            <w:pPr>
              <w:pStyle w:val="TableHeading"/>
              <w:cnfStyle w:val="100000000000" w:firstRow="1" w:lastRow="0" w:firstColumn="0" w:lastColumn="0" w:oddVBand="0" w:evenVBand="0" w:oddHBand="0" w:evenHBand="0" w:firstRowFirstColumn="0" w:firstRowLastColumn="0" w:lastRowFirstColumn="0" w:lastRowLastColumn="0"/>
            </w:pPr>
            <w:r w:rsidRPr="000325D9">
              <w:t>Rationale</w:t>
            </w:r>
          </w:p>
        </w:tc>
      </w:tr>
      <w:tr w:rsidR="00D0002F" w:rsidRPr="00ED411B" w14:paraId="425A0099" w14:textId="77777777" w:rsidTr="00301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0C09F869" w14:textId="77777777" w:rsidR="00D0002F" w:rsidRPr="004D4E83" w:rsidRDefault="00D0002F" w:rsidP="004D4E83">
            <w:pPr>
              <w:pStyle w:val="TableText"/>
            </w:pPr>
            <w:r w:rsidRPr="004D4E83">
              <w:t>School-based transition programmes only</w:t>
            </w:r>
          </w:p>
        </w:tc>
        <w:tc>
          <w:tcPr>
            <w:tcW w:w="2902" w:type="dxa"/>
            <w:hideMark/>
          </w:tcPr>
          <w:p w14:paraId="758B9A33" w14:textId="77777777" w:rsidR="00D0002F" w:rsidRPr="004D4E83" w:rsidRDefault="00D0002F" w:rsidP="004D4E83">
            <w:pPr>
              <w:pStyle w:val="TableText"/>
              <w:cnfStyle w:val="000000100000" w:firstRow="0" w:lastRow="0" w:firstColumn="0" w:lastColumn="0" w:oddVBand="0" w:evenVBand="0" w:oddHBand="1" w:evenHBand="0" w:firstRowFirstColumn="0" w:firstRowLastColumn="0" w:lastRowFirstColumn="0" w:lastRowLastColumn="0"/>
            </w:pPr>
            <w:r w:rsidRPr="004D4E83">
              <w:t>Excluded</w:t>
            </w:r>
          </w:p>
        </w:tc>
        <w:tc>
          <w:tcPr>
            <w:tcW w:w="0" w:type="auto"/>
            <w:hideMark/>
          </w:tcPr>
          <w:p w14:paraId="07A7905D" w14:textId="77777777" w:rsidR="00D0002F" w:rsidRPr="004D4E83" w:rsidRDefault="00D0002F" w:rsidP="004D4E83">
            <w:pPr>
              <w:pStyle w:val="TableText"/>
              <w:cnfStyle w:val="000000100000" w:firstRow="0" w:lastRow="0" w:firstColumn="0" w:lastColumn="0" w:oddVBand="0" w:evenVBand="0" w:oddHBand="1" w:evenHBand="0" w:firstRowFirstColumn="0" w:firstRowLastColumn="0" w:lastRowFirstColumn="0" w:lastRowLastColumn="0"/>
            </w:pPr>
            <w:r w:rsidRPr="004D4E83">
              <w:t>Out of scope: interventions delivered exclusively within school settings were not aligned with the synthesis focus on post-school, mainstream employment pathways.</w:t>
            </w:r>
          </w:p>
        </w:tc>
      </w:tr>
      <w:tr w:rsidR="00D0002F" w:rsidRPr="00ED411B" w14:paraId="6A599D13" w14:textId="77777777" w:rsidTr="00301E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11D5CBFF" w14:textId="77777777" w:rsidR="00D0002F" w:rsidRPr="004D4E83" w:rsidRDefault="00D0002F" w:rsidP="004D4E83">
            <w:pPr>
              <w:pStyle w:val="TableText"/>
            </w:pPr>
            <w:r w:rsidRPr="004D4E83">
              <w:t>Post-school transition programmes</w:t>
            </w:r>
          </w:p>
        </w:tc>
        <w:tc>
          <w:tcPr>
            <w:tcW w:w="2902" w:type="dxa"/>
            <w:hideMark/>
          </w:tcPr>
          <w:p w14:paraId="51FFA404" w14:textId="77777777" w:rsidR="00D0002F" w:rsidRPr="004D4E83" w:rsidRDefault="00D0002F" w:rsidP="004D4E83">
            <w:pPr>
              <w:pStyle w:val="TableText"/>
              <w:cnfStyle w:val="000000010000" w:firstRow="0" w:lastRow="0" w:firstColumn="0" w:lastColumn="0" w:oddVBand="0" w:evenVBand="0" w:oddHBand="0" w:evenHBand="1" w:firstRowFirstColumn="0" w:firstRowLastColumn="0" w:lastRowFirstColumn="0" w:lastRowLastColumn="0"/>
            </w:pPr>
            <w:r w:rsidRPr="004D4E83">
              <w:t>Included</w:t>
            </w:r>
          </w:p>
        </w:tc>
        <w:tc>
          <w:tcPr>
            <w:tcW w:w="0" w:type="auto"/>
            <w:hideMark/>
          </w:tcPr>
          <w:p w14:paraId="57441800" w14:textId="77777777" w:rsidR="00D0002F" w:rsidRPr="004D4E83" w:rsidRDefault="00D0002F" w:rsidP="004D4E83">
            <w:pPr>
              <w:pStyle w:val="TableText"/>
              <w:cnfStyle w:val="000000010000" w:firstRow="0" w:lastRow="0" w:firstColumn="0" w:lastColumn="0" w:oddVBand="0" w:evenVBand="0" w:oddHBand="0" w:evenHBand="1" w:firstRowFirstColumn="0" w:firstRowLastColumn="0" w:lastRowFirstColumn="0" w:lastRowLastColumn="0"/>
            </w:pPr>
            <w:r w:rsidRPr="004D4E83">
              <w:t>Aligned with the synthesis scope on adult employment support and service delivery following school exit.</w:t>
            </w:r>
          </w:p>
        </w:tc>
      </w:tr>
      <w:tr w:rsidR="00D0002F" w:rsidRPr="00ED411B" w14:paraId="2DC01193" w14:textId="77777777" w:rsidTr="00301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0AEBE362" w14:textId="77777777" w:rsidR="00D0002F" w:rsidRPr="004D4E83" w:rsidRDefault="00D0002F" w:rsidP="004D4E83">
            <w:pPr>
              <w:pStyle w:val="TableText"/>
            </w:pPr>
            <w:r w:rsidRPr="004D4E83">
              <w:t>Mixed-age cohorts (school leavers and adults)</w:t>
            </w:r>
          </w:p>
        </w:tc>
        <w:tc>
          <w:tcPr>
            <w:tcW w:w="2902" w:type="dxa"/>
            <w:hideMark/>
          </w:tcPr>
          <w:p w14:paraId="167ED549" w14:textId="77777777" w:rsidR="00D0002F" w:rsidRPr="004D4E83" w:rsidRDefault="00D0002F" w:rsidP="004D4E83">
            <w:pPr>
              <w:pStyle w:val="TableText"/>
              <w:cnfStyle w:val="000000100000" w:firstRow="0" w:lastRow="0" w:firstColumn="0" w:lastColumn="0" w:oddVBand="0" w:evenVBand="0" w:oddHBand="1" w:evenHBand="0" w:firstRowFirstColumn="0" w:firstRowLastColumn="0" w:lastRowFirstColumn="0" w:lastRowLastColumn="0"/>
            </w:pPr>
            <w:r w:rsidRPr="004D4E83">
              <w:t>Included if ≥50% of participants were post-school age or if post-school subgroup data were extractable</w:t>
            </w:r>
          </w:p>
        </w:tc>
        <w:tc>
          <w:tcPr>
            <w:tcW w:w="0" w:type="auto"/>
            <w:hideMark/>
          </w:tcPr>
          <w:p w14:paraId="1AC90B38" w14:textId="77777777" w:rsidR="00D0002F" w:rsidRPr="004D4E83" w:rsidRDefault="00D0002F" w:rsidP="004D4E83">
            <w:pPr>
              <w:pStyle w:val="TableText"/>
              <w:cnfStyle w:val="000000100000" w:firstRow="0" w:lastRow="0" w:firstColumn="0" w:lastColumn="0" w:oddVBand="0" w:evenVBand="0" w:oddHBand="1" w:evenHBand="0" w:firstRowFirstColumn="0" w:firstRowLastColumn="0" w:lastRowFirstColumn="0" w:lastRowLastColumn="0"/>
            </w:pPr>
            <w:r w:rsidRPr="004D4E83">
              <w:t>Ensures relevance to post-school employment transitions while allowing inclusion of mixed samples where adult-focused findings could be isolated.</w:t>
            </w:r>
          </w:p>
        </w:tc>
      </w:tr>
      <w:tr w:rsidR="00D0002F" w:rsidRPr="00ED411B" w14:paraId="669A8A50" w14:textId="77777777" w:rsidTr="00301E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3C6F1104" w14:textId="77777777" w:rsidR="00D0002F" w:rsidRPr="004D4E83" w:rsidRDefault="00D0002F" w:rsidP="004D4E83">
            <w:pPr>
              <w:pStyle w:val="TableText"/>
            </w:pPr>
            <w:r w:rsidRPr="004D4E83">
              <w:t>Employment Readiness Programmes (ERPs)</w:t>
            </w:r>
          </w:p>
        </w:tc>
        <w:tc>
          <w:tcPr>
            <w:tcW w:w="2902" w:type="dxa"/>
            <w:hideMark/>
          </w:tcPr>
          <w:p w14:paraId="0BEC8D6A" w14:textId="77777777" w:rsidR="00D0002F" w:rsidRPr="004D4E83" w:rsidRDefault="00D0002F" w:rsidP="004D4E83">
            <w:pPr>
              <w:pStyle w:val="TableText"/>
              <w:cnfStyle w:val="000000010000" w:firstRow="0" w:lastRow="0" w:firstColumn="0" w:lastColumn="0" w:oddVBand="0" w:evenVBand="0" w:oddHBand="0" w:evenHBand="1" w:firstRowFirstColumn="0" w:firstRowLastColumn="0" w:lastRowFirstColumn="0" w:lastRowLastColumn="0"/>
            </w:pPr>
            <w:r w:rsidRPr="004D4E83">
              <w:t>Included if targeted at post-school or adult cohorts</w:t>
            </w:r>
          </w:p>
        </w:tc>
        <w:tc>
          <w:tcPr>
            <w:tcW w:w="0" w:type="auto"/>
            <w:hideMark/>
          </w:tcPr>
          <w:p w14:paraId="0CF9CF83" w14:textId="77777777" w:rsidR="00D0002F" w:rsidRPr="004D4E83" w:rsidRDefault="00D0002F" w:rsidP="004D4E83">
            <w:pPr>
              <w:pStyle w:val="TableText"/>
              <w:cnfStyle w:val="000000010000" w:firstRow="0" w:lastRow="0" w:firstColumn="0" w:lastColumn="0" w:oddVBand="0" w:evenVBand="0" w:oddHBand="0" w:evenHBand="1" w:firstRowFirstColumn="0" w:firstRowLastColumn="0" w:lastRowFirstColumn="0" w:lastRowLastColumn="0"/>
            </w:pPr>
            <w:r w:rsidRPr="004D4E83">
              <w:t>ERPs designed for school leavers only were excluded unless they included follow-up into post-school employment or were delivered in adult service contexts.</w:t>
            </w:r>
          </w:p>
        </w:tc>
      </w:tr>
      <w:tr w:rsidR="00D0002F" w:rsidRPr="00ED411B" w14:paraId="7AB578A5" w14:textId="77777777" w:rsidTr="00301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14:paraId="51B901F8" w14:textId="77777777" w:rsidR="00D0002F" w:rsidRPr="004D4E83" w:rsidRDefault="00D0002F" w:rsidP="004D4E83">
            <w:pPr>
              <w:pStyle w:val="TableText"/>
            </w:pPr>
            <w:r w:rsidRPr="004D4E83">
              <w:t>Studies with unclear age boundaries or settings</w:t>
            </w:r>
          </w:p>
        </w:tc>
        <w:tc>
          <w:tcPr>
            <w:tcW w:w="2902" w:type="dxa"/>
            <w:hideMark/>
          </w:tcPr>
          <w:p w14:paraId="418D57F1" w14:textId="77777777" w:rsidR="00D0002F" w:rsidRPr="004D4E83" w:rsidRDefault="00D0002F" w:rsidP="004D4E83">
            <w:pPr>
              <w:pStyle w:val="TableText"/>
              <w:cnfStyle w:val="000000100000" w:firstRow="0" w:lastRow="0" w:firstColumn="0" w:lastColumn="0" w:oddVBand="0" w:evenVBand="0" w:oddHBand="1" w:evenHBand="0" w:firstRowFirstColumn="0" w:firstRowLastColumn="0" w:lastRowFirstColumn="0" w:lastRowLastColumn="0"/>
            </w:pPr>
            <w:r w:rsidRPr="004D4E83">
              <w:t>Case-by-case judgement with rationale documented</w:t>
            </w:r>
          </w:p>
        </w:tc>
        <w:tc>
          <w:tcPr>
            <w:tcW w:w="0" w:type="auto"/>
            <w:hideMark/>
          </w:tcPr>
          <w:p w14:paraId="66739203" w14:textId="77777777" w:rsidR="00D0002F" w:rsidRPr="004D4E83" w:rsidRDefault="00D0002F" w:rsidP="004D4E83">
            <w:pPr>
              <w:pStyle w:val="TableText"/>
              <w:cnfStyle w:val="000000100000" w:firstRow="0" w:lastRow="0" w:firstColumn="0" w:lastColumn="0" w:oddVBand="0" w:evenVBand="0" w:oddHBand="1" w:evenHBand="0" w:firstRowFirstColumn="0" w:firstRowLastColumn="0" w:lastRowFirstColumn="0" w:lastRowLastColumn="0"/>
            </w:pPr>
            <w:r w:rsidRPr="004D4E83">
              <w:t>Where study context or population age was ambiguous, inclusion was based on best available information and alignment with the synthesis objectives.</w:t>
            </w:r>
          </w:p>
        </w:tc>
      </w:tr>
    </w:tbl>
    <w:p w14:paraId="31B94DDC" w14:textId="631D1D77" w:rsidR="004D4E83" w:rsidRDefault="00D0002F" w:rsidP="004D4E83">
      <w:pPr>
        <w:sectPr w:rsidR="004D4E83" w:rsidSect="004D4E83">
          <w:pgSz w:w="11906" w:h="16838" w:code="9"/>
          <w:pgMar w:top="1134" w:right="1134" w:bottom="1134" w:left="1134" w:header="454" w:footer="0" w:gutter="0"/>
          <w:cols w:space="708"/>
          <w:docGrid w:linePitch="360"/>
        </w:sectPr>
      </w:pPr>
      <w:r w:rsidRPr="000325D9">
        <w:rPr>
          <w:b/>
          <w:bCs/>
        </w:rPr>
        <w:t>Note:</w:t>
      </w:r>
      <w:r w:rsidRPr="000325D9">
        <w:t xml:space="preserve"> These coding rules were applied during full-text screening and data extraction stages. Decisions were documented in the master register and verified through calibration checks.</w:t>
      </w:r>
    </w:p>
    <w:p w14:paraId="68BBA68A" w14:textId="77777777" w:rsidR="00D0002F" w:rsidRPr="00ED411B" w:rsidRDefault="00D0002F" w:rsidP="00D0002F">
      <w:pPr>
        <w:pStyle w:val="Heading2"/>
      </w:pPr>
      <w:bookmarkStart w:id="89" w:name="_Toc231220099"/>
      <w:r>
        <w:lastRenderedPageBreak/>
        <w:t xml:space="preserve">Appendix J. </w:t>
      </w:r>
      <w:r w:rsidRPr="00ED411B">
        <w:t>Historical and policy milestones relevant to open employment/CIE in Australia</w:t>
      </w:r>
      <w:bookmarkEnd w:id="89"/>
    </w:p>
    <w:p w14:paraId="01F0D97F" w14:textId="77777777" w:rsidR="00D0002F" w:rsidRPr="0042620C" w:rsidRDefault="00D0002F" w:rsidP="0042620C">
      <w:pPr>
        <w:pStyle w:val="TableCaption"/>
      </w:pPr>
      <w:r w:rsidRPr="0042620C">
        <w:t>Table J. Selected legislative &amp; policy milestones shaping open employment in Australia</w:t>
      </w:r>
    </w:p>
    <w:tbl>
      <w:tblPr>
        <w:tblStyle w:val="CIETable"/>
        <w:tblW w:w="0" w:type="auto"/>
        <w:tblLook w:val="04A0" w:firstRow="1" w:lastRow="0" w:firstColumn="1" w:lastColumn="0" w:noHBand="0" w:noVBand="1"/>
      </w:tblPr>
      <w:tblGrid>
        <w:gridCol w:w="1413"/>
        <w:gridCol w:w="3260"/>
        <w:gridCol w:w="4948"/>
      </w:tblGrid>
      <w:tr w:rsidR="00D0002F" w:rsidRPr="00ED411B" w14:paraId="6AA4309F" w14:textId="77777777" w:rsidTr="00261C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tcPr>
          <w:p w14:paraId="0FD49D0E" w14:textId="77777777" w:rsidR="00D0002F" w:rsidRPr="00B811AA" w:rsidRDefault="00D0002F" w:rsidP="00261CB6">
            <w:pPr>
              <w:pStyle w:val="TableHeading"/>
            </w:pPr>
            <w:r w:rsidRPr="00B811AA">
              <w:t>Year/period</w:t>
            </w:r>
          </w:p>
        </w:tc>
        <w:tc>
          <w:tcPr>
            <w:tcW w:w="3260" w:type="dxa"/>
          </w:tcPr>
          <w:p w14:paraId="6A99D33D" w14:textId="77777777" w:rsidR="00D0002F" w:rsidRPr="00B811AA" w:rsidRDefault="00D0002F" w:rsidP="00261CB6">
            <w:pPr>
              <w:pStyle w:val="TableHeading"/>
              <w:cnfStyle w:val="100000000000" w:firstRow="1" w:lastRow="0" w:firstColumn="0" w:lastColumn="0" w:oddVBand="0" w:evenVBand="0" w:oddHBand="0" w:evenHBand="0" w:firstRowFirstColumn="0" w:firstRowLastColumn="0" w:lastRowFirstColumn="0" w:lastRowLastColumn="0"/>
            </w:pPr>
            <w:r w:rsidRPr="00B811AA">
              <w:t>Milestone</w:t>
            </w:r>
          </w:p>
        </w:tc>
        <w:tc>
          <w:tcPr>
            <w:tcW w:w="4948" w:type="dxa"/>
          </w:tcPr>
          <w:p w14:paraId="2A49C200" w14:textId="77777777" w:rsidR="00D0002F" w:rsidRPr="00B811AA" w:rsidRDefault="00D0002F" w:rsidP="00261CB6">
            <w:pPr>
              <w:pStyle w:val="TableHeading"/>
              <w:cnfStyle w:val="100000000000" w:firstRow="1" w:lastRow="0" w:firstColumn="0" w:lastColumn="0" w:oddVBand="0" w:evenVBand="0" w:oddHBand="0" w:evenHBand="0" w:firstRowFirstColumn="0" w:firstRowLastColumn="0" w:lastRowFirstColumn="0" w:lastRowLastColumn="0"/>
            </w:pPr>
            <w:r w:rsidRPr="00B811AA">
              <w:t>Relevance to CIE/open employment (ID context)</w:t>
            </w:r>
          </w:p>
        </w:tc>
      </w:tr>
      <w:tr w:rsidR="00D0002F" w:rsidRPr="00ED411B" w14:paraId="314CDACC" w14:textId="77777777" w:rsidTr="00261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EA2D90" w14:textId="77777777" w:rsidR="00D0002F" w:rsidRPr="00B811AA" w:rsidRDefault="00D0002F" w:rsidP="00261CB6">
            <w:pPr>
              <w:pStyle w:val="TableText"/>
            </w:pPr>
            <w:r w:rsidRPr="00B811AA">
              <w:t>1986</w:t>
            </w:r>
          </w:p>
        </w:tc>
        <w:tc>
          <w:tcPr>
            <w:tcW w:w="3260" w:type="dxa"/>
          </w:tcPr>
          <w:p w14:paraId="2DE2B312" w14:textId="77777777" w:rsidR="00D0002F" w:rsidRPr="00B811AA" w:rsidRDefault="00D0002F" w:rsidP="00261CB6">
            <w:pPr>
              <w:pStyle w:val="TableText"/>
              <w:cnfStyle w:val="000000100000" w:firstRow="0" w:lastRow="0" w:firstColumn="0" w:lastColumn="0" w:oddVBand="0" w:evenVBand="0" w:oddHBand="1" w:evenHBand="0" w:firstRowFirstColumn="0" w:firstRowLastColumn="0" w:lastRowFirstColumn="0" w:lastRowLastColumn="0"/>
            </w:pPr>
            <w:r w:rsidRPr="00B811AA">
              <w:t xml:space="preserve">Disability Services Act 1986 (Cth) </w:t>
            </w:r>
            <w:r w:rsidRPr="00B811AA">
              <w:fldChar w:fldCharType="begin"/>
            </w:r>
            <w:r w:rsidRPr="00B811AA">
              <w:instrText xml:space="preserve"> ADDIN EN.CITE &lt;EndNote&gt;&lt;Cite&gt;&lt;Author&gt;Australian Government&lt;/Author&gt;&lt;Year&gt;1986&lt;/Year&gt;&lt;RecNum&gt;185&lt;/RecNum&gt;&lt;DisplayText&gt;(Australian Government, 1986)&lt;/DisplayText&gt;&lt;record&gt;&lt;rec-number&gt;185&lt;/rec-number&gt;&lt;foreign-keys&gt;&lt;key app="EN" db-id="9r0xdszvkxpd0qee99svpwt7tdv9zzed5z2f" timestamp="1769693662"&gt;185&lt;/key&gt;&lt;/foreign-keys&gt;&lt;ref-type name="Legal Rule or Regulation"&gt;50&lt;/ref-type&gt;&lt;contributors&gt;&lt;authors&gt;&lt;author&gt;Australian Government,&lt;/author&gt;&lt;/authors&gt;&lt;/contributors&gt;&lt;titles&gt;&lt;title&gt;Disability Services Act 1986 (Cth)&lt;/title&gt;&lt;/titles&gt;&lt;dates&gt;&lt;year&gt;1986&lt;/year&gt;&lt;/dates&gt;&lt;urls&gt;&lt;related-urls&gt;&lt;url&gt;https://www.legislation.gov.au/Details/C2023C00258&lt;/url&gt;&lt;/related-urls&gt;&lt;/urls&gt;&lt;/record&gt;&lt;/Cite&gt;&lt;/EndNote&gt;</w:instrText>
            </w:r>
            <w:r w:rsidRPr="00B811AA">
              <w:fldChar w:fldCharType="separate"/>
            </w:r>
            <w:r w:rsidRPr="00B811AA">
              <w:t>(Australian Government, 1986)</w:t>
            </w:r>
            <w:r w:rsidRPr="00B811AA">
              <w:fldChar w:fldCharType="end"/>
            </w:r>
            <w:r w:rsidRPr="00B811AA">
              <w:t xml:space="preserve"> establishes the Commonwealth disability services framework.</w:t>
            </w:r>
          </w:p>
        </w:tc>
        <w:tc>
          <w:tcPr>
            <w:tcW w:w="4948" w:type="dxa"/>
          </w:tcPr>
          <w:p w14:paraId="6CFC977F" w14:textId="77777777" w:rsidR="00D0002F" w:rsidRPr="00B811AA" w:rsidRDefault="00D0002F" w:rsidP="00261CB6">
            <w:pPr>
              <w:pStyle w:val="TableText"/>
              <w:cnfStyle w:val="000000100000" w:firstRow="0" w:lastRow="0" w:firstColumn="0" w:lastColumn="0" w:oddVBand="0" w:evenVBand="0" w:oddHBand="1" w:evenHBand="0" w:firstRowFirstColumn="0" w:firstRowLastColumn="0" w:lastRowFirstColumn="0" w:lastRowLastColumn="0"/>
            </w:pPr>
            <w:r w:rsidRPr="00B811AA">
              <w:t>Supported the development and funding of specialist disability services, including employment support, while co-existing with segregated service pathways.</w:t>
            </w:r>
          </w:p>
        </w:tc>
      </w:tr>
      <w:tr w:rsidR="00D0002F" w:rsidRPr="00ED411B" w14:paraId="1D9E51DD" w14:textId="77777777" w:rsidTr="00261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C72A118" w14:textId="77777777" w:rsidR="00D0002F" w:rsidRPr="00B811AA" w:rsidRDefault="00D0002F" w:rsidP="00261CB6">
            <w:pPr>
              <w:pStyle w:val="TableText"/>
            </w:pPr>
            <w:r w:rsidRPr="00B811AA">
              <w:t>1992</w:t>
            </w:r>
          </w:p>
        </w:tc>
        <w:tc>
          <w:tcPr>
            <w:tcW w:w="3260" w:type="dxa"/>
          </w:tcPr>
          <w:p w14:paraId="049AFF85" w14:textId="77777777" w:rsidR="00D0002F" w:rsidRPr="00B811AA" w:rsidRDefault="00D0002F" w:rsidP="00261CB6">
            <w:pPr>
              <w:pStyle w:val="TableText"/>
              <w:cnfStyle w:val="000000010000" w:firstRow="0" w:lastRow="0" w:firstColumn="0" w:lastColumn="0" w:oddVBand="0" w:evenVBand="0" w:oddHBand="0" w:evenHBand="1" w:firstRowFirstColumn="0" w:firstRowLastColumn="0" w:lastRowFirstColumn="0" w:lastRowLastColumn="0"/>
            </w:pPr>
            <w:r w:rsidRPr="00B811AA">
              <w:t xml:space="preserve">Disability Discrimination Act 1992 (Cth) </w:t>
            </w:r>
            <w:r w:rsidRPr="00B811AA">
              <w:fldChar w:fldCharType="begin"/>
            </w:r>
            <w:r w:rsidRPr="00B811AA">
              <w:instrText xml:space="preserve"> ADDIN EN.CITE &lt;EndNote&gt;&lt;Cite&gt;&lt;Author&gt;Australian Government&lt;/Author&gt;&lt;Year&gt;1992&lt;/Year&gt;&lt;RecNum&gt;125&lt;/RecNum&gt;&lt;DisplayText&gt;(Australian Government, 1992)&lt;/DisplayText&gt;&lt;record&gt;&lt;rec-number&gt;125&lt;/rec-number&gt;&lt;foreign-keys&gt;&lt;key app="EN" db-id="9r0xdszvkxpd0qee99svpwt7tdv9zzed5z2f" timestamp="1769668867"&gt;125&lt;/key&gt;&lt;/foreign-keys&gt;&lt;ref-type name="Legal Rule or Regulation"&gt;50&lt;/ref-type&gt;&lt;contributors&gt;&lt;authors&gt;&lt;author&gt;Australian Government,&lt;/author&gt;&lt;/authors&gt;&lt;/contributors&gt;&lt;titles&gt;&lt;title&gt;Disability Discrimination Act 1992 (Cth)&lt;/title&gt;&lt;/titles&gt;&lt;dates&gt;&lt;year&gt;1992&lt;/year&gt;&lt;/dates&gt;&lt;urls&gt;&lt;related-urls&gt;&lt;url&gt;https://www.legislation.gov.au/C2004A04426/2018-04-12/text&lt;/url&gt;&lt;/related-urls&gt;&lt;/urls&gt;&lt;/record&gt;&lt;/Cite&gt;&lt;/EndNote&gt;</w:instrText>
            </w:r>
            <w:r w:rsidRPr="00B811AA">
              <w:fldChar w:fldCharType="separate"/>
            </w:r>
            <w:r w:rsidRPr="00B811AA">
              <w:t>(Australian Government, 1992)</w:t>
            </w:r>
            <w:r w:rsidRPr="00B811AA">
              <w:fldChar w:fldCharType="end"/>
            </w:r>
            <w:r w:rsidRPr="00B811AA">
              <w:t>.</w:t>
            </w:r>
          </w:p>
        </w:tc>
        <w:tc>
          <w:tcPr>
            <w:tcW w:w="4948" w:type="dxa"/>
          </w:tcPr>
          <w:p w14:paraId="49495713" w14:textId="77777777" w:rsidR="00D0002F" w:rsidRPr="00B811AA" w:rsidRDefault="00D0002F" w:rsidP="00261CB6">
            <w:pPr>
              <w:pStyle w:val="TableText"/>
              <w:cnfStyle w:val="000000010000" w:firstRow="0" w:lastRow="0" w:firstColumn="0" w:lastColumn="0" w:oddVBand="0" w:evenVBand="0" w:oddHBand="0" w:evenHBand="1" w:firstRowFirstColumn="0" w:firstRowLastColumn="0" w:lastRowFirstColumn="0" w:lastRowLastColumn="0"/>
            </w:pPr>
            <w:r w:rsidRPr="00B811AA">
              <w:t>Creates a national anti-discrimination baseline in employment and underpins reasonable adjustments and workplace accessibility as routine employment obligations.</w:t>
            </w:r>
          </w:p>
        </w:tc>
      </w:tr>
      <w:tr w:rsidR="00D0002F" w:rsidRPr="00ED411B" w14:paraId="53277E1C" w14:textId="77777777" w:rsidTr="00261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DB75C95" w14:textId="77777777" w:rsidR="00D0002F" w:rsidRPr="00B811AA" w:rsidRDefault="00D0002F" w:rsidP="00261CB6">
            <w:pPr>
              <w:pStyle w:val="TableText"/>
            </w:pPr>
            <w:r w:rsidRPr="00B811AA">
              <w:t>2008</w:t>
            </w:r>
          </w:p>
        </w:tc>
        <w:tc>
          <w:tcPr>
            <w:tcW w:w="3260" w:type="dxa"/>
          </w:tcPr>
          <w:p w14:paraId="5E679D0A" w14:textId="77777777" w:rsidR="00D0002F" w:rsidRPr="00B811AA" w:rsidRDefault="00D0002F" w:rsidP="00261CB6">
            <w:pPr>
              <w:pStyle w:val="TableText"/>
              <w:cnfStyle w:val="000000100000" w:firstRow="0" w:lastRow="0" w:firstColumn="0" w:lastColumn="0" w:oddVBand="0" w:evenVBand="0" w:oddHBand="1" w:evenHBand="0" w:firstRowFirstColumn="0" w:firstRowLastColumn="0" w:lastRowFirstColumn="0" w:lastRowLastColumn="0"/>
            </w:pPr>
            <w:r w:rsidRPr="00B811AA">
              <w:t xml:space="preserve">Australia ratifies the Convention on the Rights of Persons with Disabilities (CRPD) </w:t>
            </w:r>
            <w:r w:rsidRPr="00B811AA">
              <w:fldChar w:fldCharType="begin"/>
            </w:r>
            <w:r w:rsidRPr="00B811AA">
              <w:instrText xml:space="preserve"> ADDIN EN.CITE &lt;EndNote&gt;&lt;Cite&gt;&lt;Author&gt;The Division For Inclusive Social Development (DISD)&lt;/Author&gt;&lt;Year&gt;2006&lt;/Year&gt;&lt;RecNum&gt;180&lt;/RecNum&gt;&lt;DisplayText&gt;(The Division For Inclusive Social Development (DISD), 2006)&lt;/DisplayText&gt;&lt;record&gt;&lt;rec-number&gt;180&lt;/rec-number&gt;&lt;foreign-keys&gt;&lt;key app="EN" db-id="9r0xdszvkxpd0qee99svpwt7tdv9zzed5z2f" timestamp="1769675506"&gt;180&lt;/key&gt;&lt;/foreign-keys&gt;&lt;ref-type name="Electronic Article"&gt;43&lt;/ref-type&gt;&lt;contributors&gt;&lt;authors&gt;&lt;author&gt;The Division For Inclusive Social Development (DISD), Department of Economic and Social Affairs (DESA), the United Nations  Secretariat. &lt;/author&gt;&lt;/authors&gt;&lt;/contributors&gt;&lt;titles&gt;&lt;title&gt;United Nations Convention on the Rights of Persons with Disabilities, Article</w:instrText>
            </w:r>
            <w:r w:rsidRPr="00B811AA">
              <w:rPr>
                <w:rFonts w:ascii="Times New Roman" w:hAnsi="Times New Roman"/>
              </w:rPr>
              <w:instrText> </w:instrText>
            </w:r>
            <w:r w:rsidRPr="00B811AA">
              <w:instrText>27– Work and employment&lt;/title&gt;&lt;/titles&gt;&lt;dates&gt;&lt;year&gt;2006&lt;/year&gt;&lt;/dates&gt;&lt;urls&gt;&lt;related-urls&gt;&lt;url&gt;https://social.desa.un.org/issues/disability/crpd/article-27-work-and-employment&lt;/url&gt;&lt;/related-urls&gt;&lt;/urls&gt;&lt;/record&gt;&lt;/Cite&gt;&lt;/EndNote&gt;</w:instrText>
            </w:r>
            <w:r w:rsidRPr="00B811AA">
              <w:fldChar w:fldCharType="separate"/>
            </w:r>
            <w:r w:rsidRPr="00B811AA">
              <w:t>(The Division For Inclusive Social Development (DISD), 2006)</w:t>
            </w:r>
            <w:r w:rsidRPr="00B811AA">
              <w:fldChar w:fldCharType="end"/>
            </w:r>
            <w:r w:rsidRPr="00B811AA">
              <w:t>.</w:t>
            </w:r>
          </w:p>
        </w:tc>
        <w:tc>
          <w:tcPr>
            <w:tcW w:w="4948" w:type="dxa"/>
          </w:tcPr>
          <w:p w14:paraId="48006B77" w14:textId="77777777" w:rsidR="00D0002F" w:rsidRPr="00B811AA" w:rsidRDefault="00D0002F" w:rsidP="00261CB6">
            <w:pPr>
              <w:pStyle w:val="TableText"/>
              <w:cnfStyle w:val="000000100000" w:firstRow="0" w:lastRow="0" w:firstColumn="0" w:lastColumn="0" w:oddVBand="0" w:evenVBand="0" w:oddHBand="1" w:evenHBand="0" w:firstRowFirstColumn="0" w:firstRowLastColumn="0" w:lastRowFirstColumn="0" w:lastRowLastColumn="0"/>
            </w:pPr>
            <w:r w:rsidRPr="00B811AA">
              <w:t>Strengthens a rights-based framing for employment inclusion (e.g., CRPD Article 27) and reinforces the expectation of participation in an open, inclusive labour market.</w:t>
            </w:r>
          </w:p>
        </w:tc>
      </w:tr>
      <w:tr w:rsidR="00D0002F" w:rsidRPr="00ED411B" w14:paraId="653557DF" w14:textId="77777777" w:rsidTr="00261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D1DD5C2" w14:textId="77777777" w:rsidR="00D0002F" w:rsidRPr="00B811AA" w:rsidRDefault="00D0002F" w:rsidP="00261CB6">
            <w:pPr>
              <w:pStyle w:val="TableText"/>
            </w:pPr>
            <w:r w:rsidRPr="00B811AA">
              <w:t>2010</w:t>
            </w:r>
          </w:p>
        </w:tc>
        <w:tc>
          <w:tcPr>
            <w:tcW w:w="3260" w:type="dxa"/>
          </w:tcPr>
          <w:p w14:paraId="6C9E484B" w14:textId="77777777" w:rsidR="00D0002F" w:rsidRPr="00B811AA" w:rsidRDefault="00D0002F" w:rsidP="00261CB6">
            <w:pPr>
              <w:pStyle w:val="TableText"/>
              <w:cnfStyle w:val="000000010000" w:firstRow="0" w:lastRow="0" w:firstColumn="0" w:lastColumn="0" w:oddVBand="0" w:evenVBand="0" w:oddHBand="0" w:evenHBand="1" w:firstRowFirstColumn="0" w:firstRowLastColumn="0" w:lastRowFirstColumn="0" w:lastRowLastColumn="0"/>
            </w:pPr>
            <w:r w:rsidRPr="00B811AA">
              <w:t>Disability Employment Services (DES) commences as a national specialist employment programme.</w:t>
            </w:r>
          </w:p>
        </w:tc>
        <w:tc>
          <w:tcPr>
            <w:tcW w:w="4948" w:type="dxa"/>
          </w:tcPr>
          <w:p w14:paraId="0F4856C4" w14:textId="77777777" w:rsidR="00D0002F" w:rsidRPr="00B811AA" w:rsidRDefault="00D0002F" w:rsidP="00261CB6">
            <w:pPr>
              <w:pStyle w:val="TableText"/>
              <w:cnfStyle w:val="000000010000" w:firstRow="0" w:lastRow="0" w:firstColumn="0" w:lastColumn="0" w:oddVBand="0" w:evenVBand="0" w:oddHBand="0" w:evenHBand="1" w:firstRowFirstColumn="0" w:firstRowLastColumn="0" w:lastRowFirstColumn="0" w:lastRowLastColumn="0"/>
            </w:pPr>
            <w:r w:rsidRPr="00B811AA">
              <w:t>Provides a major service-system platform for job development, placement, and ongoing workplace support; system settings influence support ‘dose’, fidelity, and employer engagement.</w:t>
            </w:r>
          </w:p>
        </w:tc>
      </w:tr>
      <w:tr w:rsidR="00D0002F" w:rsidRPr="00ED411B" w14:paraId="6D61F22C" w14:textId="77777777" w:rsidTr="00261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A78E878" w14:textId="77777777" w:rsidR="00D0002F" w:rsidRPr="00B811AA" w:rsidRDefault="00D0002F" w:rsidP="00261CB6">
            <w:pPr>
              <w:pStyle w:val="TableText"/>
            </w:pPr>
            <w:r w:rsidRPr="00B811AA">
              <w:t>2013–present</w:t>
            </w:r>
          </w:p>
        </w:tc>
        <w:tc>
          <w:tcPr>
            <w:tcW w:w="3260" w:type="dxa"/>
          </w:tcPr>
          <w:p w14:paraId="1B7B10FF" w14:textId="77777777" w:rsidR="00D0002F" w:rsidRPr="00B811AA" w:rsidRDefault="00D0002F" w:rsidP="00261CB6">
            <w:pPr>
              <w:pStyle w:val="TableText"/>
              <w:cnfStyle w:val="000000100000" w:firstRow="0" w:lastRow="0" w:firstColumn="0" w:lastColumn="0" w:oddVBand="0" w:evenVBand="0" w:oddHBand="1" w:evenHBand="0" w:firstRowFirstColumn="0" w:firstRowLastColumn="0" w:lastRowFirstColumn="0" w:lastRowLastColumn="0"/>
            </w:pPr>
            <w:r w:rsidRPr="00B811AA">
              <w:t xml:space="preserve">National Disability Insurance Scheme (NDIS) established through NDIS Act 2013 </w:t>
            </w:r>
            <w:r w:rsidRPr="00B811AA">
              <w:fldChar w:fldCharType="begin"/>
            </w:r>
            <w:r w:rsidRPr="00B811AA">
              <w:instrText xml:space="preserve"> ADDIN EN.CITE &lt;EndNote&gt;&lt;Cite&gt;&lt;Author&gt;Australian Government&lt;/Author&gt;&lt;Year&gt;2013&lt;/Year&gt;&lt;RecNum&gt;182&lt;/RecNum&gt;&lt;DisplayText&gt;(Australian Government, 2013)&lt;/DisplayText&gt;&lt;record&gt;&lt;rec-number&gt;182&lt;/rec-number&gt;&lt;foreign-keys&gt;&lt;key app="EN" db-id="9r0xdszvkxpd0qee99svpwt7tdv9zzed5z2f" timestamp="1769686209"&gt;182&lt;/key&gt;&lt;/foreign-keys&gt;&lt;ref-type name="Legal Rule or Regulation"&gt;50&lt;/ref-type&gt;&lt;contributors&gt;&lt;authors&gt;&lt;author&gt;Australian Government,&lt;/author&gt;&lt;/authors&gt;&lt;/contributors&gt;&lt;titles&gt;&lt;title&gt;National Disability Insurance Scheme Act 2013 (Cth)&lt;/title&gt;&lt;/titles&gt;&lt;dates&gt;&lt;year&gt;2013&lt;/year&gt;&lt;/dates&gt;&lt;urls&gt;&lt;related-urls&gt;&lt;url&gt;https://www.legislation.gov.au/Details/C2013A00020&lt;/url&gt;&lt;/related-urls&gt;&lt;/urls&gt;&lt;/record&gt;&lt;/Cite&gt;&lt;/EndNote&gt;</w:instrText>
            </w:r>
            <w:r w:rsidRPr="00B811AA">
              <w:fldChar w:fldCharType="separate"/>
            </w:r>
            <w:r w:rsidRPr="00B811AA">
              <w:t>(Australian Government, 2013)</w:t>
            </w:r>
            <w:r w:rsidRPr="00B811AA">
              <w:fldChar w:fldCharType="end"/>
            </w:r>
            <w:r w:rsidRPr="00B811AA">
              <w:t xml:space="preserve"> and progressively rolled out.</w:t>
            </w:r>
          </w:p>
        </w:tc>
        <w:tc>
          <w:tcPr>
            <w:tcW w:w="4948" w:type="dxa"/>
          </w:tcPr>
          <w:p w14:paraId="5B47D276" w14:textId="77777777" w:rsidR="00D0002F" w:rsidRPr="00B811AA" w:rsidRDefault="00D0002F" w:rsidP="00261CB6">
            <w:pPr>
              <w:pStyle w:val="TableText"/>
              <w:cnfStyle w:val="000000100000" w:firstRow="0" w:lastRow="0" w:firstColumn="0" w:lastColumn="0" w:oddVBand="0" w:evenVBand="0" w:oddHBand="1" w:evenHBand="0" w:firstRowFirstColumn="0" w:firstRowLastColumn="0" w:lastRowFirstColumn="0" w:lastRowLastColumn="0"/>
            </w:pPr>
            <w:r w:rsidRPr="00B811AA">
              <w:t>Introduces individualised funding and a parallel pathway for employment-related supports, creating both opportunities and coordination demands at the DES/NDIS interface.</w:t>
            </w:r>
          </w:p>
        </w:tc>
      </w:tr>
      <w:tr w:rsidR="00D0002F" w:rsidRPr="00ED411B" w14:paraId="51F97E72" w14:textId="77777777" w:rsidTr="00261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194851B" w14:textId="77777777" w:rsidR="00D0002F" w:rsidRPr="00B811AA" w:rsidRDefault="00D0002F" w:rsidP="00261CB6">
            <w:pPr>
              <w:pStyle w:val="TableText"/>
            </w:pPr>
            <w:r w:rsidRPr="00B811AA">
              <w:t>2018–present</w:t>
            </w:r>
          </w:p>
        </w:tc>
        <w:tc>
          <w:tcPr>
            <w:tcW w:w="3260" w:type="dxa"/>
          </w:tcPr>
          <w:p w14:paraId="19C35811" w14:textId="77777777" w:rsidR="00D0002F" w:rsidRPr="00B811AA" w:rsidRDefault="00D0002F" w:rsidP="00261CB6">
            <w:pPr>
              <w:pStyle w:val="TableText"/>
              <w:cnfStyle w:val="000000010000" w:firstRow="0" w:lastRow="0" w:firstColumn="0" w:lastColumn="0" w:oddVBand="0" w:evenVBand="0" w:oddHBand="0" w:evenHBand="1" w:firstRowFirstColumn="0" w:firstRowLastColumn="0" w:lastRowFirstColumn="0" w:lastRowLastColumn="0"/>
            </w:pPr>
            <w:r w:rsidRPr="00B811AA">
              <w:t>NDIS School Leaver Employment Supports (Employment Readiness Programmes) and related capacity-building employment assistance.</w:t>
            </w:r>
          </w:p>
        </w:tc>
        <w:tc>
          <w:tcPr>
            <w:tcW w:w="4948" w:type="dxa"/>
          </w:tcPr>
          <w:p w14:paraId="7616564B" w14:textId="77777777" w:rsidR="00D0002F" w:rsidRPr="00B811AA" w:rsidRDefault="00D0002F" w:rsidP="00261CB6">
            <w:pPr>
              <w:pStyle w:val="TableText"/>
              <w:cnfStyle w:val="000000010000" w:firstRow="0" w:lastRow="0" w:firstColumn="0" w:lastColumn="0" w:oddVBand="0" w:evenVBand="0" w:oddHBand="0" w:evenHBand="1" w:firstRowFirstColumn="0" w:firstRowLastColumn="0" w:lastRowFirstColumn="0" w:lastRowLastColumn="0"/>
            </w:pPr>
            <w:r w:rsidRPr="00B811AA">
              <w:t>Institutionalises a transition-focused support stream; highlights the importance of early work exposure, employer engagement, and structured progression from school to work.</w:t>
            </w:r>
          </w:p>
        </w:tc>
      </w:tr>
      <w:tr w:rsidR="00D0002F" w:rsidRPr="00ED411B" w14:paraId="69FB539F" w14:textId="77777777" w:rsidTr="00261C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C0C0C0" w:themeColor="accent5"/>
            </w:tcBorders>
          </w:tcPr>
          <w:p w14:paraId="6B74B759" w14:textId="77777777" w:rsidR="00D0002F" w:rsidRPr="00B811AA" w:rsidRDefault="00D0002F" w:rsidP="00261CB6">
            <w:pPr>
              <w:pStyle w:val="TableText"/>
            </w:pPr>
            <w:r w:rsidRPr="00B811AA">
              <w:t>2022–2023</w:t>
            </w:r>
          </w:p>
        </w:tc>
        <w:tc>
          <w:tcPr>
            <w:tcW w:w="3260" w:type="dxa"/>
            <w:tcBorders>
              <w:bottom w:val="single" w:sz="4" w:space="0" w:color="C0C0C0" w:themeColor="accent5"/>
            </w:tcBorders>
          </w:tcPr>
          <w:p w14:paraId="77AACCA9" w14:textId="77777777" w:rsidR="00D0002F" w:rsidRPr="00B811AA" w:rsidRDefault="00D0002F" w:rsidP="00261CB6">
            <w:pPr>
              <w:pStyle w:val="TableText"/>
              <w:cnfStyle w:val="000000100000" w:firstRow="0" w:lastRow="0" w:firstColumn="0" w:lastColumn="0" w:oddVBand="0" w:evenVBand="0" w:oddHBand="1" w:evenHBand="0" w:firstRowFirstColumn="0" w:firstRowLastColumn="0" w:lastRowFirstColumn="0" w:lastRowLastColumn="0"/>
            </w:pPr>
            <w:r w:rsidRPr="00B811AA">
              <w:t>Disability ministers agree guiding principles (2022) and a supported employment plan (Nov 2023).</w:t>
            </w:r>
          </w:p>
        </w:tc>
        <w:tc>
          <w:tcPr>
            <w:tcW w:w="4948" w:type="dxa"/>
            <w:tcBorders>
              <w:bottom w:val="single" w:sz="4" w:space="0" w:color="C0C0C0" w:themeColor="accent5"/>
            </w:tcBorders>
          </w:tcPr>
          <w:p w14:paraId="6E7A6ED8" w14:textId="77777777" w:rsidR="00D0002F" w:rsidRPr="00B811AA" w:rsidRDefault="00D0002F" w:rsidP="00261CB6">
            <w:pPr>
              <w:pStyle w:val="TableText"/>
              <w:cnfStyle w:val="000000100000" w:firstRow="0" w:lastRow="0" w:firstColumn="0" w:lastColumn="0" w:oddVBand="0" w:evenVBand="0" w:oddHBand="1" w:evenHBand="0" w:firstRowFirstColumn="0" w:firstRowLastColumn="0" w:lastRowFirstColumn="0" w:lastRowLastColumn="0"/>
            </w:pPr>
            <w:r w:rsidRPr="00B811AA">
              <w:t>Signals a coordinated reform direction for supported employment, emphasising informed choice, expanded opportunities across settings, and transition pathways toward open employment where desired.</w:t>
            </w:r>
          </w:p>
        </w:tc>
      </w:tr>
      <w:tr w:rsidR="00D0002F" w:rsidRPr="00ED411B" w14:paraId="77962C27" w14:textId="77777777" w:rsidTr="00261C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C0C0C0" w:themeColor="accent5"/>
            </w:tcBorders>
          </w:tcPr>
          <w:p w14:paraId="69C3DE0A" w14:textId="77777777" w:rsidR="00D0002F" w:rsidRPr="00B811AA" w:rsidRDefault="00D0002F" w:rsidP="00261CB6">
            <w:pPr>
              <w:pStyle w:val="TableText"/>
            </w:pPr>
            <w:r w:rsidRPr="00B811AA">
              <w:lastRenderedPageBreak/>
              <w:t>1 Nov 2025</w:t>
            </w:r>
          </w:p>
        </w:tc>
        <w:tc>
          <w:tcPr>
            <w:tcW w:w="3260" w:type="dxa"/>
            <w:tcBorders>
              <w:bottom w:val="single" w:sz="4" w:space="0" w:color="C0C0C0" w:themeColor="accent5"/>
            </w:tcBorders>
          </w:tcPr>
          <w:p w14:paraId="1A2A1953" w14:textId="594264C7" w:rsidR="00D0002F" w:rsidRPr="00B811AA" w:rsidRDefault="00D0002F" w:rsidP="00261CB6">
            <w:pPr>
              <w:pStyle w:val="TableText"/>
              <w:cnfStyle w:val="000000010000" w:firstRow="0" w:lastRow="0" w:firstColumn="0" w:lastColumn="0" w:oddVBand="0" w:evenVBand="0" w:oddHBand="0" w:evenHBand="1" w:firstRowFirstColumn="0" w:firstRowLastColumn="0" w:lastRowFirstColumn="0" w:lastRowLastColumn="0"/>
            </w:pPr>
            <w:r w:rsidRPr="00B811AA">
              <w:t>Inclusive Employment Australia replaces DES.</w:t>
            </w:r>
          </w:p>
        </w:tc>
        <w:tc>
          <w:tcPr>
            <w:tcW w:w="4948" w:type="dxa"/>
            <w:tcBorders>
              <w:bottom w:val="single" w:sz="4" w:space="0" w:color="C0C0C0" w:themeColor="accent5"/>
            </w:tcBorders>
          </w:tcPr>
          <w:p w14:paraId="5C1A4A03" w14:textId="77777777" w:rsidR="00D0002F" w:rsidRPr="00B811AA" w:rsidRDefault="00D0002F" w:rsidP="00261CB6">
            <w:pPr>
              <w:pStyle w:val="TableText"/>
              <w:cnfStyle w:val="000000010000" w:firstRow="0" w:lastRow="0" w:firstColumn="0" w:lastColumn="0" w:oddVBand="0" w:evenVBand="0" w:oddHBand="0" w:evenHBand="1" w:firstRowFirstColumn="0" w:firstRowLastColumn="0" w:lastRowFirstColumn="0" w:lastRowLastColumn="0"/>
            </w:pPr>
            <w:r w:rsidRPr="00B811AA">
              <w:t>Updates programme architecture and incentives, with an explicit emphasis on participant-centred support, flexibility, and career growth; settings remain pivotal for access, quality, and sustainment of CIE outcomes.</w:t>
            </w:r>
          </w:p>
        </w:tc>
      </w:tr>
    </w:tbl>
    <w:p w14:paraId="5728D6EB" w14:textId="77777777" w:rsidR="00D0002F" w:rsidRDefault="00D0002F" w:rsidP="00D0002F"/>
    <w:p w14:paraId="54C9CDDC" w14:textId="77777777" w:rsidR="00D0002F" w:rsidRDefault="00D0002F" w:rsidP="00D0002F">
      <w:r>
        <w:br w:type="page"/>
      </w:r>
    </w:p>
    <w:p w14:paraId="5CEB5E9E" w14:textId="77777777" w:rsidR="00D0002F" w:rsidRDefault="00D0002F" w:rsidP="00D0002F">
      <w:pPr>
        <w:pStyle w:val="Heading1"/>
      </w:pPr>
      <w:bookmarkStart w:id="90" w:name="_Toc231220100"/>
      <w:r w:rsidRPr="00ED411B">
        <w:lastRenderedPageBreak/>
        <w:t>References</w:t>
      </w:r>
      <w:bookmarkEnd w:id="90"/>
    </w:p>
    <w:p w14:paraId="4C99AA3D" w14:textId="77777777" w:rsidR="00D0002F" w:rsidRPr="00896C7D" w:rsidRDefault="00D0002F" w:rsidP="00D0002F">
      <w:pPr>
        <w:rPr>
          <w:noProof/>
          <w:lang w:val="en-US"/>
        </w:rPr>
      </w:pPr>
      <w:r w:rsidRPr="00896C7D">
        <w:rPr>
          <w:noProof/>
          <w:lang w:val="en-US"/>
        </w:rPr>
        <w:t xml:space="preserve">Alexander, J., Gendera, S., Robinson, S., Fisher, K. R., &amp; Howe, K. (2024). On-the-job training supports for people with intellectual disability employed in aged care. </w:t>
      </w:r>
      <w:r w:rsidRPr="00896C7D">
        <w:rPr>
          <w:i/>
          <w:iCs/>
          <w:noProof/>
          <w:lang w:val="en-US"/>
        </w:rPr>
        <w:t>Journal of Intellectual &amp;amp; Developmental Disability</w:t>
      </w:r>
      <w:r w:rsidRPr="00896C7D">
        <w:rPr>
          <w:noProof/>
          <w:lang w:val="en-US"/>
        </w:rPr>
        <w:t xml:space="preserve">, </w:t>
      </w:r>
      <w:r w:rsidRPr="00896C7D">
        <w:rPr>
          <w:i/>
          <w:iCs/>
          <w:noProof/>
          <w:lang w:val="en-US"/>
        </w:rPr>
        <w:t>49</w:t>
      </w:r>
      <w:r w:rsidRPr="00896C7D">
        <w:rPr>
          <w:noProof/>
          <w:lang w:val="en-US"/>
        </w:rPr>
        <w:t xml:space="preserve">(2), 163-174. </w:t>
      </w:r>
      <w:hyperlink r:id="rId24" w:history="1">
        <w:r w:rsidRPr="00896C7D">
          <w:rPr>
            <w:rFonts w:eastAsia="Aptos"/>
            <w:noProof/>
            <w:color w:val="0563C1"/>
            <w:u w:val="single"/>
          </w:rPr>
          <w:t>https://doi.org/10.3109/13668250.2023.2256075</w:t>
        </w:r>
      </w:hyperlink>
      <w:r w:rsidRPr="00896C7D">
        <w:rPr>
          <w:noProof/>
          <w:lang w:val="en-US"/>
        </w:rPr>
        <w:t xml:space="preserve"> </w:t>
      </w:r>
    </w:p>
    <w:p w14:paraId="3E24D401" w14:textId="77777777" w:rsidR="00D0002F" w:rsidRPr="00896C7D" w:rsidRDefault="00D0002F" w:rsidP="00D0002F">
      <w:pPr>
        <w:rPr>
          <w:noProof/>
        </w:rPr>
      </w:pPr>
      <w:r w:rsidRPr="00896C7D">
        <w:rPr>
          <w:noProof/>
        </w:rPr>
        <w:t xml:space="preserve">American Psychiatric Association. (2013). </w:t>
      </w:r>
      <w:r w:rsidRPr="00896C7D">
        <w:rPr>
          <w:i/>
          <w:iCs/>
          <w:noProof/>
        </w:rPr>
        <w:t>Diagnostic and statistical manual of mental disorders (5th ed.)</w:t>
      </w:r>
      <w:r w:rsidRPr="00896C7D">
        <w:rPr>
          <w:noProof/>
        </w:rPr>
        <w:t>. American Psychiatric Publishing.</w:t>
      </w:r>
    </w:p>
    <w:p w14:paraId="25E60F25" w14:textId="77777777" w:rsidR="00D0002F" w:rsidRPr="00896C7D" w:rsidRDefault="00D0002F" w:rsidP="00D0002F">
      <w:pPr>
        <w:rPr>
          <w:noProof/>
          <w:lang w:val="en-US"/>
        </w:rPr>
      </w:pPr>
      <w:r w:rsidRPr="00896C7D">
        <w:rPr>
          <w:noProof/>
        </w:rPr>
        <w:t xml:space="preserve">Australian Bureau of Statistics. (2022). </w:t>
      </w:r>
      <w:r w:rsidRPr="00896C7D">
        <w:rPr>
          <w:i/>
          <w:noProof/>
        </w:rPr>
        <w:t>Disability, Ageing and Carers, Australia: Summary of Findings</w:t>
      </w:r>
      <w:r w:rsidRPr="00896C7D">
        <w:rPr>
          <w:noProof/>
        </w:rPr>
        <w:t xml:space="preserve">. Australian Bureau of Statistics. Retrieved 1 August from </w:t>
      </w:r>
      <w:hyperlink r:id="rId25" w:history="1">
        <w:r w:rsidRPr="00896C7D">
          <w:rPr>
            <w:noProof/>
            <w:color w:val="0563C1"/>
            <w:u w:val="single"/>
          </w:rPr>
          <w:t>https://www.abs.gov.au/statistics/health/disability/disability-ageing-and-carers-australia-summary-findings/latest-release</w:t>
        </w:r>
      </w:hyperlink>
    </w:p>
    <w:p w14:paraId="05DFBDAF" w14:textId="77777777" w:rsidR="00D0002F" w:rsidRPr="00896C7D" w:rsidRDefault="00D0002F" w:rsidP="00D0002F">
      <w:pPr>
        <w:rPr>
          <w:noProof/>
          <w:lang w:val="en-US"/>
        </w:rPr>
      </w:pPr>
      <w:r w:rsidRPr="00C2396A">
        <w:rPr>
          <w:noProof/>
          <w:lang w:val="en-US"/>
        </w:rPr>
        <w:fldChar w:fldCharType="begin"/>
      </w:r>
      <w:r w:rsidRPr="00896C7D">
        <w:rPr>
          <w:noProof/>
          <w:lang w:val="en-US"/>
        </w:rPr>
        <w:instrText xml:space="preserve"> ADDIN EN.REFLIST </w:instrText>
      </w:r>
      <w:r w:rsidRPr="00C2396A">
        <w:rPr>
          <w:noProof/>
          <w:lang w:val="en-US"/>
        </w:rPr>
        <w:fldChar w:fldCharType="separate"/>
      </w:r>
      <w:r w:rsidRPr="00896C7D">
        <w:rPr>
          <w:noProof/>
          <w:lang w:val="en-US"/>
        </w:rPr>
        <w:t xml:space="preserve">Australian Education Research Organisation. (2022). </w:t>
      </w:r>
      <w:r w:rsidRPr="00896C7D">
        <w:rPr>
          <w:i/>
          <w:iCs/>
          <w:noProof/>
          <w:lang w:val="en-US"/>
        </w:rPr>
        <w:t>Standards of Evidence</w:t>
      </w:r>
      <w:r w:rsidRPr="00896C7D">
        <w:rPr>
          <w:noProof/>
          <w:lang w:val="en-US"/>
        </w:rPr>
        <w:t>. Retrieved 1 August 2025, from https://www.edresearch.edu.au/sites/default/files/2021-02/AERO-Standards-of-evidence.pdf</w:t>
      </w:r>
    </w:p>
    <w:p w14:paraId="737CA1BC" w14:textId="77777777" w:rsidR="00D0002F" w:rsidRPr="00896C7D" w:rsidRDefault="00D0002F" w:rsidP="00D0002F">
      <w:pPr>
        <w:rPr>
          <w:noProof/>
          <w:lang w:val="en-US"/>
        </w:rPr>
      </w:pPr>
      <w:r w:rsidRPr="00896C7D">
        <w:rPr>
          <w:noProof/>
          <w:lang w:val="en-US"/>
        </w:rPr>
        <w:t xml:space="preserve">Australian Institute of Health and Welfare. (2024). </w:t>
      </w:r>
      <w:r w:rsidRPr="00896C7D">
        <w:rPr>
          <w:i/>
          <w:noProof/>
          <w:lang w:val="en-US"/>
        </w:rPr>
        <w:t>People with disability in Australia 2024</w:t>
      </w:r>
      <w:r w:rsidRPr="00896C7D">
        <w:rPr>
          <w:noProof/>
          <w:lang w:val="en-US"/>
        </w:rPr>
        <w:t xml:space="preserve">. </w:t>
      </w:r>
      <w:hyperlink r:id="rId26" w:history="1">
        <w:r w:rsidRPr="00896C7D">
          <w:rPr>
            <w:noProof/>
            <w:color w:val="0563C1"/>
            <w:u w:val="single"/>
            <w:lang w:val="en-US"/>
          </w:rPr>
          <w:t>https://www.aihw.gov.au/reports/disability/people-with-disability-in-australia</w:t>
        </w:r>
      </w:hyperlink>
    </w:p>
    <w:p w14:paraId="0F55AE39" w14:textId="77777777" w:rsidR="00D0002F" w:rsidRPr="00896C7D" w:rsidRDefault="00D0002F" w:rsidP="00D0002F">
      <w:pPr>
        <w:rPr>
          <w:noProof/>
          <w:lang w:val="en-US"/>
        </w:rPr>
      </w:pPr>
      <w:r w:rsidRPr="00896C7D">
        <w:rPr>
          <w:noProof/>
          <w:lang w:val="en-US"/>
        </w:rPr>
        <w:t xml:space="preserve">Berástegui, A., Suárez, G., &amp; González, M. D. (2024). Competencies and employment after a university program in young people with intellectual disabilities. </w:t>
      </w:r>
      <w:r w:rsidRPr="00896C7D">
        <w:rPr>
          <w:i/>
          <w:iCs/>
          <w:noProof/>
          <w:lang w:val="en-US"/>
        </w:rPr>
        <w:t>Journal of Intellectual Disabilities</w:t>
      </w:r>
      <w:r w:rsidRPr="00896C7D">
        <w:rPr>
          <w:noProof/>
          <w:lang w:val="en-US"/>
        </w:rPr>
        <w:t xml:space="preserve">, </w:t>
      </w:r>
      <w:r w:rsidRPr="00896C7D">
        <w:rPr>
          <w:i/>
          <w:iCs/>
          <w:noProof/>
          <w:lang w:val="en-US"/>
        </w:rPr>
        <w:t>28</w:t>
      </w:r>
      <w:r w:rsidRPr="00896C7D">
        <w:rPr>
          <w:noProof/>
          <w:lang w:val="en-US"/>
        </w:rPr>
        <w:t>(3), 615-628.</w:t>
      </w:r>
    </w:p>
    <w:p w14:paraId="65097D06" w14:textId="77777777" w:rsidR="00D0002F" w:rsidRPr="00896C7D" w:rsidRDefault="00D0002F" w:rsidP="00D0002F">
      <w:pPr>
        <w:rPr>
          <w:noProof/>
          <w:lang w:val="en-US"/>
        </w:rPr>
      </w:pPr>
      <w:r w:rsidRPr="00896C7D">
        <w:rPr>
          <w:noProof/>
          <w:lang w:val="en-US"/>
        </w:rPr>
        <w:t xml:space="preserve">Brown, L., Schmid, S., Cutler, S., Kessler, K., &amp; Shiraga, B. (2021). When ordinary becomes extraordinary: A postschool follow up study of the integrated vocational functioning of 50 workers with significant intellectual disabilities, 1984-2020. </w:t>
      </w:r>
      <w:r w:rsidRPr="00896C7D">
        <w:rPr>
          <w:i/>
          <w:noProof/>
          <w:lang w:val="en-US"/>
        </w:rPr>
        <w:t>Journal of Vocational Rehabilitation</w:t>
      </w:r>
      <w:r w:rsidRPr="00896C7D">
        <w:rPr>
          <w:noProof/>
          <w:lang w:val="en-US"/>
        </w:rPr>
        <w:t>,</w:t>
      </w:r>
      <w:r w:rsidRPr="00896C7D">
        <w:rPr>
          <w:i/>
          <w:noProof/>
          <w:lang w:val="en-US"/>
        </w:rPr>
        <w:t xml:space="preserve"> 54</w:t>
      </w:r>
      <w:r w:rsidRPr="00896C7D">
        <w:rPr>
          <w:noProof/>
          <w:lang w:val="en-US"/>
        </w:rPr>
        <w:t xml:space="preserve">(3), 211-253. </w:t>
      </w:r>
      <w:hyperlink r:id="rId27" w:history="1">
        <w:r w:rsidRPr="00896C7D">
          <w:rPr>
            <w:noProof/>
            <w:color w:val="0563C1"/>
            <w:u w:val="single"/>
            <w:lang w:val="en-US"/>
          </w:rPr>
          <w:t>https://doi.org/10.3233/jvr-211132</w:t>
        </w:r>
      </w:hyperlink>
      <w:r w:rsidRPr="00896C7D">
        <w:rPr>
          <w:noProof/>
          <w:lang w:val="en-US"/>
        </w:rPr>
        <w:t xml:space="preserve"> </w:t>
      </w:r>
    </w:p>
    <w:p w14:paraId="380E317D" w14:textId="77777777" w:rsidR="00D0002F" w:rsidRPr="00896C7D" w:rsidRDefault="00D0002F" w:rsidP="00D0002F">
      <w:pPr>
        <w:rPr>
          <w:noProof/>
          <w:lang w:val="en-US"/>
        </w:rPr>
      </w:pPr>
      <w:r w:rsidRPr="00896C7D">
        <w:rPr>
          <w:noProof/>
          <w:lang w:val="en-US"/>
        </w:rPr>
        <w:t xml:space="preserve">Butterworth, J., Migliore, A., Nye-Lengerman, K., Lyons, O., Gunty, A., Eastman, J., &amp; Foos, P. (2020). Using data-enabled performance feedback and guidance to assist employment consultants in their work with job seekers: An experimental study. </w:t>
      </w:r>
      <w:r w:rsidRPr="00896C7D">
        <w:rPr>
          <w:i/>
          <w:noProof/>
          <w:lang w:val="en-US"/>
        </w:rPr>
        <w:t>Journal of Vocational Rehabilitation</w:t>
      </w:r>
      <w:r w:rsidRPr="00896C7D">
        <w:rPr>
          <w:noProof/>
          <w:lang w:val="en-US"/>
        </w:rPr>
        <w:t>,</w:t>
      </w:r>
      <w:r w:rsidRPr="00896C7D">
        <w:rPr>
          <w:i/>
          <w:noProof/>
          <w:lang w:val="en-US"/>
        </w:rPr>
        <w:t xml:space="preserve"> 53</w:t>
      </w:r>
      <w:r w:rsidRPr="00896C7D">
        <w:rPr>
          <w:noProof/>
          <w:lang w:val="en-US"/>
        </w:rPr>
        <w:t xml:space="preserve">(2), 189-203. </w:t>
      </w:r>
      <w:hyperlink r:id="rId28" w:history="1">
        <w:r w:rsidRPr="00896C7D">
          <w:rPr>
            <w:noProof/>
            <w:color w:val="0563C1"/>
            <w:u w:val="single"/>
            <w:lang w:val="en-US"/>
          </w:rPr>
          <w:t>https://doi.org/10.3233/jvr-201096</w:t>
        </w:r>
      </w:hyperlink>
      <w:r w:rsidRPr="00896C7D">
        <w:rPr>
          <w:noProof/>
          <w:lang w:val="en-US"/>
        </w:rPr>
        <w:t xml:space="preserve"> </w:t>
      </w:r>
    </w:p>
    <w:p w14:paraId="138D47E1" w14:textId="77777777" w:rsidR="00D0002F" w:rsidRPr="00896C7D" w:rsidRDefault="00D0002F" w:rsidP="00D0002F">
      <w:pPr>
        <w:rPr>
          <w:noProof/>
          <w:lang w:val="en-US"/>
        </w:rPr>
      </w:pPr>
      <w:r w:rsidRPr="00896C7D">
        <w:rPr>
          <w:noProof/>
          <w:lang w:val="en-US"/>
        </w:rPr>
        <w:t xml:space="preserve">Campbell, M., McKenzie, J. E., Sowden, A., Katikireddi, S. V., Brennan, S. E., Ellis, S., Hartmann-Boyce, J., Ryan, R., Shepperd, S., Thomas, J., Welch, V., &amp; Thomson, H. (2020). Synthesis without meta-analysis (SWiM) in systematic reviews: reporting guideline. </w:t>
      </w:r>
      <w:r w:rsidRPr="00896C7D">
        <w:rPr>
          <w:i/>
          <w:noProof/>
          <w:lang w:val="en-US"/>
        </w:rPr>
        <w:t>BMJ</w:t>
      </w:r>
      <w:r w:rsidRPr="00896C7D">
        <w:rPr>
          <w:noProof/>
          <w:lang w:val="en-US"/>
        </w:rPr>
        <w:t>,</w:t>
      </w:r>
      <w:r w:rsidRPr="00896C7D">
        <w:rPr>
          <w:i/>
          <w:noProof/>
          <w:lang w:val="en-US"/>
        </w:rPr>
        <w:t xml:space="preserve"> 368</w:t>
      </w:r>
      <w:r w:rsidRPr="00896C7D">
        <w:rPr>
          <w:noProof/>
          <w:lang w:val="en-US"/>
        </w:rPr>
        <w:t xml:space="preserve">, l6890. </w:t>
      </w:r>
      <w:hyperlink r:id="rId29" w:history="1">
        <w:r w:rsidRPr="00896C7D">
          <w:rPr>
            <w:noProof/>
            <w:color w:val="0563C1"/>
            <w:u w:val="single"/>
            <w:lang w:val="en-US"/>
          </w:rPr>
          <w:t>https://doi.org/10.1136/bmj.l6890</w:t>
        </w:r>
      </w:hyperlink>
      <w:r w:rsidRPr="00896C7D">
        <w:rPr>
          <w:noProof/>
          <w:lang w:val="en-US"/>
        </w:rPr>
        <w:t xml:space="preserve"> </w:t>
      </w:r>
    </w:p>
    <w:p w14:paraId="2E0B3072" w14:textId="77777777" w:rsidR="00D0002F" w:rsidRPr="00896C7D" w:rsidRDefault="00D0002F" w:rsidP="00D0002F">
      <w:pPr>
        <w:rPr>
          <w:noProof/>
          <w:lang w:val="en-US"/>
        </w:rPr>
      </w:pPr>
      <w:r w:rsidRPr="00896C7D">
        <w:rPr>
          <w:noProof/>
          <w:lang w:val="en-US"/>
        </w:rPr>
        <w:lastRenderedPageBreak/>
        <w:t xml:space="preserve">Carlson, S. R., Morningstar, M. E., &amp; Munandar, V. (2020). Workplace supports for employees with intellectual disability: A systematic review of the intervention literature. </w:t>
      </w:r>
      <w:r w:rsidRPr="00896C7D">
        <w:rPr>
          <w:i/>
          <w:noProof/>
          <w:lang w:val="en-US"/>
        </w:rPr>
        <w:t>Journal of Vocational Rehabilitation</w:t>
      </w:r>
      <w:r w:rsidRPr="00896C7D">
        <w:rPr>
          <w:noProof/>
          <w:lang w:val="en-US"/>
        </w:rPr>
        <w:t>,</w:t>
      </w:r>
      <w:r w:rsidRPr="00896C7D">
        <w:rPr>
          <w:i/>
          <w:noProof/>
          <w:lang w:val="en-US"/>
        </w:rPr>
        <w:t xml:space="preserve"> 52</w:t>
      </w:r>
      <w:r w:rsidRPr="00896C7D">
        <w:rPr>
          <w:noProof/>
          <w:lang w:val="en-US"/>
        </w:rPr>
        <w:t xml:space="preserve">(3), 251-265. </w:t>
      </w:r>
      <w:hyperlink r:id="rId30" w:history="1">
        <w:r w:rsidRPr="00896C7D">
          <w:rPr>
            <w:noProof/>
            <w:color w:val="0563C1"/>
            <w:u w:val="single"/>
            <w:lang w:val="en-US"/>
          </w:rPr>
          <w:t>https://doi.org/10.3233/jvr-201075</w:t>
        </w:r>
      </w:hyperlink>
      <w:r w:rsidRPr="00896C7D">
        <w:rPr>
          <w:noProof/>
          <w:lang w:val="en-US"/>
        </w:rPr>
        <w:t xml:space="preserve"> </w:t>
      </w:r>
    </w:p>
    <w:p w14:paraId="7E4E579B" w14:textId="77777777" w:rsidR="00D0002F" w:rsidRPr="00896C7D" w:rsidRDefault="00D0002F" w:rsidP="00D0002F">
      <w:pPr>
        <w:rPr>
          <w:rFonts w:eastAsia="Calibri" w:cs="Calibri"/>
          <w:noProof/>
          <w:color w:val="000000"/>
          <w:sz w:val="22"/>
          <w:lang w:val="en-US"/>
        </w:rPr>
      </w:pPr>
      <w:r w:rsidRPr="00896C7D">
        <w:rPr>
          <w:rFonts w:eastAsia="Calibri" w:cs="Calibri"/>
          <w:noProof/>
          <w:color w:val="000000"/>
          <w:sz w:val="22"/>
          <w:lang w:val="en-US"/>
        </w:rPr>
        <w:t xml:space="preserve">Covidence. (2025). </w:t>
      </w:r>
      <w:r w:rsidRPr="00896C7D">
        <w:rPr>
          <w:rFonts w:eastAsia="Calibri" w:cs="Calibri"/>
          <w:i/>
          <w:noProof/>
          <w:color w:val="000000"/>
          <w:sz w:val="22"/>
          <w:lang w:val="en-US"/>
        </w:rPr>
        <w:t>Covidence systematic review software</w:t>
      </w:r>
      <w:r w:rsidRPr="00896C7D">
        <w:rPr>
          <w:rFonts w:eastAsia="Calibri" w:cs="Calibri"/>
          <w:noProof/>
          <w:color w:val="000000"/>
          <w:sz w:val="22"/>
          <w:lang w:val="en-US"/>
        </w:rPr>
        <w:t>.</w:t>
      </w:r>
      <w:r w:rsidRPr="00896C7D">
        <w:rPr>
          <w:rFonts w:eastAsia="Calibri" w:cs="Calibri"/>
          <w:i/>
          <w:noProof/>
          <w:color w:val="000000"/>
          <w:sz w:val="22"/>
          <w:lang w:val="en-US"/>
        </w:rPr>
        <w:t xml:space="preserve"> </w:t>
      </w:r>
      <w:r w:rsidRPr="00896C7D">
        <w:rPr>
          <w:rFonts w:eastAsia="Calibri" w:cs="Calibri"/>
          <w:noProof/>
          <w:color w:val="000000"/>
          <w:sz w:val="22"/>
          <w:lang w:val="en-US"/>
        </w:rPr>
        <w:t xml:space="preserve">In Veritas Health Innovation. </w:t>
      </w:r>
      <w:hyperlink r:id="rId31" w:history="1">
        <w:r w:rsidRPr="00896C7D">
          <w:rPr>
            <w:rFonts w:eastAsia="Calibri" w:cs="Calibri"/>
            <w:noProof/>
            <w:color w:val="0563C1"/>
            <w:sz w:val="22"/>
            <w:u w:val="single"/>
            <w:lang w:val="en-US"/>
          </w:rPr>
          <w:t>www.covidence.org</w:t>
        </w:r>
      </w:hyperlink>
    </w:p>
    <w:p w14:paraId="1E83DF7B" w14:textId="77777777" w:rsidR="00D0002F" w:rsidRPr="00896C7D" w:rsidRDefault="00D0002F" w:rsidP="00D0002F">
      <w:pPr>
        <w:rPr>
          <w:noProof/>
          <w:lang w:val="en-US"/>
        </w:rPr>
      </w:pPr>
      <w:r w:rsidRPr="00896C7D">
        <w:rPr>
          <w:noProof/>
          <w:lang w:val="en-US"/>
        </w:rPr>
        <w:t xml:space="preserve">Damianidou, D., Arthur-Kelly, M., Lyons, G., &amp; Wehmeyer, M. L. (2018). Technology use to support employment-related outcomes for people with intellectual and developmental disability: an updated meta-analysis. </w:t>
      </w:r>
      <w:r w:rsidRPr="00896C7D">
        <w:rPr>
          <w:i/>
          <w:noProof/>
          <w:lang w:val="en-US"/>
        </w:rPr>
        <w:t>Int J Dev Disabil</w:t>
      </w:r>
      <w:r w:rsidRPr="00896C7D">
        <w:rPr>
          <w:noProof/>
          <w:lang w:val="en-US"/>
        </w:rPr>
        <w:t>,</w:t>
      </w:r>
      <w:r w:rsidRPr="00896C7D">
        <w:rPr>
          <w:i/>
          <w:noProof/>
          <w:lang w:val="en-US"/>
        </w:rPr>
        <w:t xml:space="preserve"> 65</w:t>
      </w:r>
      <w:r w:rsidRPr="00896C7D">
        <w:rPr>
          <w:noProof/>
          <w:lang w:val="en-US"/>
        </w:rPr>
        <w:t xml:space="preserve">(4), 220-230. </w:t>
      </w:r>
      <w:hyperlink r:id="rId32" w:history="1">
        <w:r w:rsidRPr="00896C7D">
          <w:rPr>
            <w:noProof/>
            <w:color w:val="0563C1"/>
            <w:u w:val="single"/>
            <w:lang w:val="en-US"/>
          </w:rPr>
          <w:t>https://doi.org/10.1080/20473869.2018.1439819</w:t>
        </w:r>
      </w:hyperlink>
      <w:r w:rsidRPr="00896C7D">
        <w:rPr>
          <w:noProof/>
          <w:lang w:val="en-US"/>
        </w:rPr>
        <w:t xml:space="preserve"> </w:t>
      </w:r>
    </w:p>
    <w:p w14:paraId="44212310" w14:textId="77777777" w:rsidR="00D0002F" w:rsidRPr="00896C7D" w:rsidRDefault="00D0002F" w:rsidP="00D0002F">
      <w:pPr>
        <w:rPr>
          <w:noProof/>
          <w:lang w:val="en-US"/>
        </w:rPr>
      </w:pPr>
      <w:r w:rsidRPr="00896C7D">
        <w:rPr>
          <w:noProof/>
          <w:lang w:val="en-US"/>
        </w:rPr>
        <w:t xml:space="preserve">Damschroder, L. J., Aron, D. C., Keith, R. E., Kirsh, S. R., Alexander, J. A., &amp; Lowery, J. C. (2009). Fostering implementation of health services research findings into practice: a consolidated framework for advancing implementation science. </w:t>
      </w:r>
      <w:r w:rsidRPr="00896C7D">
        <w:rPr>
          <w:i/>
          <w:noProof/>
          <w:lang w:val="en-US"/>
        </w:rPr>
        <w:t>Implement Sci</w:t>
      </w:r>
      <w:r w:rsidRPr="00896C7D">
        <w:rPr>
          <w:noProof/>
          <w:lang w:val="en-US"/>
        </w:rPr>
        <w:t>,</w:t>
      </w:r>
      <w:r w:rsidRPr="00896C7D">
        <w:rPr>
          <w:i/>
          <w:noProof/>
          <w:lang w:val="en-US"/>
        </w:rPr>
        <w:t xml:space="preserve"> 4</w:t>
      </w:r>
      <w:r w:rsidRPr="00896C7D">
        <w:rPr>
          <w:noProof/>
          <w:lang w:val="en-US"/>
        </w:rPr>
        <w:t xml:space="preserve">, 50. </w:t>
      </w:r>
      <w:hyperlink r:id="rId33" w:history="1">
        <w:r w:rsidRPr="00896C7D">
          <w:rPr>
            <w:noProof/>
            <w:color w:val="0563C1"/>
            <w:u w:val="single"/>
            <w:lang w:val="en-US"/>
          </w:rPr>
          <w:t>https://doi.org/10.1186/1748-5908-4-50</w:t>
        </w:r>
      </w:hyperlink>
      <w:r w:rsidRPr="00896C7D">
        <w:rPr>
          <w:noProof/>
          <w:lang w:val="en-US"/>
        </w:rPr>
        <w:t xml:space="preserve"> </w:t>
      </w:r>
    </w:p>
    <w:p w14:paraId="464AEB30" w14:textId="77777777" w:rsidR="00D0002F" w:rsidRPr="00896C7D" w:rsidRDefault="00D0002F" w:rsidP="00D0002F">
      <w:pPr>
        <w:rPr>
          <w:noProof/>
          <w:lang w:val="en-US"/>
        </w:rPr>
      </w:pPr>
      <w:r w:rsidRPr="00896C7D">
        <w:rPr>
          <w:noProof/>
          <w:lang w:val="en-US"/>
        </w:rPr>
        <w:t xml:space="preserve">Department of Social Services. (2024). </w:t>
      </w:r>
      <w:r w:rsidRPr="00896C7D">
        <w:rPr>
          <w:i/>
          <w:noProof/>
          <w:lang w:val="en-US"/>
        </w:rPr>
        <w:t>Commonwealth, state and territory supported employment plan: 2024 update</w:t>
      </w:r>
      <w:r w:rsidRPr="00896C7D">
        <w:rPr>
          <w:noProof/>
          <w:lang w:val="en-US"/>
        </w:rPr>
        <w:t xml:space="preserve">.  Retrieved from </w:t>
      </w:r>
      <w:hyperlink r:id="rId34" w:history="1">
        <w:r w:rsidRPr="00896C7D">
          <w:rPr>
            <w:noProof/>
            <w:color w:val="0563C1"/>
            <w:u w:val="single"/>
            <w:lang w:val="en-US"/>
          </w:rPr>
          <w:t>https://www.dss.gov.au/system/files/documents/2024-12/commonwealth-state-and-territory-supported-employment-plan_0.pdf</w:t>
        </w:r>
      </w:hyperlink>
    </w:p>
    <w:p w14:paraId="432D6A20" w14:textId="77777777" w:rsidR="00D0002F" w:rsidRPr="00896C7D" w:rsidRDefault="00D0002F" w:rsidP="00D0002F">
      <w:pPr>
        <w:rPr>
          <w:rFonts w:eastAsia="Calibri" w:cs="Calibri"/>
          <w:noProof/>
          <w:color w:val="000000"/>
          <w:sz w:val="22"/>
          <w:lang w:val="en-US"/>
        </w:rPr>
      </w:pPr>
      <w:r w:rsidRPr="00896C7D">
        <w:rPr>
          <w:rFonts w:eastAsia="Calibri" w:cs="Calibri"/>
          <w:noProof/>
          <w:color w:val="000000"/>
          <w:sz w:val="22"/>
          <w:lang w:val="en-US"/>
        </w:rPr>
        <w:t xml:space="preserve">Department of Social Services. (2025). </w:t>
      </w:r>
      <w:r w:rsidRPr="00896C7D">
        <w:rPr>
          <w:rFonts w:eastAsia="Calibri" w:cs="Calibri"/>
          <w:i/>
          <w:noProof/>
          <w:color w:val="000000"/>
          <w:sz w:val="22"/>
          <w:lang w:val="en-US"/>
        </w:rPr>
        <w:t>Inclusive Employment Australia</w:t>
      </w:r>
      <w:r w:rsidRPr="00896C7D">
        <w:rPr>
          <w:rFonts w:eastAsia="Calibri" w:cs="Calibri"/>
          <w:noProof/>
          <w:color w:val="000000"/>
          <w:sz w:val="22"/>
          <w:lang w:val="en-US"/>
        </w:rPr>
        <w:t xml:space="preserve">.  Retrieved from </w:t>
      </w:r>
      <w:hyperlink r:id="rId35" w:history="1">
        <w:r w:rsidRPr="00896C7D">
          <w:rPr>
            <w:rFonts w:eastAsia="Calibri" w:cs="Calibri"/>
            <w:noProof/>
            <w:color w:val="0563C1"/>
            <w:sz w:val="22"/>
            <w:u w:val="single"/>
            <w:lang w:val="en-US"/>
          </w:rPr>
          <w:t>https://www.dss.gov.au/disability-and-carers-programmes-services-for-people-with-disability-inclusive-employment-australia</w:t>
        </w:r>
      </w:hyperlink>
    </w:p>
    <w:p w14:paraId="404D37B9" w14:textId="77777777" w:rsidR="00D0002F" w:rsidRPr="00896C7D" w:rsidRDefault="00D0002F" w:rsidP="00D0002F">
      <w:pPr>
        <w:rPr>
          <w:noProof/>
          <w:color w:val="000000"/>
          <w:lang w:val="en-US"/>
        </w:rPr>
      </w:pPr>
      <w:r w:rsidRPr="00896C7D">
        <w:rPr>
          <w:noProof/>
          <w:color w:val="000000"/>
          <w:lang w:val="en-US"/>
        </w:rPr>
        <w:t xml:space="preserve">Disability Services Act 1986 (Cth), (1986). </w:t>
      </w:r>
      <w:hyperlink r:id="rId36" w:history="1">
        <w:r w:rsidRPr="00896C7D">
          <w:rPr>
            <w:noProof/>
            <w:color w:val="0563C1"/>
            <w:u w:val="single"/>
            <w:lang w:val="en-US"/>
          </w:rPr>
          <w:t>https://www.legislation.gov.au/Details/C2023C00258</w:t>
        </w:r>
      </w:hyperlink>
    </w:p>
    <w:p w14:paraId="6D5F95D6" w14:textId="77777777" w:rsidR="00D0002F" w:rsidRPr="00896C7D" w:rsidRDefault="00D0002F" w:rsidP="00D0002F">
      <w:pPr>
        <w:rPr>
          <w:noProof/>
          <w:color w:val="000000"/>
          <w:lang w:val="en-US"/>
        </w:rPr>
      </w:pPr>
      <w:r w:rsidRPr="00896C7D">
        <w:rPr>
          <w:noProof/>
          <w:color w:val="000000"/>
          <w:lang w:val="en-US"/>
        </w:rPr>
        <w:t xml:space="preserve">Disability Discrimination Act 1992 (Cth), (1992). </w:t>
      </w:r>
      <w:hyperlink r:id="rId37" w:history="1">
        <w:r w:rsidRPr="00896C7D">
          <w:rPr>
            <w:noProof/>
            <w:color w:val="0563C1"/>
            <w:u w:val="single"/>
            <w:lang w:val="en-US"/>
          </w:rPr>
          <w:t>https://www.legislation.gov.au/C2004A04426/2018-04-12/text</w:t>
        </w:r>
      </w:hyperlink>
    </w:p>
    <w:p w14:paraId="07042696" w14:textId="77777777" w:rsidR="00D0002F" w:rsidRPr="00896C7D" w:rsidRDefault="00D0002F" w:rsidP="00D0002F">
      <w:pPr>
        <w:rPr>
          <w:noProof/>
          <w:lang w:val="en-US"/>
        </w:rPr>
      </w:pPr>
      <w:r w:rsidRPr="00896C7D">
        <w:rPr>
          <w:noProof/>
          <w:lang w:val="en-US"/>
        </w:rPr>
        <w:t xml:space="preserve">Enticott, A., &amp; Dew, A. (2025). A systematic review of the characteristics of programs and services resulting in competitive employment outcomes for young people with an intellectual disability. </w:t>
      </w:r>
      <w:r w:rsidRPr="00896C7D">
        <w:rPr>
          <w:i/>
          <w:iCs/>
          <w:noProof/>
          <w:lang w:val="en-US"/>
        </w:rPr>
        <w:t>Journal of Intellectual &amp; Developmental Disability</w:t>
      </w:r>
      <w:r w:rsidRPr="00896C7D">
        <w:rPr>
          <w:noProof/>
          <w:lang w:val="en-US"/>
        </w:rPr>
        <w:t>, 1-12. https://doi.org/10.3109/13668250.2025.2499674</w:t>
      </w:r>
    </w:p>
    <w:p w14:paraId="4548F4ED" w14:textId="77777777" w:rsidR="00D0002F" w:rsidRPr="00896C7D" w:rsidRDefault="00D0002F" w:rsidP="00D0002F">
      <w:pPr>
        <w:rPr>
          <w:noProof/>
          <w:lang w:val="en-US"/>
        </w:rPr>
      </w:pPr>
      <w:r w:rsidRPr="00896C7D">
        <w:rPr>
          <w:noProof/>
        </w:rPr>
        <w:t xml:space="preserve">Gilson, C. B., Carter, E. W., Bumble, J. L., &amp; McMillan, E. D. (2018). Family perspectives on integrated employment for adults with intellectual and developmental disabilities. </w:t>
      </w:r>
      <w:r w:rsidRPr="00896C7D">
        <w:rPr>
          <w:i/>
          <w:noProof/>
        </w:rPr>
        <w:t>Research and Practice for Persons with Severe Disabilities</w:t>
      </w:r>
      <w:r w:rsidRPr="00896C7D">
        <w:rPr>
          <w:noProof/>
        </w:rPr>
        <w:t xml:space="preserve">, </w:t>
      </w:r>
      <w:r w:rsidRPr="00896C7D">
        <w:rPr>
          <w:i/>
          <w:noProof/>
        </w:rPr>
        <w:t>43</w:t>
      </w:r>
      <w:r w:rsidRPr="00896C7D">
        <w:rPr>
          <w:noProof/>
        </w:rPr>
        <w:t>(1), 20-37. https://doi.org/10.1177/1540796917751134</w:t>
      </w:r>
    </w:p>
    <w:p w14:paraId="1AE8F6ED" w14:textId="77777777" w:rsidR="00D0002F" w:rsidRPr="00896C7D" w:rsidRDefault="00D0002F" w:rsidP="00D0002F">
      <w:pPr>
        <w:rPr>
          <w:noProof/>
          <w:lang w:val="en-US"/>
        </w:rPr>
      </w:pPr>
      <w:r w:rsidRPr="00896C7D">
        <w:rPr>
          <w:noProof/>
          <w:lang w:val="en-US"/>
        </w:rPr>
        <w:t xml:space="preserve">Gomes-Machado, M. L., Santos, F. H., Schoen, T., &amp; Chiari, B. (2016). Effects of Vocational Training on a Group of People with Intellectual Disabilities. </w:t>
      </w:r>
      <w:r w:rsidRPr="00896C7D">
        <w:rPr>
          <w:i/>
          <w:noProof/>
          <w:lang w:val="en-US"/>
        </w:rPr>
        <w:t>Journal of Policy and Practice in Intellectual Disabilities</w:t>
      </w:r>
      <w:r w:rsidRPr="00896C7D">
        <w:rPr>
          <w:noProof/>
          <w:lang w:val="en-US"/>
        </w:rPr>
        <w:t>,</w:t>
      </w:r>
      <w:r w:rsidRPr="00896C7D">
        <w:rPr>
          <w:i/>
          <w:noProof/>
          <w:lang w:val="en-US"/>
        </w:rPr>
        <w:t xml:space="preserve"> 13</w:t>
      </w:r>
      <w:r w:rsidRPr="00896C7D">
        <w:rPr>
          <w:noProof/>
          <w:lang w:val="en-US"/>
        </w:rPr>
        <w:t xml:space="preserve">(1), 33-40. </w:t>
      </w:r>
      <w:hyperlink r:id="rId38" w:history="1">
        <w:r w:rsidRPr="00896C7D">
          <w:rPr>
            <w:noProof/>
            <w:color w:val="0563C1"/>
            <w:u w:val="single"/>
            <w:lang w:val="en-US"/>
          </w:rPr>
          <w:t>https://doi.org/https://doi.org/10.1111/jppi.12144</w:t>
        </w:r>
      </w:hyperlink>
      <w:r w:rsidRPr="00896C7D">
        <w:rPr>
          <w:noProof/>
          <w:lang w:val="en-US"/>
        </w:rPr>
        <w:t xml:space="preserve"> </w:t>
      </w:r>
    </w:p>
    <w:p w14:paraId="765598DE" w14:textId="77777777" w:rsidR="00D0002F" w:rsidRPr="00896C7D" w:rsidRDefault="00D0002F" w:rsidP="00D0002F">
      <w:pPr>
        <w:rPr>
          <w:noProof/>
          <w:lang w:val="en-US"/>
        </w:rPr>
      </w:pPr>
      <w:r w:rsidRPr="00896C7D">
        <w:rPr>
          <w:noProof/>
          <w:lang w:val="en-US"/>
        </w:rPr>
        <w:t xml:space="preserve">Inge, K. J., Wehman, P., Avellone, L., Broda, M., &amp; McDonough, J. (2024). The impact of customized employment on the competitive integrated employment outcomes of transition age youth with intellectual and developmental disabilities: A randomized controlled trial study. </w:t>
      </w:r>
      <w:r w:rsidRPr="00896C7D">
        <w:rPr>
          <w:i/>
          <w:noProof/>
          <w:lang w:val="en-US"/>
        </w:rPr>
        <w:t>Work</w:t>
      </w:r>
      <w:r w:rsidRPr="00896C7D">
        <w:rPr>
          <w:noProof/>
          <w:lang w:val="en-US"/>
        </w:rPr>
        <w:t>,</w:t>
      </w:r>
      <w:r w:rsidRPr="00896C7D">
        <w:rPr>
          <w:i/>
          <w:noProof/>
          <w:lang w:val="en-US"/>
        </w:rPr>
        <w:t xml:space="preserve"> 77</w:t>
      </w:r>
      <w:r w:rsidRPr="00896C7D">
        <w:rPr>
          <w:noProof/>
          <w:lang w:val="en-US"/>
        </w:rPr>
        <w:t xml:space="preserve">(3), 721-729. </w:t>
      </w:r>
      <w:hyperlink r:id="rId39" w:history="1">
        <w:r w:rsidRPr="00896C7D">
          <w:rPr>
            <w:noProof/>
            <w:color w:val="0563C1"/>
            <w:u w:val="single"/>
            <w:lang w:val="en-US"/>
          </w:rPr>
          <w:t>https://doi.org/10.3233/wor-246003</w:t>
        </w:r>
      </w:hyperlink>
      <w:r w:rsidRPr="00896C7D">
        <w:rPr>
          <w:noProof/>
          <w:lang w:val="en-US"/>
        </w:rPr>
        <w:t xml:space="preserve"> </w:t>
      </w:r>
    </w:p>
    <w:p w14:paraId="4CD67462" w14:textId="77777777" w:rsidR="00D0002F" w:rsidRPr="00896C7D" w:rsidRDefault="00D0002F" w:rsidP="00D0002F">
      <w:pPr>
        <w:rPr>
          <w:noProof/>
          <w:lang w:val="en-US"/>
        </w:rPr>
      </w:pPr>
      <w:r w:rsidRPr="00896C7D">
        <w:rPr>
          <w:noProof/>
          <w:lang w:val="en-US"/>
        </w:rPr>
        <w:t xml:space="preserve">Inge, K. J., Avellone, L., Wehman, P., Broda, M., &amp; Joy, J. (2023). Effects of Customized Employment on the Independence of Youth With Intellectual and Developmental Disabilities. </w:t>
      </w:r>
      <w:r w:rsidRPr="00896C7D">
        <w:rPr>
          <w:i/>
          <w:iCs/>
          <w:noProof/>
          <w:lang w:val="en-US"/>
        </w:rPr>
        <w:t>Intellectual and Developmental Disabilities</w:t>
      </w:r>
      <w:r w:rsidRPr="00896C7D">
        <w:rPr>
          <w:noProof/>
          <w:lang w:val="en-US"/>
        </w:rPr>
        <w:t>, 61(6), 481-491. https://doi.org/10.1352/1934-9556-61.6.481</w:t>
      </w:r>
    </w:p>
    <w:p w14:paraId="5A3BB77B" w14:textId="77777777" w:rsidR="00D0002F" w:rsidRPr="00896C7D" w:rsidRDefault="00D0002F" w:rsidP="00D0002F">
      <w:pPr>
        <w:rPr>
          <w:noProof/>
          <w:lang w:val="en-US"/>
        </w:rPr>
      </w:pPr>
      <w:r w:rsidRPr="00896C7D">
        <w:rPr>
          <w:noProof/>
          <w:lang w:val="en-US"/>
        </w:rPr>
        <w:t xml:space="preserve">Jetha, A., Shaw, R., Sinden, A. R., Mahood, Q., Gignac, M. A., McColl, M. A., &amp; Martin Ginis, K. A. (2019). Work-focused interventions that promote the labour market transition of young adults with chronic disabling health conditions: a systematic review. </w:t>
      </w:r>
      <w:r w:rsidRPr="00896C7D">
        <w:rPr>
          <w:i/>
          <w:noProof/>
          <w:lang w:val="en-US"/>
        </w:rPr>
        <w:t>Occup Environ Med</w:t>
      </w:r>
      <w:r w:rsidRPr="00896C7D">
        <w:rPr>
          <w:noProof/>
          <w:lang w:val="en-US"/>
        </w:rPr>
        <w:t>,</w:t>
      </w:r>
      <w:r w:rsidRPr="00896C7D">
        <w:rPr>
          <w:i/>
          <w:noProof/>
          <w:lang w:val="en-US"/>
        </w:rPr>
        <w:t xml:space="preserve"> 76</w:t>
      </w:r>
      <w:r w:rsidRPr="00896C7D">
        <w:rPr>
          <w:noProof/>
          <w:lang w:val="en-US"/>
        </w:rPr>
        <w:t xml:space="preserve">(3), 189-198. </w:t>
      </w:r>
      <w:hyperlink r:id="rId40" w:history="1">
        <w:r w:rsidRPr="00896C7D">
          <w:rPr>
            <w:noProof/>
            <w:color w:val="0563C1"/>
            <w:u w:val="single"/>
            <w:lang w:val="en-US"/>
          </w:rPr>
          <w:t>https://doi.org/10.1136/oemed-2018-105454</w:t>
        </w:r>
      </w:hyperlink>
      <w:r w:rsidRPr="00896C7D">
        <w:rPr>
          <w:noProof/>
          <w:lang w:val="en-US"/>
        </w:rPr>
        <w:t xml:space="preserve"> </w:t>
      </w:r>
    </w:p>
    <w:p w14:paraId="3FFAC865" w14:textId="77777777" w:rsidR="00D0002F" w:rsidRPr="00896C7D" w:rsidRDefault="00D0002F" w:rsidP="00D0002F">
      <w:pPr>
        <w:rPr>
          <w:noProof/>
          <w:lang w:val="en-US"/>
        </w:rPr>
      </w:pPr>
      <w:r w:rsidRPr="00896C7D">
        <w:rPr>
          <w:noProof/>
        </w:rPr>
        <w:t xml:space="preserve">Kiegaldie, D., Shaw, L., Hunter, S., Davis, J., Siddel, H., &amp; O’Brien, M. (2023). An integrated practical placement programme for students with disability: A pilot study. </w:t>
      </w:r>
      <w:r w:rsidRPr="00896C7D">
        <w:rPr>
          <w:i/>
          <w:noProof/>
        </w:rPr>
        <w:t>Journal of Intellectual Disabilities</w:t>
      </w:r>
      <w:r w:rsidRPr="00896C7D">
        <w:rPr>
          <w:noProof/>
        </w:rPr>
        <w:t>, 27(4), 994-1012.</w:t>
      </w:r>
    </w:p>
    <w:p w14:paraId="12E694F3" w14:textId="77777777" w:rsidR="00D0002F" w:rsidRPr="00896C7D" w:rsidRDefault="00D0002F" w:rsidP="00D0002F">
      <w:pPr>
        <w:rPr>
          <w:noProof/>
          <w:lang w:val="en-US"/>
        </w:rPr>
      </w:pPr>
      <w:r w:rsidRPr="00896C7D">
        <w:rPr>
          <w:noProof/>
          <w:lang w:val="en-US"/>
        </w:rPr>
        <w:t xml:space="preserve">Kristof-Brown, A. L., Zimmerman, R. D., &amp; Johnson, E. C. (2005). Consequences of individual's fit at work: A meta-analysis of person-job, person-organization, person-group, and person-supervisor fit. </w:t>
      </w:r>
      <w:r w:rsidRPr="00896C7D">
        <w:rPr>
          <w:i/>
          <w:noProof/>
          <w:lang w:val="en-US"/>
        </w:rPr>
        <w:t>Personnel Psychology</w:t>
      </w:r>
      <w:r w:rsidRPr="00896C7D">
        <w:rPr>
          <w:noProof/>
          <w:lang w:val="en-US"/>
        </w:rPr>
        <w:t>,</w:t>
      </w:r>
      <w:r w:rsidRPr="00896C7D">
        <w:rPr>
          <w:i/>
          <w:noProof/>
          <w:lang w:val="en-US"/>
        </w:rPr>
        <w:t xml:space="preserve"> 58</w:t>
      </w:r>
      <w:r w:rsidRPr="00896C7D">
        <w:rPr>
          <w:noProof/>
          <w:lang w:val="en-US"/>
        </w:rPr>
        <w:t xml:space="preserve">(2), 281-342. </w:t>
      </w:r>
      <w:hyperlink r:id="rId41" w:history="1">
        <w:r w:rsidRPr="00896C7D">
          <w:rPr>
            <w:noProof/>
            <w:color w:val="0563C1"/>
            <w:u w:val="single"/>
            <w:lang w:val="en-US"/>
          </w:rPr>
          <w:t>https://doi.org/10.1111/j.1744-6570.2005.00672.x</w:t>
        </w:r>
      </w:hyperlink>
      <w:r w:rsidRPr="00896C7D">
        <w:rPr>
          <w:noProof/>
          <w:lang w:val="en-US"/>
        </w:rPr>
        <w:t xml:space="preserve"> </w:t>
      </w:r>
    </w:p>
    <w:p w14:paraId="32ECE1FB" w14:textId="77777777" w:rsidR="00D0002F" w:rsidRPr="00896C7D" w:rsidRDefault="00D0002F" w:rsidP="00D0002F">
      <w:pPr>
        <w:rPr>
          <w:noProof/>
          <w:lang w:val="en-US"/>
        </w:rPr>
      </w:pPr>
      <w:r w:rsidRPr="00896C7D">
        <w:rPr>
          <w:noProof/>
          <w:lang w:val="en-US"/>
        </w:rPr>
        <w:t xml:space="preserve">Morash-Macneil, V., Johnson, F., &amp; Ryan, J. B. (2018). A systematic review of assistive technology for individuals with intellectual disability in the workplace. </w:t>
      </w:r>
      <w:r w:rsidRPr="00896C7D">
        <w:rPr>
          <w:i/>
          <w:iCs/>
          <w:noProof/>
          <w:lang w:val="en-US"/>
        </w:rPr>
        <w:t>Journal of Special Education Technology</w:t>
      </w:r>
      <w:r w:rsidRPr="00896C7D">
        <w:rPr>
          <w:noProof/>
          <w:lang w:val="en-US"/>
        </w:rPr>
        <w:t xml:space="preserve">, </w:t>
      </w:r>
      <w:r w:rsidRPr="00896C7D">
        <w:rPr>
          <w:i/>
          <w:iCs/>
          <w:noProof/>
          <w:lang w:val="en-US"/>
        </w:rPr>
        <w:t>33</w:t>
      </w:r>
      <w:r w:rsidRPr="00896C7D">
        <w:rPr>
          <w:noProof/>
          <w:lang w:val="en-US"/>
        </w:rPr>
        <w:t>(1), 15-26.</w:t>
      </w:r>
    </w:p>
    <w:p w14:paraId="44A61A66" w14:textId="77777777" w:rsidR="00D0002F" w:rsidRPr="00896C7D" w:rsidRDefault="00D0002F" w:rsidP="00D0002F">
      <w:pPr>
        <w:rPr>
          <w:noProof/>
        </w:rPr>
      </w:pPr>
      <w:r w:rsidRPr="00896C7D">
        <w:rPr>
          <w:noProof/>
        </w:rPr>
        <w:t xml:space="preserve">National Disability Insurance Agency. (2024). </w:t>
      </w:r>
      <w:r w:rsidRPr="00896C7D">
        <w:rPr>
          <w:i/>
          <w:iCs/>
          <w:noProof/>
        </w:rPr>
        <w:t>Participant employment strategy 2024-26</w:t>
      </w:r>
      <w:r w:rsidRPr="00896C7D">
        <w:rPr>
          <w:noProof/>
        </w:rPr>
        <w:t>. https://www.ndis.gov.au/about-us/strategies/participant-employment-strategy</w:t>
      </w:r>
    </w:p>
    <w:p w14:paraId="334F8815" w14:textId="77777777" w:rsidR="00D0002F" w:rsidRPr="00896C7D" w:rsidRDefault="00D0002F" w:rsidP="00D0002F">
      <w:pPr>
        <w:rPr>
          <w:noProof/>
          <w:color w:val="000000"/>
          <w:lang w:val="en-US"/>
        </w:rPr>
      </w:pPr>
      <w:r w:rsidRPr="00896C7D">
        <w:rPr>
          <w:noProof/>
          <w:color w:val="000000"/>
          <w:lang w:val="en-US"/>
        </w:rPr>
        <w:t xml:space="preserve">National Disability Insurance Scheme Act 2013 (Cth), (2013). </w:t>
      </w:r>
      <w:hyperlink r:id="rId42" w:history="1">
        <w:r w:rsidRPr="00896C7D">
          <w:rPr>
            <w:noProof/>
            <w:color w:val="0563C1"/>
            <w:u w:val="single"/>
            <w:lang w:val="en-US"/>
          </w:rPr>
          <w:t>https://www.legislation.gov.au/Details/C2013A00020</w:t>
        </w:r>
      </w:hyperlink>
    </w:p>
    <w:p w14:paraId="0D245CFB" w14:textId="77777777" w:rsidR="00D0002F" w:rsidRPr="00896C7D" w:rsidRDefault="00D0002F" w:rsidP="00D0002F">
      <w:pPr>
        <w:rPr>
          <w:noProof/>
          <w:lang w:val="en-US"/>
        </w:rPr>
      </w:pPr>
      <w:r w:rsidRPr="00896C7D">
        <w:rPr>
          <w:noProof/>
          <w:lang w:val="en-US"/>
        </w:rPr>
        <w:t xml:space="preserve">National Disability Insurance Scheme. (n.d.). </w:t>
      </w:r>
      <w:r w:rsidRPr="00896C7D">
        <w:rPr>
          <w:i/>
          <w:noProof/>
          <w:lang w:val="en-US"/>
        </w:rPr>
        <w:t>Employment readiness programs. Australian Government</w:t>
      </w:r>
      <w:r w:rsidRPr="00896C7D">
        <w:rPr>
          <w:noProof/>
          <w:lang w:val="en-US"/>
        </w:rPr>
        <w:t xml:space="preserve">.  Retrieved from </w:t>
      </w:r>
      <w:hyperlink r:id="rId43" w:history="1">
        <w:r w:rsidRPr="00896C7D">
          <w:rPr>
            <w:noProof/>
            <w:color w:val="0563C1"/>
            <w:u w:val="single"/>
            <w:lang w:val="en-US"/>
          </w:rPr>
          <w:t>https://www.ndis.gov.au/participants/finding-keeping-and-changing-jobs/employment-readiness-programs</w:t>
        </w:r>
      </w:hyperlink>
    </w:p>
    <w:p w14:paraId="470FCA5F" w14:textId="77777777" w:rsidR="00D0002F" w:rsidRPr="00896C7D" w:rsidRDefault="00D0002F" w:rsidP="00D0002F">
      <w:pPr>
        <w:rPr>
          <w:noProof/>
          <w:lang w:val="en-US"/>
        </w:rPr>
      </w:pPr>
      <w:r w:rsidRPr="00896C7D">
        <w:rPr>
          <w:noProof/>
          <w:lang w:val="en-US"/>
        </w:rPr>
        <w:t xml:space="preserve">Nevala, N., Pehkonen, I., Teittinen, A., Vesala, H. T., Pörtfors, P., &amp; Anttila, H. (2019). The Effectiveness of Rehabilitation Interventions on the Employment and </w:t>
      </w:r>
      <w:r w:rsidRPr="00896C7D">
        <w:rPr>
          <w:noProof/>
          <w:lang w:val="en-US"/>
        </w:rPr>
        <w:lastRenderedPageBreak/>
        <w:t xml:space="preserve">Functioning of People with Intellectual Disabilities: A Systematic Review. </w:t>
      </w:r>
      <w:r w:rsidRPr="00896C7D">
        <w:rPr>
          <w:i/>
          <w:noProof/>
          <w:lang w:val="en-US"/>
        </w:rPr>
        <w:t>J Occup Rehabil</w:t>
      </w:r>
      <w:r w:rsidRPr="00896C7D">
        <w:rPr>
          <w:noProof/>
          <w:lang w:val="en-US"/>
        </w:rPr>
        <w:t>,</w:t>
      </w:r>
      <w:r w:rsidRPr="00896C7D">
        <w:rPr>
          <w:i/>
          <w:noProof/>
          <w:lang w:val="en-US"/>
        </w:rPr>
        <w:t xml:space="preserve"> 29</w:t>
      </w:r>
      <w:r w:rsidRPr="00896C7D">
        <w:rPr>
          <w:noProof/>
          <w:lang w:val="en-US"/>
        </w:rPr>
        <w:t xml:space="preserve">(4), 773-802. </w:t>
      </w:r>
      <w:hyperlink r:id="rId44" w:history="1">
        <w:r w:rsidRPr="00896C7D">
          <w:rPr>
            <w:noProof/>
            <w:color w:val="0563C1"/>
            <w:u w:val="single"/>
            <w:lang w:val="en-US"/>
          </w:rPr>
          <w:t>https://doi.org/10.1007/s10926-019-09837-2</w:t>
        </w:r>
      </w:hyperlink>
      <w:r w:rsidRPr="00896C7D">
        <w:rPr>
          <w:noProof/>
          <w:lang w:val="en-US"/>
        </w:rPr>
        <w:t xml:space="preserve"> </w:t>
      </w:r>
    </w:p>
    <w:p w14:paraId="43D37966" w14:textId="77777777" w:rsidR="00D0002F" w:rsidRPr="00896C7D" w:rsidRDefault="00D0002F" w:rsidP="00D0002F">
      <w:pPr>
        <w:rPr>
          <w:noProof/>
          <w:lang w:val="en-US"/>
        </w:rPr>
      </w:pPr>
      <w:r w:rsidRPr="00896C7D">
        <w:rPr>
          <w:noProof/>
          <w:lang w:val="en-US"/>
        </w:rPr>
        <w:t xml:space="preserve">Nord, D., Grossi, T., &amp; Andresen, J. (2020). Employment Equity for People With IDD Across the Lifespan: The Effects of State Funding. </w:t>
      </w:r>
      <w:r w:rsidRPr="00896C7D">
        <w:rPr>
          <w:i/>
          <w:noProof/>
          <w:lang w:val="en-US"/>
        </w:rPr>
        <w:t>Intellectual and Developmental Disabilities</w:t>
      </w:r>
      <w:r w:rsidRPr="00896C7D">
        <w:rPr>
          <w:noProof/>
          <w:lang w:val="en-US"/>
        </w:rPr>
        <w:t>,</w:t>
      </w:r>
      <w:r w:rsidRPr="00896C7D">
        <w:rPr>
          <w:i/>
          <w:noProof/>
          <w:lang w:val="en-US"/>
        </w:rPr>
        <w:t xml:space="preserve"> 58</w:t>
      </w:r>
      <w:r w:rsidRPr="00896C7D">
        <w:rPr>
          <w:noProof/>
          <w:lang w:val="en-US"/>
        </w:rPr>
        <w:t xml:space="preserve">(4), 288-300. </w:t>
      </w:r>
      <w:hyperlink r:id="rId45" w:history="1">
        <w:r w:rsidRPr="00896C7D">
          <w:rPr>
            <w:noProof/>
            <w:color w:val="0563C1"/>
            <w:u w:val="single"/>
            <w:lang w:val="en-US"/>
          </w:rPr>
          <w:t>https://doi.org/https://doi.org/10.1352/1934-9556-58.4.288</w:t>
        </w:r>
      </w:hyperlink>
      <w:r w:rsidRPr="00896C7D">
        <w:rPr>
          <w:noProof/>
          <w:lang w:val="en-US"/>
        </w:rPr>
        <w:t xml:space="preserve"> </w:t>
      </w:r>
    </w:p>
    <w:p w14:paraId="22E5248F" w14:textId="77777777" w:rsidR="00D0002F" w:rsidRPr="00896C7D" w:rsidRDefault="00D0002F" w:rsidP="00D0002F">
      <w:pPr>
        <w:rPr>
          <w:noProof/>
          <w:lang w:val="en-US"/>
        </w:rPr>
      </w:pPr>
      <w:r w:rsidRPr="00896C7D">
        <w:rPr>
          <w:noProof/>
          <w:lang w:val="en-US"/>
        </w:rPr>
        <w:t xml:space="preserve">Proctor, E., Silmere, H., Raghavan, R., Hovmand, P., Aarons, G., Bunger, A., Griffey, R., &amp; Hensley, M. (2011). Outcomes for implementation research: conceptual distinctions, measurement challenges, and research agenda. </w:t>
      </w:r>
      <w:r w:rsidRPr="00896C7D">
        <w:rPr>
          <w:i/>
          <w:noProof/>
          <w:lang w:val="en-US"/>
        </w:rPr>
        <w:t>Adm Policy Ment Health</w:t>
      </w:r>
      <w:r w:rsidRPr="00896C7D">
        <w:rPr>
          <w:noProof/>
          <w:lang w:val="en-US"/>
        </w:rPr>
        <w:t>,</w:t>
      </w:r>
      <w:r w:rsidRPr="00896C7D">
        <w:rPr>
          <w:i/>
          <w:noProof/>
          <w:lang w:val="en-US"/>
        </w:rPr>
        <w:t xml:space="preserve"> 38</w:t>
      </w:r>
      <w:r w:rsidRPr="00896C7D">
        <w:rPr>
          <w:noProof/>
          <w:lang w:val="en-US"/>
        </w:rPr>
        <w:t xml:space="preserve">(2), 65-76. </w:t>
      </w:r>
      <w:hyperlink r:id="rId46" w:history="1">
        <w:r w:rsidRPr="00896C7D">
          <w:rPr>
            <w:noProof/>
            <w:color w:val="0563C1"/>
            <w:u w:val="single"/>
            <w:lang w:val="en-US"/>
          </w:rPr>
          <w:t>https://doi.org/10.1007/s10488-010-0319-7</w:t>
        </w:r>
      </w:hyperlink>
      <w:r w:rsidRPr="00896C7D">
        <w:rPr>
          <w:noProof/>
          <w:lang w:val="en-US"/>
        </w:rPr>
        <w:t xml:space="preserve"> </w:t>
      </w:r>
    </w:p>
    <w:p w14:paraId="4BB84802" w14:textId="77777777" w:rsidR="00D0002F" w:rsidRPr="00896C7D" w:rsidRDefault="00D0002F" w:rsidP="00D0002F">
      <w:pPr>
        <w:rPr>
          <w:noProof/>
          <w:lang w:val="en-US"/>
        </w:rPr>
      </w:pPr>
      <w:r w:rsidRPr="00896C7D">
        <w:rPr>
          <w:noProof/>
          <w:lang w:val="en-US"/>
        </w:rPr>
        <w:t xml:space="preserve">Rossetti, Z., Lehr, D., Lederer, L., Pelerin, D., &amp; Huang, S. (2015). Parent Perceptions of Time Spent Meaningfully by Young Adults with Pervasive Support Needs. </w:t>
      </w:r>
      <w:r w:rsidRPr="00896C7D">
        <w:rPr>
          <w:i/>
          <w:noProof/>
          <w:lang w:val="en-US"/>
        </w:rPr>
        <w:t>Research and Practice for Persons with Severe Disabilities</w:t>
      </w:r>
      <w:r w:rsidRPr="00896C7D">
        <w:rPr>
          <w:noProof/>
          <w:lang w:val="en-US"/>
        </w:rPr>
        <w:t>,</w:t>
      </w:r>
      <w:r w:rsidRPr="00896C7D">
        <w:rPr>
          <w:i/>
          <w:noProof/>
          <w:lang w:val="en-US"/>
        </w:rPr>
        <w:t xml:space="preserve"> 40</w:t>
      </w:r>
      <w:r w:rsidRPr="00896C7D">
        <w:rPr>
          <w:noProof/>
          <w:lang w:val="en-US"/>
        </w:rPr>
        <w:t xml:space="preserve">(1), 3-19. </w:t>
      </w:r>
      <w:hyperlink r:id="rId47" w:history="1">
        <w:r w:rsidRPr="00896C7D">
          <w:rPr>
            <w:noProof/>
            <w:color w:val="0563C1"/>
            <w:u w:val="single"/>
            <w:lang w:val="en-US"/>
          </w:rPr>
          <w:t>https://doi.org/https://doi.org/10.1177/1540796914566714</w:t>
        </w:r>
      </w:hyperlink>
      <w:r w:rsidRPr="00896C7D">
        <w:rPr>
          <w:noProof/>
          <w:lang w:val="en-US"/>
        </w:rPr>
        <w:t xml:space="preserve"> </w:t>
      </w:r>
    </w:p>
    <w:p w14:paraId="77AF4832" w14:textId="77777777" w:rsidR="00D0002F" w:rsidRPr="00896C7D" w:rsidRDefault="00D0002F" w:rsidP="00D0002F">
      <w:pPr>
        <w:rPr>
          <w:noProof/>
          <w:lang w:val="en-US"/>
        </w:rPr>
      </w:pPr>
      <w:r w:rsidRPr="00896C7D">
        <w:rPr>
          <w:noProof/>
          <w:lang w:val="en-US"/>
        </w:rPr>
        <w:t xml:space="preserve">Schwartzman, B. C. (2021). Mixed methods analysis of an exploratory apprenticeship model employment program for young adults with developmental disabilities. </w:t>
      </w:r>
      <w:r w:rsidRPr="00896C7D">
        <w:rPr>
          <w:i/>
          <w:iCs/>
          <w:noProof/>
          <w:lang w:val="en-US"/>
        </w:rPr>
        <w:t>Journal of Vocational Rehabilitation</w:t>
      </w:r>
      <w:r w:rsidRPr="00896C7D">
        <w:rPr>
          <w:noProof/>
          <w:lang w:val="en-US"/>
        </w:rPr>
        <w:t xml:space="preserve">, </w:t>
      </w:r>
      <w:r w:rsidRPr="00896C7D">
        <w:rPr>
          <w:i/>
          <w:iCs/>
          <w:noProof/>
          <w:lang w:val="en-US"/>
        </w:rPr>
        <w:t>55</w:t>
      </w:r>
      <w:r w:rsidRPr="00896C7D">
        <w:rPr>
          <w:noProof/>
          <w:lang w:val="en-US"/>
        </w:rPr>
        <w:t>(2), 185-205.</w:t>
      </w:r>
    </w:p>
    <w:p w14:paraId="1A718D58" w14:textId="77777777" w:rsidR="00D0002F" w:rsidRPr="00896C7D" w:rsidRDefault="00D0002F" w:rsidP="00D0002F">
      <w:pPr>
        <w:rPr>
          <w:noProof/>
        </w:rPr>
      </w:pPr>
      <w:r w:rsidRPr="00896C7D">
        <w:rPr>
          <w:noProof/>
          <w:lang w:val="en-US"/>
        </w:rPr>
        <w:t xml:space="preserve">Sekiguchi, T., &amp; Yang, Y. (2021). Person-Environment Fit From an Organizational Psychology Perspective. In: </w:t>
      </w:r>
      <w:r w:rsidRPr="00896C7D">
        <w:rPr>
          <w:noProof/>
        </w:rPr>
        <w:t xml:space="preserve">Oxford Bibliographies in Management. </w:t>
      </w:r>
      <w:r w:rsidRPr="00896C7D">
        <w:rPr>
          <w:noProof/>
          <w:lang w:val="en-US"/>
        </w:rPr>
        <w:t xml:space="preserve">Oxford University Press. </w:t>
      </w:r>
    </w:p>
    <w:p w14:paraId="11482118" w14:textId="77777777" w:rsidR="00D0002F" w:rsidRPr="00896C7D" w:rsidRDefault="00D0002F" w:rsidP="00D0002F">
      <w:pPr>
        <w:rPr>
          <w:noProof/>
        </w:rPr>
      </w:pPr>
      <w:r w:rsidRPr="00896C7D">
        <w:rPr>
          <w:noProof/>
        </w:rPr>
        <w:t xml:space="preserve">Services Australia. (n.d.). </w:t>
      </w:r>
      <w:r w:rsidRPr="00896C7D">
        <w:rPr>
          <w:i/>
          <w:iCs/>
          <w:noProof/>
        </w:rPr>
        <w:t>Disability Support Pension: Working while you receive DSP</w:t>
      </w:r>
      <w:r w:rsidRPr="00896C7D">
        <w:rPr>
          <w:noProof/>
        </w:rPr>
        <w:t>. https://www.servicesaustralia.gov.au/working-while-you-get-disability-support-pension</w:t>
      </w:r>
    </w:p>
    <w:p w14:paraId="172A4B12" w14:textId="77777777" w:rsidR="00D0002F" w:rsidRPr="00896C7D" w:rsidRDefault="00D0002F" w:rsidP="00D0002F">
      <w:pPr>
        <w:rPr>
          <w:noProof/>
          <w:lang w:val="en-US"/>
        </w:rPr>
      </w:pPr>
      <w:r w:rsidRPr="00896C7D">
        <w:rPr>
          <w:noProof/>
          <w:lang w:val="en-US"/>
        </w:rPr>
        <w:t xml:space="preserve">Sung, C., Fisher, M. H., Okyere, C., Park, J., &amp; Choi, H. (2023). Employment outcomes and support needs of Michigan Project SEARCH graduates with intellectual and developmental disabilities: A mixed-method study. </w:t>
      </w:r>
      <w:r w:rsidRPr="00896C7D">
        <w:rPr>
          <w:i/>
          <w:noProof/>
          <w:lang w:val="en-US"/>
        </w:rPr>
        <w:t>Journal of Vocational Rehabilitation</w:t>
      </w:r>
      <w:r w:rsidRPr="00896C7D">
        <w:rPr>
          <w:noProof/>
          <w:lang w:val="en-US"/>
        </w:rPr>
        <w:t>,</w:t>
      </w:r>
      <w:r w:rsidRPr="00896C7D">
        <w:rPr>
          <w:i/>
          <w:noProof/>
          <w:lang w:val="en-US"/>
        </w:rPr>
        <w:t xml:space="preserve"> 59</w:t>
      </w:r>
      <w:r w:rsidRPr="00896C7D">
        <w:rPr>
          <w:noProof/>
          <w:lang w:val="en-US"/>
        </w:rPr>
        <w:t xml:space="preserve">(3), 233-249. </w:t>
      </w:r>
      <w:hyperlink r:id="rId48" w:history="1">
        <w:r w:rsidRPr="00896C7D">
          <w:rPr>
            <w:noProof/>
            <w:color w:val="0563C1"/>
            <w:u w:val="single"/>
            <w:lang w:val="en-US"/>
          </w:rPr>
          <w:t>https://doi.org/10.3233/jvr-230042</w:t>
        </w:r>
      </w:hyperlink>
      <w:r w:rsidRPr="00896C7D">
        <w:rPr>
          <w:noProof/>
          <w:lang w:val="en-US"/>
        </w:rPr>
        <w:t xml:space="preserve"> </w:t>
      </w:r>
    </w:p>
    <w:p w14:paraId="4C8EB19A" w14:textId="77777777" w:rsidR="00D0002F" w:rsidRPr="00896C7D" w:rsidRDefault="00D0002F" w:rsidP="00D0002F">
      <w:pPr>
        <w:rPr>
          <w:noProof/>
          <w:lang w:val="en-US"/>
        </w:rPr>
      </w:pPr>
      <w:r w:rsidRPr="00896C7D">
        <w:rPr>
          <w:noProof/>
          <w:lang w:val="en-US"/>
        </w:rPr>
        <w:t xml:space="preserve">Taubner, H., Tideman, M., &amp; Staland Nyman, C. (2022). Employment Sustainability for People with Intellectual Disability: A Systematic Review. </w:t>
      </w:r>
      <w:r w:rsidRPr="00896C7D">
        <w:rPr>
          <w:i/>
          <w:noProof/>
          <w:lang w:val="en-US"/>
        </w:rPr>
        <w:t>Journal of Occupational Rehabilitation</w:t>
      </w:r>
      <w:r w:rsidRPr="00896C7D">
        <w:rPr>
          <w:noProof/>
          <w:lang w:val="en-US"/>
        </w:rPr>
        <w:t>,</w:t>
      </w:r>
      <w:r w:rsidRPr="00896C7D">
        <w:rPr>
          <w:i/>
          <w:noProof/>
          <w:lang w:val="en-US"/>
        </w:rPr>
        <w:t xml:space="preserve"> 32</w:t>
      </w:r>
      <w:r w:rsidRPr="00896C7D">
        <w:rPr>
          <w:noProof/>
          <w:lang w:val="en-US"/>
        </w:rPr>
        <w:t xml:space="preserve">(3), 353-364. </w:t>
      </w:r>
      <w:hyperlink r:id="rId49" w:history="1">
        <w:r w:rsidRPr="00896C7D">
          <w:rPr>
            <w:noProof/>
            <w:color w:val="0563C1"/>
            <w:u w:val="single"/>
            <w:lang w:val="en-US"/>
          </w:rPr>
          <w:t>https://doi.org/10.1007/s10926-021-10020-9</w:t>
        </w:r>
      </w:hyperlink>
      <w:r w:rsidRPr="00896C7D">
        <w:rPr>
          <w:noProof/>
          <w:lang w:val="en-US"/>
        </w:rPr>
        <w:t xml:space="preserve"> </w:t>
      </w:r>
    </w:p>
    <w:p w14:paraId="19404667" w14:textId="77777777" w:rsidR="00D0002F" w:rsidRPr="00896C7D" w:rsidRDefault="00D0002F" w:rsidP="00D0002F">
      <w:pPr>
        <w:rPr>
          <w:noProof/>
          <w:lang w:val="en-US"/>
        </w:rPr>
      </w:pPr>
      <w:r w:rsidRPr="00896C7D">
        <w:rPr>
          <w:noProof/>
          <w:lang w:val="en-US"/>
        </w:rPr>
        <w:t xml:space="preserve">Taylor, J., Avellone, L., Brooke, V., Wehman, P., Inge, K., Schall, C., &amp; Iwanaga, K. (2022). The impact of competitive integrated employment on economic, psychological, and physical health outcomes for individuals with intellectual and developmental disabilities. </w:t>
      </w:r>
      <w:r w:rsidRPr="00896C7D">
        <w:rPr>
          <w:i/>
          <w:noProof/>
          <w:lang w:val="en-US"/>
        </w:rPr>
        <w:t>J Appl Res Intellect Disabil</w:t>
      </w:r>
      <w:r w:rsidRPr="00896C7D">
        <w:rPr>
          <w:noProof/>
          <w:lang w:val="en-US"/>
        </w:rPr>
        <w:t>,</w:t>
      </w:r>
      <w:r w:rsidRPr="00896C7D">
        <w:rPr>
          <w:i/>
          <w:noProof/>
          <w:lang w:val="en-US"/>
        </w:rPr>
        <w:t xml:space="preserve"> 35</w:t>
      </w:r>
      <w:r w:rsidRPr="00896C7D">
        <w:rPr>
          <w:noProof/>
          <w:lang w:val="en-US"/>
        </w:rPr>
        <w:t xml:space="preserve">(2), 448-459. </w:t>
      </w:r>
      <w:hyperlink r:id="rId50" w:history="1">
        <w:r w:rsidRPr="00896C7D">
          <w:rPr>
            <w:noProof/>
            <w:color w:val="0563C1"/>
            <w:u w:val="single"/>
            <w:lang w:val="en-US"/>
          </w:rPr>
          <w:t>https://doi.org/10.1111/jar.12974</w:t>
        </w:r>
      </w:hyperlink>
      <w:r w:rsidRPr="00896C7D">
        <w:rPr>
          <w:noProof/>
          <w:lang w:val="en-US"/>
        </w:rPr>
        <w:t xml:space="preserve"> </w:t>
      </w:r>
    </w:p>
    <w:p w14:paraId="51D98EA5" w14:textId="77777777" w:rsidR="00D0002F" w:rsidRPr="00896C7D" w:rsidRDefault="00D0002F" w:rsidP="00D0002F">
      <w:pPr>
        <w:rPr>
          <w:noProof/>
          <w:lang w:val="en-US"/>
        </w:rPr>
      </w:pPr>
      <w:r w:rsidRPr="00896C7D">
        <w:rPr>
          <w:noProof/>
          <w:lang w:val="en-US"/>
        </w:rPr>
        <w:lastRenderedPageBreak/>
        <w:t xml:space="preserve">Taylor, J. P., Avellone, L., Wehman, P., &amp; Brooke, V. (2023). The efficacy of competitive integrated employment versus segregated employment for persons with disabilities: A systematic review. </w:t>
      </w:r>
      <w:r w:rsidRPr="00896C7D">
        <w:rPr>
          <w:i/>
          <w:noProof/>
          <w:lang w:val="en-US"/>
        </w:rPr>
        <w:t>Journal of Vocational Rehabilitation</w:t>
      </w:r>
      <w:r w:rsidRPr="00896C7D">
        <w:rPr>
          <w:noProof/>
          <w:lang w:val="en-US"/>
        </w:rPr>
        <w:t>,</w:t>
      </w:r>
      <w:r w:rsidRPr="00896C7D">
        <w:rPr>
          <w:i/>
          <w:noProof/>
          <w:lang w:val="en-US"/>
        </w:rPr>
        <w:t xml:space="preserve"> 58</w:t>
      </w:r>
      <w:r w:rsidRPr="00896C7D">
        <w:rPr>
          <w:noProof/>
          <w:lang w:val="en-US"/>
        </w:rPr>
        <w:t xml:space="preserve">(1), 63-78. </w:t>
      </w:r>
      <w:hyperlink r:id="rId51" w:history="1">
        <w:r w:rsidRPr="00896C7D">
          <w:rPr>
            <w:noProof/>
            <w:color w:val="0563C1"/>
            <w:u w:val="single"/>
            <w:lang w:val="en-US"/>
          </w:rPr>
          <w:t>https://doi.org/10.3233/jvr-221225</w:t>
        </w:r>
      </w:hyperlink>
      <w:r w:rsidRPr="00896C7D">
        <w:rPr>
          <w:noProof/>
          <w:lang w:val="en-US"/>
        </w:rPr>
        <w:t xml:space="preserve"> </w:t>
      </w:r>
    </w:p>
    <w:p w14:paraId="224236BF" w14:textId="77777777" w:rsidR="00D0002F" w:rsidRPr="00896C7D" w:rsidRDefault="00D0002F" w:rsidP="00D0002F">
      <w:pPr>
        <w:rPr>
          <w:noProof/>
          <w:lang w:val="en-US"/>
        </w:rPr>
      </w:pPr>
      <w:r w:rsidRPr="00896C7D">
        <w:rPr>
          <w:noProof/>
        </w:rPr>
        <w:t xml:space="preserve">United Nations. (2006). </w:t>
      </w:r>
      <w:r w:rsidRPr="00896C7D">
        <w:rPr>
          <w:i/>
          <w:iCs/>
          <w:noProof/>
        </w:rPr>
        <w:t xml:space="preserve">Convention on the Rights of Persons with Disabilities: Article 27 – Work and employment. </w:t>
      </w:r>
      <w:hyperlink r:id="rId52" w:history="1">
        <w:r w:rsidRPr="00896C7D">
          <w:rPr>
            <w:noProof/>
            <w:color w:val="0563C1"/>
            <w:u w:val="single"/>
            <w:lang w:val="en-US"/>
          </w:rPr>
          <w:t>https://social.desa.un.org/issues/disability/crpd/article-27-work-and-employment</w:t>
        </w:r>
      </w:hyperlink>
      <w:r w:rsidRPr="00896C7D">
        <w:rPr>
          <w:noProof/>
          <w:lang w:val="en-US"/>
        </w:rPr>
        <w:t xml:space="preserve"> </w:t>
      </w:r>
    </w:p>
    <w:p w14:paraId="613AF8F4" w14:textId="77777777" w:rsidR="00D0002F" w:rsidRPr="00896C7D" w:rsidRDefault="00D0002F" w:rsidP="00D0002F">
      <w:pPr>
        <w:rPr>
          <w:noProof/>
        </w:rPr>
      </w:pPr>
      <w:r w:rsidRPr="00896C7D">
        <w:rPr>
          <w:noProof/>
        </w:rPr>
        <w:t xml:space="preserve">U.S. Department of Education. (n.d.). </w:t>
      </w:r>
      <w:r w:rsidRPr="00896C7D">
        <w:rPr>
          <w:i/>
          <w:iCs/>
          <w:noProof/>
        </w:rPr>
        <w:t>Competitive integrated employment (34 C.F.R. §361.5(c)(9) definition)</w:t>
      </w:r>
      <w:r w:rsidRPr="00896C7D">
        <w:rPr>
          <w:noProof/>
        </w:rPr>
        <w:t>. https://www.ecfr.gov/current/title-34/subtitle-B/chapter-III/part-361/subpart-A/section-361.5</w:t>
      </w:r>
    </w:p>
    <w:p w14:paraId="2E6D91FE" w14:textId="77777777" w:rsidR="00D0002F" w:rsidRPr="00896C7D" w:rsidRDefault="00D0002F" w:rsidP="00D0002F">
      <w:pPr>
        <w:rPr>
          <w:noProof/>
        </w:rPr>
      </w:pPr>
      <w:r w:rsidRPr="00896C7D">
        <w:rPr>
          <w:noProof/>
        </w:rPr>
        <w:t>World Health Organization. (2019). International classification of diseases for mortality and morbidity statistics (11th ed.). https://icd.who.int/</w:t>
      </w:r>
    </w:p>
    <w:p w14:paraId="3C867F96" w14:textId="77777777" w:rsidR="00D0002F" w:rsidRPr="00896C7D" w:rsidRDefault="00D0002F" w:rsidP="00D0002F">
      <w:pPr>
        <w:rPr>
          <w:noProof/>
          <w:lang w:val="en-US"/>
        </w:rPr>
      </w:pPr>
      <w:r w:rsidRPr="00896C7D">
        <w:rPr>
          <w:noProof/>
          <w:lang w:val="en-US"/>
        </w:rPr>
        <w:t xml:space="preserve">Workforce Innovation and Opportunity Act, Title IV: Rehabilitation Act Reauthorization, (2015). </w:t>
      </w:r>
      <w:hyperlink r:id="rId53" w:history="1">
        <w:r w:rsidRPr="00896C7D">
          <w:rPr>
            <w:noProof/>
            <w:color w:val="0563C1"/>
            <w:u w:val="single"/>
            <w:lang w:val="en-US"/>
          </w:rPr>
          <w:t>https://www.dol.gov/agencies/odep/program-areas/wioa</w:t>
        </w:r>
      </w:hyperlink>
    </w:p>
    <w:p w14:paraId="0ED96DD2" w14:textId="77777777" w:rsidR="00D0002F" w:rsidRPr="00C2396A" w:rsidRDefault="00D0002F" w:rsidP="00D0002F">
      <w:r w:rsidRPr="00C2396A">
        <w:fldChar w:fldCharType="end"/>
      </w:r>
    </w:p>
    <w:p w14:paraId="6844ADD5" w14:textId="210AB314" w:rsidR="00662688" w:rsidRDefault="00662688" w:rsidP="00D0002F"/>
    <w:sectPr w:rsidR="00662688" w:rsidSect="004D4E83">
      <w:pgSz w:w="11906" w:h="16838" w:code="9"/>
      <w:pgMar w:top="1134" w:right="1134" w:bottom="1134" w:left="1134" w:header="454"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Julie Anderson" w:date="2026-05-29T13:00:00Z" w:initials="JA">
    <w:p w14:paraId="707866DA" w14:textId="77777777" w:rsidR="00F96F06" w:rsidRDefault="00F96F06" w:rsidP="00F96F06">
      <w:r>
        <w:rPr>
          <w:rStyle w:val="CommentReference"/>
        </w:rPr>
        <w:annotationRef/>
      </w:r>
      <w:r>
        <w:t>I removed IEA as DSS does not want the initialism used. I've made the change throughout</w:t>
      </w:r>
    </w:p>
  </w:comment>
  <w:comment w:id="13" w:author="Julie Anderson" w:date="2026-05-29T11:46:00Z" w:initials="JA">
    <w:p w14:paraId="035EBE17" w14:textId="77777777" w:rsidR="00370268" w:rsidRDefault="00370268" w:rsidP="00370268">
      <w:r>
        <w:rPr>
          <w:rStyle w:val="CommentReference"/>
        </w:rPr>
        <w:annotationRef/>
      </w:r>
      <w:r>
        <w:t>I have renamed this as a table as a box with columns is hard to make accessible – I hope that's okay! I have changed references to Box 1.1. throughout the document. I have retained Box 3.1. as it is accessible.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7866DA" w15:done="0"/>
  <w15:commentEx w15:paraId="035EBE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86EFF8" w16cex:dateUtc="2026-05-29T03:00:00Z"/>
  <w16cex:commentExtensible w16cex:durableId="74917F29" w16cex:dateUtc="2026-05-29T0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7866DA" w16cid:durableId="7786EFF8"/>
  <w16cid:commentId w16cid:paraId="035EBE17" w16cid:durableId="74917F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DF299" w14:textId="77777777" w:rsidR="00946685" w:rsidRDefault="00946685" w:rsidP="00D0002F">
      <w:r>
        <w:separator/>
      </w:r>
    </w:p>
  </w:endnote>
  <w:endnote w:type="continuationSeparator" w:id="0">
    <w:p w14:paraId="04C41D0F" w14:textId="77777777" w:rsidR="00946685" w:rsidRDefault="00946685" w:rsidP="00D0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Montserrat">
    <w:altName w:val="Calibri"/>
    <w:panose1 w:val="00000500000000000000"/>
    <w:charset w:val="00"/>
    <w:family w:val="auto"/>
    <w:pitch w:val="variable"/>
    <w:sig w:usb0="2000020F" w:usb1="00000003" w:usb2="00000000" w:usb3="00000000" w:csb0="00000197" w:csb1="00000000"/>
  </w:font>
  <w:font w:name="Univers">
    <w:panose1 w:val="020B0503020202020204"/>
    <w:charset w:val="00"/>
    <w:family w:val="swiss"/>
    <w:pitch w:val="variable"/>
    <w:sig w:usb0="80000287" w:usb1="00000000" w:usb2="00000000" w:usb3="00000000" w:csb0="0000000F" w:csb1="00000000"/>
  </w:font>
  <w:font w:name="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Verdana Pro">
    <w:panose1 w:val="020B0604030504040204"/>
    <w:charset w:val="00"/>
    <w:family w:val="swiss"/>
    <w:pitch w:val="variable"/>
    <w:sig w:usb0="80000287" w:usb1="00000043"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824DA9" w:rsidRPr="001A33B7" w14:paraId="0BDC668F" w14:textId="77777777" w:rsidTr="00824DA9">
      <w:trPr>
        <w:trHeight w:val="601"/>
      </w:trPr>
      <w:tc>
        <w:tcPr>
          <w:tcW w:w="9849" w:type="dxa"/>
          <w:vAlign w:val="bottom"/>
        </w:tcPr>
        <w:p w14:paraId="31D4CF9D" w14:textId="77777777" w:rsidR="00824DA9" w:rsidRPr="001A33B7" w:rsidRDefault="00824DA9" w:rsidP="00D0002F">
          <w:pPr>
            <w:pStyle w:val="Footer"/>
          </w:pPr>
          <w:r>
            <w:fldChar w:fldCharType="begin"/>
          </w:r>
          <w:r>
            <w:instrText xml:space="preserve"> DOCPROPERTY  CoverHeading </w:instrText>
          </w:r>
          <w:r>
            <w:fldChar w:fldCharType="separate"/>
          </w:r>
          <w:r w:rsidR="00D2338B">
            <w:t>Error! Unknown document property name.</w:t>
          </w:r>
          <w:r>
            <w:fldChar w:fldCharType="end"/>
          </w:r>
        </w:p>
      </w:tc>
      <w:tc>
        <w:tcPr>
          <w:tcW w:w="355" w:type="dxa"/>
          <w:vAlign w:val="bottom"/>
        </w:tcPr>
        <w:p w14:paraId="4C2D95E6" w14:textId="77777777" w:rsidR="00824DA9" w:rsidRPr="001A33B7" w:rsidRDefault="00824DA9" w:rsidP="00D0002F">
          <w:pPr>
            <w:pStyle w:val="Footer"/>
            <w:rPr>
              <w:lang w:val="en-AU"/>
            </w:rPr>
          </w:pPr>
          <w:r>
            <w:fldChar w:fldCharType="begin"/>
          </w:r>
          <w:r>
            <w:instrText xml:space="preserve"> PAGE   \* MERGEFORMAT </w:instrText>
          </w:r>
          <w:r>
            <w:fldChar w:fldCharType="separate"/>
          </w:r>
          <w:r>
            <w:t>4</w:t>
          </w:r>
          <w:r>
            <w:rPr>
              <w:noProof/>
            </w:rPr>
            <w:fldChar w:fldCharType="end"/>
          </w:r>
        </w:p>
      </w:tc>
    </w:tr>
  </w:tbl>
  <w:p w14:paraId="215732CD" w14:textId="77777777" w:rsidR="00950BCC" w:rsidRDefault="00950BCC" w:rsidP="00D0002F">
    <w:pPr>
      <w:pStyle w:val="Footer"/>
    </w:pPr>
  </w:p>
  <w:p w14:paraId="29449474" w14:textId="77777777" w:rsidR="00D855A8" w:rsidRDefault="00D855A8" w:rsidP="00D0002F"/>
  <w:p w14:paraId="46FFDF89" w14:textId="77777777" w:rsidR="00D855A8" w:rsidRDefault="00D855A8" w:rsidP="00D000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9923" w:type="dxa"/>
      <w:tblCellMar>
        <w:left w:w="0" w:type="dxa"/>
        <w:right w:w="0" w:type="dxa"/>
      </w:tblCellMar>
      <w:tblLook w:val="04A0" w:firstRow="1" w:lastRow="0" w:firstColumn="1" w:lastColumn="0" w:noHBand="0" w:noVBand="1"/>
    </w:tblPr>
    <w:tblGrid>
      <w:gridCol w:w="6237"/>
      <w:gridCol w:w="3686"/>
    </w:tblGrid>
    <w:tr w:rsidR="00F347FF" w14:paraId="662600EA" w14:textId="77777777" w:rsidTr="00D0002F">
      <w:tc>
        <w:tcPr>
          <w:tcW w:w="6237" w:type="dxa"/>
          <w:tcBorders>
            <w:top w:val="nil"/>
            <w:left w:val="nil"/>
            <w:bottom w:val="nil"/>
            <w:right w:val="nil"/>
          </w:tcBorders>
        </w:tcPr>
        <w:p w14:paraId="72FCBD4A" w14:textId="283A7BD0" w:rsidR="00F347FF" w:rsidRDefault="0006101E" w:rsidP="00D0002F">
          <w:pPr>
            <w:pStyle w:val="Footer"/>
          </w:pPr>
          <w:r w:rsidRPr="0006101E">
            <w:t>Employment support for people with intellectual disability: what works and how to implement it in Australia. Technical report.</w:t>
          </w:r>
        </w:p>
      </w:tc>
      <w:tc>
        <w:tcPr>
          <w:tcW w:w="3686" w:type="dxa"/>
          <w:tcBorders>
            <w:top w:val="nil"/>
            <w:left w:val="nil"/>
            <w:bottom w:val="nil"/>
            <w:right w:val="nil"/>
          </w:tcBorders>
        </w:tcPr>
        <w:p w14:paraId="64F6ABB4" w14:textId="77777777" w:rsidR="00F347FF" w:rsidRDefault="00F347FF" w:rsidP="00D0002F">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5AFDF9C2" w14:textId="77777777" w:rsidR="00927FA1" w:rsidRPr="0039482E" w:rsidRDefault="00927FA1" w:rsidP="00D000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37216A" w14:paraId="492B0809" w14:textId="77777777" w:rsidTr="00F347FF">
      <w:tc>
        <w:tcPr>
          <w:tcW w:w="4111" w:type="dxa"/>
          <w:tcBorders>
            <w:top w:val="nil"/>
            <w:left w:val="nil"/>
            <w:bottom w:val="nil"/>
            <w:right w:val="nil"/>
          </w:tcBorders>
          <w:vAlign w:val="bottom"/>
        </w:tcPr>
        <w:p w14:paraId="67941010" w14:textId="19F94D13" w:rsidR="0037216A" w:rsidRDefault="0037216A" w:rsidP="00D0002F">
          <w:pPr>
            <w:pStyle w:val="Footer"/>
          </w:pPr>
        </w:p>
      </w:tc>
      <w:tc>
        <w:tcPr>
          <w:tcW w:w="5517" w:type="dxa"/>
          <w:tcBorders>
            <w:top w:val="nil"/>
            <w:left w:val="nil"/>
            <w:bottom w:val="nil"/>
            <w:right w:val="nil"/>
          </w:tcBorders>
        </w:tcPr>
        <w:p w14:paraId="3639241C" w14:textId="77777777" w:rsidR="0037216A" w:rsidRDefault="0037216A" w:rsidP="00D0002F">
          <w:pPr>
            <w:pStyle w:val="Footer"/>
          </w:pPr>
          <w:r>
            <w:rPr>
              <w:noProof/>
            </w:rPr>
            <w:drawing>
              <wp:inline distT="0" distB="0" distL="0" distR="0" wp14:anchorId="754F0319" wp14:editId="1221547D">
                <wp:extent cx="3632400" cy="324000"/>
                <wp:effectExtent l="0" t="0" r="6350" b="0"/>
                <wp:docPr id="2046389014"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12E00E26" w14:textId="77777777" w:rsidR="00927FA1" w:rsidRDefault="00927FA1" w:rsidP="00D00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DE0CF" w14:textId="77777777" w:rsidR="00946685" w:rsidRDefault="00946685" w:rsidP="00D0002F">
      <w:bookmarkStart w:id="0" w:name="_Hlk480808360"/>
      <w:bookmarkEnd w:id="0"/>
      <w:r>
        <w:separator/>
      </w:r>
    </w:p>
  </w:footnote>
  <w:footnote w:type="continuationSeparator" w:id="0">
    <w:p w14:paraId="4B5A185F" w14:textId="77777777" w:rsidR="00946685" w:rsidRDefault="00946685" w:rsidP="00D00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0EEE" w14:textId="2C4D7AF5" w:rsidR="00CE4E61" w:rsidRDefault="009B2C48">
    <w:pPr>
      <w:pStyle w:val="Header"/>
    </w:pPr>
    <w:r>
      <w:rPr>
        <w:noProof/>
      </w:rPr>
      <mc:AlternateContent>
        <mc:Choice Requires="wps">
          <w:drawing>
            <wp:anchor distT="0" distB="0" distL="0" distR="0" simplePos="0" relativeHeight="251658242" behindDoc="0" locked="0" layoutInCell="1" allowOverlap="1" wp14:anchorId="3372C0D4" wp14:editId="10BB5528">
              <wp:simplePos x="635" y="635"/>
              <wp:positionH relativeFrom="page">
                <wp:align>left</wp:align>
              </wp:positionH>
              <wp:positionV relativeFrom="page">
                <wp:align>top</wp:align>
              </wp:positionV>
              <wp:extent cx="741045" cy="520700"/>
              <wp:effectExtent l="0" t="0" r="1905" b="12700"/>
              <wp:wrapNone/>
              <wp:docPr id="13939544"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045" cy="520700"/>
                      </a:xfrm>
                      <a:prstGeom prst="rect">
                        <a:avLst/>
                      </a:prstGeom>
                      <a:noFill/>
                      <a:ln>
                        <a:noFill/>
                      </a:ln>
                    </wps:spPr>
                    <wps:txbx>
                      <w:txbxContent>
                        <w:p w14:paraId="57562DC3" w14:textId="202677AB" w:rsidR="009B2C48" w:rsidRPr="009B2C48" w:rsidRDefault="009B2C48" w:rsidP="00D0002F">
                          <w:pPr>
                            <w:rPr>
                              <w:noProof/>
                            </w:rPr>
                          </w:pPr>
                          <w:r w:rsidRPr="009B2C48">
                            <w:rPr>
                              <w:noProof/>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72C0D4" id="_x0000_t202" coordsize="21600,21600" o:spt="202" path="m,l,21600r21600,l21600,xe">
              <v:stroke joinstyle="miter"/>
              <v:path gradientshapeok="t" o:connecttype="rect"/>
            </v:shapetype>
            <v:shape id="Text Box 2" o:spid="_x0000_s1026" type="#_x0000_t202" alt="Internal" style="position:absolute;margin-left:0;margin-top:0;width:58.35pt;height:41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9nFDgIAABoEAAAOAAAAZHJzL2Uyb0RvYy54bWysU91v2jAQf5+0/8Hy+0hAsG4RoWKtmCah&#13;&#10;thKd+mwcm0SKfZZ9kLC/fmcTYGv7NO3Fua/cx+9+N7/tTcsOyocGbMnHo5wzZSVUjd2V/Ofz6tMX&#13;&#10;zgIKW4kWrCr5UQV+u/j4Yd65Qk2ghrZSnlESG4rOlbxGdEWWBVkrI8IInLLk1OCNQFL9Lqu86Ci7&#13;&#10;abNJnn/OOvCV8yBVCGS9Pzn5IuXXWkl81DooZG3JqTdMr0/vNr7ZYi6KnReubuTQhviHLoxoLBW9&#13;&#10;pLoXKNjeN29SmUZ6CKBxJMFkoHUjVZqBphnnr6bZ1MKpNAuBE9wFpvD/0sqHw8Y9eYb9N+hpgRGQ&#13;&#10;zoUikDHO02tv4pc6ZeQnCI8X2FSPTJLxZjrOpzPOJLlmk/wmT7Bm15+dD/hdgWFRKLmnrSSwxGEd&#13;&#10;kApS6Dkk1rKwato2baa1fxkoMFqya4dRwn7bD21voTrSNB5Oiw5OrhqquRYBn4SnzdIAxFZ8pEe3&#13;&#10;0JUcBomzGvyv9+wxngAnL2cdMaXklqjMWfvD0iIms2lOAzNM2vhrPouaTxoJ27Ng9+YOiIRjugcn&#13;&#10;kxjjsD2L2oN5ITIvYzVyCSupZsnxLN7hibd0DFItlymISOQEru3GyZg6ghWRfO5fhHcD3Eh7eoAz&#13;&#10;l0TxCvVTbPwzuOUeCfu0kgjsCc0BbyJg2tRwLJHhf+op6nrSi98AAAD//wMAUEsDBBQABgAIAAAA&#13;&#10;IQDFB/b53wAAAAkBAAAPAAAAZHJzL2Rvd25yZXYueG1sTI9PS8NAEMXvgt9hGcGb3W2ptaTZlKIU&#13;&#10;FCxiLXrdZid/aHY2ZCdN/PZuvejlwfB4b94vXY+uEWfsQu1Jw3SiQCDl3tZUajh8bO+WIAIbsqbx&#13;&#10;hBq+McA6u75KTWL9QO943nMpYgmFxGiomNtEypBX6EyY+BYpeoXvnOF4dqW0nRliuWvkTKmFdKam&#13;&#10;+KEyLT5WmJ/2vdPwPA9f3BfFfdi97gb1MrhD//ap9e3N+LSKslmBYBz5LwEXhrgfsjjs6HuyQTQa&#13;&#10;Ig3/6sWbLh5AHDUsZwpklsr/BNkPAAAA//8DAFBLAQItABQABgAIAAAAIQC2gziS/gAAAOEBAAAT&#13;&#10;AAAAAAAAAAAAAAAAAAAAAABbQ29udGVudF9UeXBlc10ueG1sUEsBAi0AFAAGAAgAAAAhADj9If/W&#13;&#10;AAAAlAEAAAsAAAAAAAAAAAAAAAAALwEAAF9yZWxzLy5yZWxzUEsBAi0AFAAGAAgAAAAhAEYz2cUO&#13;&#10;AgAAGgQAAA4AAAAAAAAAAAAAAAAALgIAAGRycy9lMm9Eb2MueG1sUEsBAi0AFAAGAAgAAAAhAMUH&#13;&#10;9vnfAAAACQEAAA8AAAAAAAAAAAAAAAAAaAQAAGRycy9kb3ducmV2LnhtbFBLBQYAAAAABAAEAPMA&#13;&#10;AAB0BQAAAAA=&#13;&#10;" filled="f" stroked="f">
              <v:textbox style="mso-fit-shape-to-text:t" inset="20pt,15pt,0,0">
                <w:txbxContent>
                  <w:p w14:paraId="57562DC3" w14:textId="202677AB" w:rsidR="009B2C48" w:rsidRPr="009B2C48" w:rsidRDefault="009B2C48" w:rsidP="00D0002F">
                    <w:pPr>
                      <w:rPr>
                        <w:noProof/>
                      </w:rPr>
                    </w:pPr>
                    <w:r w:rsidRPr="009B2C48">
                      <w:rPr>
                        <w:noProof/>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5964" w14:textId="098A36FC" w:rsidR="0039482E" w:rsidRDefault="0039482E">
    <w:pPr>
      <w:pStyle w:val="Header"/>
    </w:pPr>
    <w:r>
      <w:rPr>
        <w:noProof/>
      </w:rPr>
      <w:drawing>
        <wp:anchor distT="0" distB="0" distL="114300" distR="114300" simplePos="0" relativeHeight="251658241" behindDoc="1" locked="0" layoutInCell="1" allowOverlap="1" wp14:anchorId="373D7012" wp14:editId="166C0FA1">
          <wp:simplePos x="0" y="0"/>
          <wp:positionH relativeFrom="page">
            <wp:posOffset>5775960</wp:posOffset>
          </wp:positionH>
          <wp:positionV relativeFrom="page">
            <wp:posOffset>-106680</wp:posOffset>
          </wp:positionV>
          <wp:extent cx="1893600" cy="1893600"/>
          <wp:effectExtent l="0" t="0" r="0" b="0"/>
          <wp:wrapNone/>
          <wp:docPr id="8704690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6D7267" w14:paraId="49C9B230" w14:textId="77777777" w:rsidTr="006D7267">
      <w:trPr>
        <w:trHeight w:val="1984"/>
      </w:trPr>
      <w:tc>
        <w:tcPr>
          <w:tcW w:w="10100" w:type="dxa"/>
          <w:tcBorders>
            <w:top w:val="nil"/>
            <w:left w:val="nil"/>
            <w:bottom w:val="nil"/>
            <w:right w:val="nil"/>
          </w:tcBorders>
        </w:tcPr>
        <w:p w14:paraId="6B37767E" w14:textId="71095C5A" w:rsidR="006D7267" w:rsidRDefault="006D7267" w:rsidP="006D7267">
          <w:pPr>
            <w:pStyle w:val="Header"/>
          </w:pPr>
          <w:r>
            <w:rPr>
              <w:noProof/>
            </w:rPr>
            <w:drawing>
              <wp:inline distT="0" distB="0" distL="0" distR="0" wp14:anchorId="06AA671E" wp14:editId="0F28EBD3">
                <wp:extent cx="1435611" cy="783338"/>
                <wp:effectExtent l="0" t="0" r="0" b="0"/>
                <wp:docPr id="249329259"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59C5C35D" w14:textId="77777777" w:rsidR="006D7267" w:rsidRDefault="006D7267">
    <w:pPr>
      <w:pStyle w:val="Header"/>
    </w:pPr>
    <w:r>
      <w:rPr>
        <w:noProof/>
      </w:rPr>
      <w:drawing>
        <wp:anchor distT="0" distB="0" distL="114300" distR="114300" simplePos="0" relativeHeight="251658240" behindDoc="1" locked="0" layoutInCell="1" allowOverlap="1" wp14:anchorId="5F182F01" wp14:editId="2F0DAD3B">
          <wp:simplePos x="0" y="0"/>
          <wp:positionH relativeFrom="column">
            <wp:posOffset>5060892</wp:posOffset>
          </wp:positionH>
          <wp:positionV relativeFrom="paragraph">
            <wp:posOffset>-1655445</wp:posOffset>
          </wp:positionV>
          <wp:extent cx="1892812" cy="1892812"/>
          <wp:effectExtent l="0" t="0" r="0" b="0"/>
          <wp:wrapNone/>
          <wp:docPr id="1259467654"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4"/>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Bullet5"/>
      <w:lvlText w:val="%1."/>
      <w:lvlJc w:val="left"/>
      <w:pPr>
        <w:tabs>
          <w:tab w:val="num" w:pos="1209"/>
        </w:tabs>
        <w:ind w:left="1209" w:hanging="360"/>
      </w:pPr>
    </w:lvl>
  </w:abstractNum>
  <w:abstractNum w:abstractNumId="2" w15:restartNumberingAfterBreak="0">
    <w:nsid w:val="FFFFFF88"/>
    <w:multiLevelType w:val="singleLevel"/>
    <w:tmpl w:val="BC48B716"/>
    <w:lvl w:ilvl="0">
      <w:start w:val="1"/>
      <w:numFmt w:val="decimal"/>
      <w:pStyle w:val="ListBullet4"/>
      <w:lvlText w:val="%1"/>
      <w:lvlJc w:val="left"/>
      <w:pPr>
        <w:ind w:left="360" w:hanging="360"/>
      </w:pPr>
      <w:rPr>
        <w:rFonts w:hint="default"/>
        <w:color w:val="3F3F3F" w:themeColor="accent4"/>
      </w:rPr>
    </w:lvl>
  </w:abstractNum>
  <w:abstractNum w:abstractNumId="3" w15:restartNumberingAfterBreak="0">
    <w:nsid w:val="00FE4C09"/>
    <w:multiLevelType w:val="hybridMultilevel"/>
    <w:tmpl w:val="6AD6302E"/>
    <w:lvl w:ilvl="0" w:tplc="6F20A92A">
      <w:start w:val="1"/>
      <w:numFmt w:val="bullet"/>
      <w:pStyle w:val="ListBullet3"/>
      <w:lvlText w:val=""/>
      <w:lvlJc w:val="left"/>
      <w:pPr>
        <w:ind w:left="1040" w:hanging="360"/>
      </w:pPr>
      <w:rPr>
        <w:rFonts w:ascii="Symbol" w:hAnsi="Symbol" w:hint="default"/>
      </w:rPr>
    </w:lvl>
    <w:lvl w:ilvl="1" w:tplc="08090003" w:tentative="1">
      <w:start w:val="1"/>
      <w:numFmt w:val="bullet"/>
      <w:lvlText w:val="o"/>
      <w:lvlJc w:val="left"/>
      <w:pPr>
        <w:ind w:left="2120" w:hanging="360"/>
      </w:pPr>
      <w:rPr>
        <w:rFonts w:ascii="Courier New" w:hAnsi="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4" w15:restartNumberingAfterBreak="0">
    <w:nsid w:val="0262287B"/>
    <w:multiLevelType w:val="hybridMultilevel"/>
    <w:tmpl w:val="DD3CCF9E"/>
    <w:lvl w:ilvl="0" w:tplc="08090001">
      <w:start w:val="1"/>
      <w:numFmt w:val="bullet"/>
      <w:lvlText w:val=""/>
      <w:lvlJc w:val="left"/>
      <w:pPr>
        <w:ind w:left="644" w:hanging="360"/>
      </w:pPr>
      <w:rPr>
        <w:rFonts w:ascii="Symbol" w:hAnsi="Symbol" w:hint="default"/>
        <w:b/>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 w15:restartNumberingAfterBreak="0">
    <w:nsid w:val="03837719"/>
    <w:multiLevelType w:val="hybridMultilevel"/>
    <w:tmpl w:val="760E8A9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06D00469"/>
    <w:multiLevelType w:val="multilevel"/>
    <w:tmpl w:val="98546DD2"/>
    <w:styleLink w:val="Box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A88329B"/>
    <w:multiLevelType w:val="multilevel"/>
    <w:tmpl w:val="E2429E4A"/>
    <w:styleLink w:val="CurrentList2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DF19FF"/>
    <w:multiLevelType w:val="multilevel"/>
    <w:tmpl w:val="4F70F188"/>
    <w:styleLink w:val="CurrentList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7D2843"/>
    <w:multiLevelType w:val="multilevel"/>
    <w:tmpl w:val="351612C6"/>
    <w:lvl w:ilvl="0">
      <w:start w:val="1"/>
      <w:numFmt w:val="bullet"/>
      <w:pStyle w:val="ListNumber5"/>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10" w15:restartNumberingAfterBreak="0">
    <w:nsid w:val="0DC57E3A"/>
    <w:multiLevelType w:val="multilevel"/>
    <w:tmpl w:val="AD4CB2BC"/>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FA1188"/>
    <w:multiLevelType w:val="multilevel"/>
    <w:tmpl w:val="A1862736"/>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0DB44CC"/>
    <w:multiLevelType w:val="multilevel"/>
    <w:tmpl w:val="A9780CB0"/>
    <w:styleLink w:val="CurrentList1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38A4888"/>
    <w:multiLevelType w:val="multilevel"/>
    <w:tmpl w:val="04AC9FA6"/>
    <w:styleLink w:val="CurrentList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44B3340"/>
    <w:multiLevelType w:val="multilevel"/>
    <w:tmpl w:val="B6FA30C6"/>
    <w:styleLink w:val="CurrentList2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0D401D"/>
    <w:multiLevelType w:val="multilevel"/>
    <w:tmpl w:val="EABCEB9C"/>
    <w:styleLink w:val="CurrentList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6130EBD"/>
    <w:multiLevelType w:val="multilevel"/>
    <w:tmpl w:val="25906D12"/>
    <w:styleLink w:val="CurrentList3"/>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3"/>
      <w:numFmt w:val="decimal"/>
      <w:lvlText w:val="%2."/>
      <w:lvlJc w:val="left"/>
      <w:pPr>
        <w:ind w:left="360" w:hanging="360"/>
      </w:pPr>
      <w:rPr>
        <w:rFonts w:hint="default"/>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9B20A9"/>
    <w:multiLevelType w:val="multilevel"/>
    <w:tmpl w:val="83D2AB2E"/>
    <w:styleLink w:val="CurrentList6"/>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421C1B"/>
    <w:multiLevelType w:val="multilevel"/>
    <w:tmpl w:val="0809001F"/>
    <w:styleLink w:val="Style1"/>
    <w:lvl w:ilvl="0">
      <w:numFmt w:val="decimal"/>
      <w:lvlText w:val="%1."/>
      <w:lvlJc w:val="left"/>
      <w:pPr>
        <w:ind w:left="360" w:hanging="360"/>
      </w:pPr>
      <w:rPr>
        <w:b/>
        <w:color w:val="7030A0"/>
        <w:sz w:val="4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414982"/>
    <w:multiLevelType w:val="hybridMultilevel"/>
    <w:tmpl w:val="8F3A40BE"/>
    <w:lvl w:ilvl="0" w:tplc="4686FAF4">
      <w:start w:val="1"/>
      <w:numFmt w:val="lowerLetter"/>
      <w:pStyle w:val="ListNumber2"/>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0" w15:restartNumberingAfterBreak="0">
    <w:nsid w:val="2184779B"/>
    <w:multiLevelType w:val="multilevel"/>
    <w:tmpl w:val="BDB44F78"/>
    <w:styleLink w:val="CurrentList1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4586DFE"/>
    <w:multiLevelType w:val="multilevel"/>
    <w:tmpl w:val="BC2EAD96"/>
    <w:styleLink w:val="BulletsStyle"/>
    <w:lvl w:ilvl="0">
      <w:start w:val="1"/>
      <w:numFmt w:val="bullet"/>
      <w:lvlText w:val=""/>
      <w:lvlJc w:val="left"/>
      <w:pPr>
        <w:ind w:left="340" w:hanging="340"/>
      </w:pPr>
      <w:rPr>
        <w:rFonts w:ascii="Symbol" w:hAnsi="Symbol" w:hint="default"/>
        <w:b w:val="0"/>
        <w:i w:val="0"/>
        <w:color w:val="000000" w:themeColor="text1"/>
        <w:sz w:val="24"/>
      </w:rPr>
    </w:lvl>
    <w:lvl w:ilvl="1">
      <w:start w:val="1"/>
      <w:numFmt w:val="bullet"/>
      <w:lvlText w:val=""/>
      <w:lvlJc w:val="left"/>
      <w:pPr>
        <w:ind w:left="680" w:hanging="340"/>
      </w:pPr>
      <w:rPr>
        <w:rFonts w:ascii="Symbol" w:hAnsi="Symbol" w:hint="default"/>
        <w:b w:val="0"/>
        <w:i w:val="0"/>
        <w:color w:val="000000" w:themeColor="text1"/>
        <w:sz w:val="24"/>
      </w:rPr>
    </w:lvl>
    <w:lvl w:ilvl="2">
      <w:start w:val="1"/>
      <w:numFmt w:val="bullet"/>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85E52EA"/>
    <w:multiLevelType w:val="multilevel"/>
    <w:tmpl w:val="68C233D6"/>
    <w:styleLink w:val="CurrentList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8E46BFA"/>
    <w:multiLevelType w:val="multilevel"/>
    <w:tmpl w:val="587E5E72"/>
    <w:styleLink w:val="CurrentList35"/>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071519"/>
    <w:multiLevelType w:val="multilevel"/>
    <w:tmpl w:val="117066D2"/>
    <w:styleLink w:val="CurrentList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B326560"/>
    <w:multiLevelType w:val="hybridMultilevel"/>
    <w:tmpl w:val="494C56F2"/>
    <w:lvl w:ilvl="0" w:tplc="08090001">
      <w:start w:val="1"/>
      <w:numFmt w:val="bullet"/>
      <w:lvlText w:val=""/>
      <w:lvlJc w:val="left"/>
      <w:pPr>
        <w:ind w:left="644" w:hanging="360"/>
      </w:pPr>
      <w:rPr>
        <w:rFonts w:ascii="Symbol" w:hAnsi="Symbol" w:hint="default"/>
        <w:b/>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6" w15:restartNumberingAfterBreak="0">
    <w:nsid w:val="2C1D12BD"/>
    <w:multiLevelType w:val="multilevel"/>
    <w:tmpl w:val="837E226E"/>
    <w:styleLink w:val="CurrentList3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CBA26CF"/>
    <w:multiLevelType w:val="multilevel"/>
    <w:tmpl w:val="6AB299B8"/>
    <w:styleLink w:val="CurrentList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FC257DC"/>
    <w:multiLevelType w:val="multilevel"/>
    <w:tmpl w:val="9AC4DD00"/>
    <w:styleLink w:val="CurrentList2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1" w15:restartNumberingAfterBreak="0">
    <w:nsid w:val="33E51464"/>
    <w:multiLevelType w:val="multilevel"/>
    <w:tmpl w:val="BC2EAD96"/>
    <w:numStyleLink w:val="BulletsStyle"/>
  </w:abstractNum>
  <w:abstractNum w:abstractNumId="32" w15:restartNumberingAfterBreak="0">
    <w:nsid w:val="34CB17B5"/>
    <w:multiLevelType w:val="multilevel"/>
    <w:tmpl w:val="BC102C32"/>
    <w:styleLink w:val="AppendixStyle"/>
    <w:lvl w:ilvl="0">
      <w:start w:val="1"/>
      <w:numFmt w:val="decimal"/>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37422128"/>
    <w:multiLevelType w:val="multilevel"/>
    <w:tmpl w:val="80640B22"/>
    <w:lvl w:ilvl="0">
      <w:start w:val="1"/>
      <w:numFmt w:val="decimal"/>
      <w:pStyle w:val="Numberedheading1"/>
      <w:lvlText w:val="%1."/>
      <w:lvlJc w:val="left"/>
      <w:pPr>
        <w:ind w:left="360" w:hanging="360"/>
      </w:pPr>
      <w:rPr>
        <w:rFonts w:hint="default"/>
      </w:rPr>
    </w:lvl>
    <w:lvl w:ilvl="1">
      <w:start w:val="1"/>
      <w:numFmt w:val="decimal"/>
      <w:pStyle w:val="Numberedheading2"/>
      <w:suff w:val="space"/>
      <w:lvlText w:val="%1.%2."/>
      <w:lvlJc w:val="left"/>
      <w:pPr>
        <w:ind w:left="792" w:hanging="432"/>
      </w:pPr>
      <w:rPr>
        <w:rFonts w:hint="default"/>
      </w:rPr>
    </w:lvl>
    <w:lvl w:ilvl="2">
      <w:start w:val="1"/>
      <w:numFmt w:val="decimal"/>
      <w:pStyle w:val="Numbered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95125F9"/>
    <w:multiLevelType w:val="multilevel"/>
    <w:tmpl w:val="3F90FE00"/>
    <w:styleLink w:val="CurrentList1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6" w15:restartNumberingAfterBreak="0">
    <w:nsid w:val="3C357977"/>
    <w:multiLevelType w:val="multilevel"/>
    <w:tmpl w:val="E56E4C50"/>
    <w:styleLink w:val="CurrentList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CD74796"/>
    <w:multiLevelType w:val="multilevel"/>
    <w:tmpl w:val="BDB44F78"/>
    <w:styleLink w:val="CurrentList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11506EA"/>
    <w:multiLevelType w:val="hybridMultilevel"/>
    <w:tmpl w:val="3796E898"/>
    <w:lvl w:ilvl="0" w:tplc="AA9829D0">
      <w:start w:val="1"/>
      <w:numFmt w:val="bullet"/>
      <w:pStyle w:val="TableBullet"/>
      <w:lvlText w:val=""/>
      <w:lvlJc w:val="left"/>
      <w:pPr>
        <w:ind w:left="720" w:hanging="360"/>
      </w:pPr>
      <w:rPr>
        <w:rFonts w:ascii="Symbol" w:hAnsi="Symbol"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1B21517"/>
    <w:multiLevelType w:val="multilevel"/>
    <w:tmpl w:val="079AEE08"/>
    <w:lvl w:ilvl="0">
      <w:start w:val="1"/>
      <w:numFmt w:val="decimal"/>
      <w:pStyle w:val="Heading1NoNumber"/>
      <w:lvlText w:val="%1."/>
      <w:lvlJc w:val="left"/>
      <w:pPr>
        <w:ind w:left="360" w:hanging="360"/>
      </w:pPr>
      <w:rPr>
        <w:rFonts w:hint="default"/>
      </w:rPr>
    </w:lvl>
    <w:lvl w:ilvl="1">
      <w:start w:val="1"/>
      <w:numFmt w:val="decimal"/>
      <w:lvlRestart w:val="0"/>
      <w:pStyle w:val="Heading2NoNumber"/>
      <w:lvlText w:val="%2.%1"/>
      <w:lvlJc w:val="left"/>
      <w:pPr>
        <w:ind w:left="720" w:hanging="360"/>
      </w:pPr>
      <w:rPr>
        <w:rFonts w:hint="default"/>
      </w:rPr>
    </w:lvl>
    <w:lvl w:ilvl="2">
      <w:start w:val="1"/>
      <w:numFmt w:val="decimal"/>
      <w:pStyle w:val="Heading3NoNumber"/>
      <w:lvlText w:val="%3.%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14167D"/>
    <w:multiLevelType w:val="multilevel"/>
    <w:tmpl w:val="F29CF010"/>
    <w:styleLink w:val="Numbers"/>
    <w:lvl w:ilvl="0">
      <w:start w:val="1"/>
      <w:numFmt w:val="decimal"/>
      <w:lvlText w:val="%1."/>
      <w:lvlJc w:val="left"/>
      <w:pPr>
        <w:ind w:left="340" w:hanging="340"/>
      </w:pPr>
      <w:rPr>
        <w:rFonts w:asciiTheme="minorHAnsi" w:hAnsiTheme="minorHAnsi" w:hint="default"/>
        <w:b w:val="0"/>
        <w:i w:val="0"/>
        <w:color w:val="000000" w:themeColor="text1"/>
        <w:sz w:val="24"/>
      </w:rPr>
    </w:lvl>
    <w:lvl w:ilvl="1">
      <w:start w:val="1"/>
      <w:numFmt w:val="lowerLetter"/>
      <w:lvlText w:val="%2."/>
      <w:lvlJc w:val="left"/>
      <w:pPr>
        <w:ind w:left="680" w:hanging="340"/>
      </w:pPr>
      <w:rPr>
        <w:rFonts w:asciiTheme="minorHAnsi" w:hAnsiTheme="minorHAnsi" w:hint="default"/>
        <w:b w:val="0"/>
        <w:i w:val="0"/>
        <w:color w:val="000000" w:themeColor="text1"/>
        <w:sz w:val="24"/>
      </w:rPr>
    </w:lvl>
    <w:lvl w:ilvl="2">
      <w:start w:val="1"/>
      <w:numFmt w:val="lowerRoman"/>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41" w15:restartNumberingAfterBreak="0">
    <w:nsid w:val="438D3A3F"/>
    <w:multiLevelType w:val="multilevel"/>
    <w:tmpl w:val="0809001F"/>
    <w:styleLink w:val="Heading1numbered"/>
    <w:lvl w:ilvl="0">
      <w:start w:val="1"/>
      <w:numFmt w:val="decimal"/>
      <w:pStyle w:val="AppendixHeading"/>
      <w:lvlText w:val="%1."/>
      <w:lvlJc w:val="left"/>
      <w:pPr>
        <w:ind w:left="360" w:hanging="360"/>
      </w:pPr>
      <w:rPr>
        <w:rFonts w:ascii="Montserrat" w:hAnsi="Montserrat"/>
        <w:b/>
        <w:i w:val="0"/>
        <w:color w:val="7030A0"/>
        <w:sz w:val="4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65A408B"/>
    <w:multiLevelType w:val="multilevel"/>
    <w:tmpl w:val="9AC4DD00"/>
    <w:styleLink w:val="CurrentList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8A077C9"/>
    <w:multiLevelType w:val="hybridMultilevel"/>
    <w:tmpl w:val="52C85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8A409EB"/>
    <w:multiLevelType w:val="hybridMultilevel"/>
    <w:tmpl w:val="6E5E6F54"/>
    <w:lvl w:ilvl="0" w:tplc="08090001">
      <w:start w:val="1"/>
      <w:numFmt w:val="bullet"/>
      <w:lvlText w:val=""/>
      <w:lvlJc w:val="left"/>
      <w:pPr>
        <w:ind w:left="644" w:hanging="360"/>
      </w:pPr>
      <w:rPr>
        <w:rFonts w:ascii="Symbol" w:hAnsi="Symbol" w:hint="default"/>
        <w:b w:val="0"/>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5" w15:restartNumberingAfterBreak="0">
    <w:nsid w:val="49673DDC"/>
    <w:multiLevelType w:val="multilevel"/>
    <w:tmpl w:val="9AC4DD00"/>
    <w:styleLink w:val="CurrentList2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A294FF8"/>
    <w:multiLevelType w:val="multilevel"/>
    <w:tmpl w:val="589CB0DA"/>
    <w:styleLink w:val="ObjectiveHeading"/>
    <w:lvl w:ilvl="0">
      <w:start w:val="1"/>
      <w:numFmt w:val="decimal"/>
      <w:pStyle w:val="BoxListBullet2"/>
      <w:lvlText w:val="%1."/>
      <w:lvlJc w:val="left"/>
      <w:pPr>
        <w:ind w:left="567" w:hanging="567"/>
      </w:pPr>
      <w:rPr>
        <w:rFonts w:ascii="Univers" w:hAnsi="Univers" w:hint="default"/>
        <w:b/>
        <w:i w:val="0"/>
        <w:color w:val="FFFFF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A3354AE"/>
    <w:multiLevelType w:val="multilevel"/>
    <w:tmpl w:val="73749F80"/>
    <w:styleLink w:val="NumberedBulletStyle"/>
    <w:lvl w:ilvl="0">
      <w:start w:val="1"/>
      <w:numFmt w:val="decimal"/>
      <w:lvlText w:val="%1."/>
      <w:lvlJc w:val="left"/>
      <w:pPr>
        <w:ind w:left="425" w:hanging="425"/>
      </w:pPr>
      <w:rPr>
        <w:rFonts w:asciiTheme="minorHAnsi" w:hAnsiTheme="minorHAnsi" w:hint="default"/>
        <w:b w:val="0"/>
        <w:i w:val="0"/>
        <w:color w:val="000000" w:themeColor="text1"/>
        <w:sz w:val="22"/>
      </w:rPr>
    </w:lvl>
    <w:lvl w:ilvl="1">
      <w:start w:val="1"/>
      <w:numFmt w:val="decimal"/>
      <w:lvlText w:val="%1.%2."/>
      <w:lvlJc w:val="left"/>
      <w:pPr>
        <w:ind w:left="851" w:hanging="426"/>
      </w:pPr>
      <w:rPr>
        <w:rFonts w:asciiTheme="minorHAnsi" w:hAnsiTheme="minorHAnsi" w:hint="default"/>
        <w:b w:val="0"/>
        <w:i w:val="0"/>
        <w:color w:val="000000" w:themeColor="text1"/>
        <w:sz w:val="22"/>
      </w:rPr>
    </w:lvl>
    <w:lvl w:ilvl="2">
      <w:start w:val="1"/>
      <w:numFmt w:val="decimal"/>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AD51954"/>
    <w:multiLevelType w:val="multilevel"/>
    <w:tmpl w:val="1CB49B64"/>
    <w:styleLink w:val="CurrentList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50"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51" w15:restartNumberingAfterBreak="0">
    <w:nsid w:val="52F42F79"/>
    <w:multiLevelType w:val="multilevel"/>
    <w:tmpl w:val="277AC3FA"/>
    <w:styleLink w:val="BodyTextnumberedStyles"/>
    <w:lvl w:ilvl="0">
      <w:start w:val="1"/>
      <w:numFmt w:val="decimal"/>
      <w:lvlText w:val="(%1)"/>
      <w:lvlJc w:val="left"/>
      <w:pPr>
        <w:ind w:left="425" w:hanging="425"/>
      </w:pPr>
      <w:rPr>
        <w:rFonts w:asciiTheme="minorHAnsi" w:hAnsiTheme="minorHAnsi" w:hint="default"/>
        <w:b w:val="0"/>
        <w:i w:val="0"/>
        <w:color w:val="000000" w:themeColor="text1"/>
        <w:sz w:val="22"/>
      </w:rPr>
    </w:lvl>
    <w:lvl w:ilvl="1">
      <w:start w:val="1"/>
      <w:numFmt w:val="lowerLetter"/>
      <w:lvlText w:val="(%2)"/>
      <w:lvlJc w:val="left"/>
      <w:pPr>
        <w:ind w:left="851" w:hanging="426"/>
      </w:pPr>
      <w:rPr>
        <w:rFonts w:asciiTheme="minorHAnsi" w:hAnsiTheme="minorHAnsi" w:hint="default"/>
        <w:b w:val="0"/>
        <w:i w:val="0"/>
        <w:color w:val="000000" w:themeColor="text1"/>
        <w:sz w:val="22"/>
      </w:rPr>
    </w:lvl>
    <w:lvl w:ilvl="2">
      <w:start w:val="1"/>
      <w:numFmt w:val="lowerRoman"/>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32A2822"/>
    <w:multiLevelType w:val="multilevel"/>
    <w:tmpl w:val="87FC380A"/>
    <w:styleLink w:val="CurrentList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3A81835"/>
    <w:multiLevelType w:val="multilevel"/>
    <w:tmpl w:val="35A43536"/>
    <w:styleLink w:val="CurrentList4"/>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Montserrat" w:hAnsi="Montserrat" w:hint="default"/>
        <w:b/>
        <w:i w:val="0"/>
        <w:color w:val="7030A0"/>
        <w:sz w:val="36"/>
      </w:rPr>
    </w:lvl>
    <w:lvl w:ilvl="2">
      <w:start w:val="1"/>
      <w:numFmt w:val="decimal"/>
      <w:lvlText w:val="%1.%2.%3."/>
      <w:lvlJc w:val="left"/>
      <w:pPr>
        <w:ind w:left="737" w:hanging="737"/>
      </w:pPr>
      <w:rPr>
        <w:rFonts w:ascii="Montserrat" w:hAnsi="Montserrat" w:hint="default"/>
        <w:b/>
        <w:i w:val="0"/>
        <w:color w:val="7030A0"/>
        <w:sz w:val="32"/>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5" w15:restartNumberingAfterBreak="0">
    <w:nsid w:val="54A050B2"/>
    <w:multiLevelType w:val="multilevel"/>
    <w:tmpl w:val="4F1E982C"/>
    <w:styleLink w:val="CurrentList5"/>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7E35947"/>
    <w:multiLevelType w:val="hybridMultilevel"/>
    <w:tmpl w:val="6C3243C6"/>
    <w:lvl w:ilvl="0" w:tplc="5FAA68EE">
      <w:start w:val="1"/>
      <w:numFmt w:val="lowerRoman"/>
      <w:pStyle w:val="ListNumber3"/>
      <w:lvlText w:val="%1."/>
      <w:lvlJc w:val="righ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57" w15:restartNumberingAfterBreak="0">
    <w:nsid w:val="5863201E"/>
    <w:multiLevelType w:val="hybridMultilevel"/>
    <w:tmpl w:val="B2866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A3F5D25"/>
    <w:multiLevelType w:val="hybridMultilevel"/>
    <w:tmpl w:val="CBAE54F6"/>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9" w15:restartNumberingAfterBreak="0">
    <w:nsid w:val="5A4962DD"/>
    <w:multiLevelType w:val="hybridMultilevel"/>
    <w:tmpl w:val="F8AEB310"/>
    <w:lvl w:ilvl="0" w:tplc="EC923DBA">
      <w:start w:val="1"/>
      <w:numFmt w:val="bullet"/>
      <w:pStyle w:val="List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5B0049B9"/>
    <w:multiLevelType w:val="multilevel"/>
    <w:tmpl w:val="903E105E"/>
    <w:styleLink w:val="CurrentList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C1973D0"/>
    <w:multiLevelType w:val="multilevel"/>
    <w:tmpl w:val="BD9699D4"/>
    <w:styleLink w:val="CurrentList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0126E67"/>
    <w:multiLevelType w:val="hybridMultilevel"/>
    <w:tmpl w:val="773A74D4"/>
    <w:lvl w:ilvl="0" w:tplc="38EE8ADE">
      <w:start w:val="1"/>
      <w:numFmt w:val="bullet"/>
      <w:pStyle w:val="ListBullet2"/>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4" w15:restartNumberingAfterBreak="0">
    <w:nsid w:val="60684BB7"/>
    <w:multiLevelType w:val="multilevel"/>
    <w:tmpl w:val="0EA4013C"/>
    <w:styleLink w:val="CurrentList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0696F62"/>
    <w:multiLevelType w:val="multilevel"/>
    <w:tmpl w:val="BB58A2FE"/>
    <w:styleLink w:val="CurrentList3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67D76772"/>
    <w:multiLevelType w:val="multilevel"/>
    <w:tmpl w:val="3C6680EC"/>
    <w:styleLink w:val="CurrentList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B2B2D97"/>
    <w:multiLevelType w:val="multilevel"/>
    <w:tmpl w:val="BC102C32"/>
    <w:numStyleLink w:val="AppendixStyle"/>
  </w:abstractNum>
  <w:abstractNum w:abstractNumId="69" w15:restartNumberingAfterBreak="0">
    <w:nsid w:val="6B973F2F"/>
    <w:multiLevelType w:val="multilevel"/>
    <w:tmpl w:val="80AE19FA"/>
    <w:styleLink w:val="CurrentList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E6E4CCA"/>
    <w:multiLevelType w:val="multilevel"/>
    <w:tmpl w:val="E0DCD706"/>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1" w15:restartNumberingAfterBreak="0">
    <w:nsid w:val="6F3E61AC"/>
    <w:multiLevelType w:val="hybridMultilevel"/>
    <w:tmpl w:val="EFDEABB2"/>
    <w:lvl w:ilvl="0" w:tplc="08090001">
      <w:start w:val="1"/>
      <w:numFmt w:val="bullet"/>
      <w:lvlText w:val=""/>
      <w:lvlJc w:val="left"/>
      <w:pPr>
        <w:ind w:left="644" w:hanging="360"/>
      </w:pPr>
      <w:rPr>
        <w:rFonts w:ascii="Symbol" w:hAnsi="Symbol" w:hint="default"/>
        <w:b/>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2"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22010FB"/>
    <w:multiLevelType w:val="hybridMultilevel"/>
    <w:tmpl w:val="39CC96D0"/>
    <w:lvl w:ilvl="0" w:tplc="1122C326">
      <w:start w:val="1"/>
      <w:numFmt w:val="bullet"/>
      <w:pStyle w:val="TableBullet1"/>
      <w:lvlText w:val="·"/>
      <w:lvlJc w:val="left"/>
      <w:pPr>
        <w:ind w:left="360" w:hanging="360"/>
      </w:pPr>
      <w:rPr>
        <w:rFonts w:ascii="Symbol" w:hAnsi="Symbol" w:cs="Times New Roman"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33E528E"/>
    <w:multiLevelType w:val="multilevel"/>
    <w:tmpl w:val="4E881EE8"/>
    <w:styleLink w:val="CurrentList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4A77355"/>
    <w:multiLevelType w:val="hybridMultilevel"/>
    <w:tmpl w:val="F9B2C138"/>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6"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796440E1"/>
    <w:multiLevelType w:val="multilevel"/>
    <w:tmpl w:val="CC2E9982"/>
    <w:styleLink w:val="CurrentList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BF7046E"/>
    <w:multiLevelType w:val="multilevel"/>
    <w:tmpl w:val="F29CF010"/>
    <w:numStyleLink w:val="Numbers"/>
  </w:abstractNum>
  <w:abstractNum w:abstractNumId="79" w15:restartNumberingAfterBreak="0">
    <w:nsid w:val="7C577547"/>
    <w:multiLevelType w:val="multilevel"/>
    <w:tmpl w:val="53E6148C"/>
    <w:styleLink w:val="CurrentList2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F6813B0"/>
    <w:multiLevelType w:val="multilevel"/>
    <w:tmpl w:val="188E4174"/>
    <w:styleLink w:val="HeadingNumbers"/>
    <w:lvl w:ilvl="0">
      <w:start w:val="1"/>
      <w:numFmt w:val="decimal"/>
      <w:lvlText w:val="%1."/>
      <w:lvlJc w:val="left"/>
      <w:pPr>
        <w:ind w:left="680" w:hanging="680"/>
      </w:pPr>
      <w:rPr>
        <w:rFonts w:asciiTheme="majorHAnsi" w:hAnsiTheme="majorHAnsi"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1" w15:restartNumberingAfterBreak="0">
    <w:nsid w:val="7FD30B94"/>
    <w:multiLevelType w:val="hybridMultilevel"/>
    <w:tmpl w:val="E8EADEB2"/>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num w:numId="1" w16cid:durableId="1976371938">
    <w:abstractNumId w:val="60"/>
  </w:num>
  <w:num w:numId="2" w16cid:durableId="1421828783">
    <w:abstractNumId w:val="72"/>
  </w:num>
  <w:num w:numId="3" w16cid:durableId="924455219">
    <w:abstractNumId w:val="54"/>
  </w:num>
  <w:num w:numId="4" w16cid:durableId="8145819">
    <w:abstractNumId w:val="35"/>
  </w:num>
  <w:num w:numId="5" w16cid:durableId="1935043804">
    <w:abstractNumId w:val="30"/>
  </w:num>
  <w:num w:numId="6" w16cid:durableId="1532452615">
    <w:abstractNumId w:val="50"/>
  </w:num>
  <w:num w:numId="7" w16cid:durableId="1898588451">
    <w:abstractNumId w:val="40"/>
  </w:num>
  <w:num w:numId="8" w16cid:durableId="983848062">
    <w:abstractNumId w:val="66"/>
  </w:num>
  <w:num w:numId="9" w16cid:durableId="194080551">
    <w:abstractNumId w:val="76"/>
  </w:num>
  <w:num w:numId="10" w16cid:durableId="2024166019">
    <w:abstractNumId w:val="21"/>
  </w:num>
  <w:num w:numId="11" w16cid:durableId="2124497634">
    <w:abstractNumId w:val="80"/>
  </w:num>
  <w:num w:numId="12" w16cid:durableId="1022440377">
    <w:abstractNumId w:val="32"/>
  </w:num>
  <w:num w:numId="13" w16cid:durableId="988435812">
    <w:abstractNumId w:val="28"/>
  </w:num>
  <w:num w:numId="14" w16cid:durableId="422797658">
    <w:abstractNumId w:val="6"/>
  </w:num>
  <w:num w:numId="15" w16cid:durableId="995574081">
    <w:abstractNumId w:val="47"/>
  </w:num>
  <w:num w:numId="16" w16cid:durableId="1383208082">
    <w:abstractNumId w:val="51"/>
  </w:num>
  <w:num w:numId="17" w16cid:durableId="2106270163">
    <w:abstractNumId w:val="2"/>
  </w:num>
  <w:num w:numId="18" w16cid:durableId="393092543">
    <w:abstractNumId w:val="1"/>
  </w:num>
  <w:num w:numId="19" w16cid:durableId="358355396">
    <w:abstractNumId w:val="0"/>
  </w:num>
  <w:num w:numId="20" w16cid:durableId="498084787">
    <w:abstractNumId w:val="9"/>
  </w:num>
  <w:num w:numId="21" w16cid:durableId="1153183473">
    <w:abstractNumId w:val="73"/>
  </w:num>
  <w:num w:numId="22" w16cid:durableId="707493237">
    <w:abstractNumId w:val="38"/>
  </w:num>
  <w:num w:numId="23" w16cid:durableId="2115129295">
    <w:abstractNumId w:val="68"/>
  </w:num>
  <w:num w:numId="24" w16cid:durableId="487936713">
    <w:abstractNumId w:val="46"/>
  </w:num>
  <w:num w:numId="25" w16cid:durableId="583611803">
    <w:abstractNumId w:val="31"/>
  </w:num>
  <w:num w:numId="26" w16cid:durableId="1832939430">
    <w:abstractNumId w:val="78"/>
  </w:num>
  <w:num w:numId="27" w16cid:durableId="1499467604">
    <w:abstractNumId w:val="41"/>
  </w:num>
  <w:num w:numId="28" w16cid:durableId="1733306270">
    <w:abstractNumId w:val="18"/>
  </w:num>
  <w:num w:numId="29" w16cid:durableId="1340621760">
    <w:abstractNumId w:val="11"/>
  </w:num>
  <w:num w:numId="30" w16cid:durableId="1736049415">
    <w:abstractNumId w:val="63"/>
  </w:num>
  <w:num w:numId="31" w16cid:durableId="372465246">
    <w:abstractNumId w:val="3"/>
  </w:num>
  <w:num w:numId="32" w16cid:durableId="848761472">
    <w:abstractNumId w:val="59"/>
  </w:num>
  <w:num w:numId="33" w16cid:durableId="931740342">
    <w:abstractNumId w:val="70"/>
  </w:num>
  <w:num w:numId="34" w16cid:durableId="208491362">
    <w:abstractNumId w:val="19"/>
  </w:num>
  <w:num w:numId="35" w16cid:durableId="1164012873">
    <w:abstractNumId w:val="77"/>
  </w:num>
  <w:num w:numId="36" w16cid:durableId="1247881063">
    <w:abstractNumId w:val="56"/>
  </w:num>
  <w:num w:numId="37" w16cid:durableId="1085802120">
    <w:abstractNumId w:val="43"/>
  </w:num>
  <w:num w:numId="38" w16cid:durableId="321663658">
    <w:abstractNumId w:val="57"/>
  </w:num>
  <w:num w:numId="39" w16cid:durableId="188571979">
    <w:abstractNumId w:val="16"/>
  </w:num>
  <w:num w:numId="40" w16cid:durableId="1526671277">
    <w:abstractNumId w:val="53"/>
  </w:num>
  <w:num w:numId="41" w16cid:durableId="356588569">
    <w:abstractNumId w:val="55"/>
  </w:num>
  <w:num w:numId="42" w16cid:durableId="672030721">
    <w:abstractNumId w:val="17"/>
  </w:num>
  <w:num w:numId="43" w16cid:durableId="632255994">
    <w:abstractNumId w:val="39"/>
  </w:num>
  <w:num w:numId="44" w16cid:durableId="1337924599">
    <w:abstractNumId w:val="5"/>
  </w:num>
  <w:num w:numId="45" w16cid:durableId="632518516">
    <w:abstractNumId w:val="4"/>
  </w:num>
  <w:num w:numId="46" w16cid:durableId="564415842">
    <w:abstractNumId w:val="58"/>
  </w:num>
  <w:num w:numId="47" w16cid:durableId="1073355281">
    <w:abstractNumId w:val="44"/>
  </w:num>
  <w:num w:numId="48" w16cid:durableId="1873491090">
    <w:abstractNumId w:val="81"/>
  </w:num>
  <w:num w:numId="49" w16cid:durableId="1768885626">
    <w:abstractNumId w:val="25"/>
  </w:num>
  <w:num w:numId="50" w16cid:durableId="472602582">
    <w:abstractNumId w:val="69"/>
  </w:num>
  <w:num w:numId="51" w16cid:durableId="1382511890">
    <w:abstractNumId w:val="75"/>
  </w:num>
  <w:num w:numId="52" w16cid:durableId="1054086301">
    <w:abstractNumId w:val="71"/>
  </w:num>
  <w:num w:numId="53" w16cid:durableId="36130152">
    <w:abstractNumId w:val="27"/>
  </w:num>
  <w:num w:numId="54" w16cid:durableId="1963221146">
    <w:abstractNumId w:val="33"/>
  </w:num>
  <w:num w:numId="55" w16cid:durableId="984627330">
    <w:abstractNumId w:val="10"/>
  </w:num>
  <w:num w:numId="56" w16cid:durableId="394472648">
    <w:abstractNumId w:val="24"/>
  </w:num>
  <w:num w:numId="57" w16cid:durableId="1205295192">
    <w:abstractNumId w:val="13"/>
  </w:num>
  <w:num w:numId="58" w16cid:durableId="1257976295">
    <w:abstractNumId w:val="15"/>
  </w:num>
  <w:num w:numId="59" w16cid:durableId="1066612314">
    <w:abstractNumId w:val="20"/>
  </w:num>
  <w:num w:numId="60" w16cid:durableId="100686917">
    <w:abstractNumId w:val="37"/>
  </w:num>
  <w:num w:numId="61" w16cid:durableId="1632394604">
    <w:abstractNumId w:val="64"/>
  </w:num>
  <w:num w:numId="62" w16cid:durableId="598873358">
    <w:abstractNumId w:val="22"/>
  </w:num>
  <w:num w:numId="63" w16cid:durableId="2060352693">
    <w:abstractNumId w:val="12"/>
  </w:num>
  <w:num w:numId="64" w16cid:durableId="1268537716">
    <w:abstractNumId w:val="67"/>
  </w:num>
  <w:num w:numId="65" w16cid:durableId="187064789">
    <w:abstractNumId w:val="34"/>
  </w:num>
  <w:num w:numId="66" w16cid:durableId="1283339618">
    <w:abstractNumId w:val="62"/>
  </w:num>
  <w:num w:numId="67" w16cid:durableId="1735540289">
    <w:abstractNumId w:val="29"/>
  </w:num>
  <w:num w:numId="68" w16cid:durableId="1731080175">
    <w:abstractNumId w:val="42"/>
  </w:num>
  <w:num w:numId="69" w16cid:durableId="1760785758">
    <w:abstractNumId w:val="45"/>
  </w:num>
  <w:num w:numId="70" w16cid:durableId="304546878">
    <w:abstractNumId w:val="61"/>
  </w:num>
  <w:num w:numId="71" w16cid:durableId="1571845370">
    <w:abstractNumId w:val="14"/>
  </w:num>
  <w:num w:numId="72" w16cid:durableId="105345027">
    <w:abstractNumId w:val="8"/>
  </w:num>
  <w:num w:numId="73" w16cid:durableId="2144150433">
    <w:abstractNumId w:val="79"/>
  </w:num>
  <w:num w:numId="74" w16cid:durableId="1289777868">
    <w:abstractNumId w:val="74"/>
  </w:num>
  <w:num w:numId="75" w16cid:durableId="720712798">
    <w:abstractNumId w:val="7"/>
  </w:num>
  <w:num w:numId="76" w16cid:durableId="1252424390">
    <w:abstractNumId w:val="52"/>
  </w:num>
  <w:num w:numId="77" w16cid:durableId="100538534">
    <w:abstractNumId w:val="26"/>
  </w:num>
  <w:num w:numId="78" w16cid:durableId="1746995346">
    <w:abstractNumId w:val="48"/>
  </w:num>
  <w:num w:numId="79" w16cid:durableId="1488009863">
    <w:abstractNumId w:val="65"/>
  </w:num>
  <w:num w:numId="80" w16cid:durableId="572013050">
    <w:abstractNumId w:val="36"/>
  </w:num>
  <w:num w:numId="81" w16cid:durableId="480656984">
    <w:abstractNumId w:val="23"/>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e Anderson">
    <w15:presenceInfo w15:providerId="AD" w15:userId="S::julieanderson@swin.edu.au::b417f993-c7f7-490b-b93c-6e9ae08610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8B"/>
    <w:rsid w:val="00000C8B"/>
    <w:rsid w:val="0000286A"/>
    <w:rsid w:val="0000298F"/>
    <w:rsid w:val="00002B40"/>
    <w:rsid w:val="00003630"/>
    <w:rsid w:val="000044A0"/>
    <w:rsid w:val="000049B1"/>
    <w:rsid w:val="00005224"/>
    <w:rsid w:val="000068F7"/>
    <w:rsid w:val="00007C2C"/>
    <w:rsid w:val="00007CE9"/>
    <w:rsid w:val="000111D3"/>
    <w:rsid w:val="0001166E"/>
    <w:rsid w:val="00013278"/>
    <w:rsid w:val="00013748"/>
    <w:rsid w:val="0001574C"/>
    <w:rsid w:val="00016AA8"/>
    <w:rsid w:val="000232FD"/>
    <w:rsid w:val="00024065"/>
    <w:rsid w:val="00024ABE"/>
    <w:rsid w:val="00024C46"/>
    <w:rsid w:val="00025BC1"/>
    <w:rsid w:val="00026C1B"/>
    <w:rsid w:val="000270AE"/>
    <w:rsid w:val="00027179"/>
    <w:rsid w:val="00027427"/>
    <w:rsid w:val="00030341"/>
    <w:rsid w:val="00030759"/>
    <w:rsid w:val="000310F0"/>
    <w:rsid w:val="00031C21"/>
    <w:rsid w:val="00032047"/>
    <w:rsid w:val="00032DF9"/>
    <w:rsid w:val="00034E1C"/>
    <w:rsid w:val="00034E58"/>
    <w:rsid w:val="00035815"/>
    <w:rsid w:val="00036FD8"/>
    <w:rsid w:val="00037557"/>
    <w:rsid w:val="00040A81"/>
    <w:rsid w:val="000435A2"/>
    <w:rsid w:val="00045B29"/>
    <w:rsid w:val="00045E20"/>
    <w:rsid w:val="00052A06"/>
    <w:rsid w:val="00053BA4"/>
    <w:rsid w:val="00054C84"/>
    <w:rsid w:val="00054CDA"/>
    <w:rsid w:val="000551ED"/>
    <w:rsid w:val="00055D51"/>
    <w:rsid w:val="00055FC0"/>
    <w:rsid w:val="00056256"/>
    <w:rsid w:val="00057197"/>
    <w:rsid w:val="00057494"/>
    <w:rsid w:val="00057FCB"/>
    <w:rsid w:val="0006101E"/>
    <w:rsid w:val="000616DC"/>
    <w:rsid w:val="00061732"/>
    <w:rsid w:val="000621E7"/>
    <w:rsid w:val="00062AAD"/>
    <w:rsid w:val="00062AD7"/>
    <w:rsid w:val="00063DAC"/>
    <w:rsid w:val="0006404F"/>
    <w:rsid w:val="00065504"/>
    <w:rsid w:val="00065C3F"/>
    <w:rsid w:val="00070883"/>
    <w:rsid w:val="00072B8D"/>
    <w:rsid w:val="00074CBA"/>
    <w:rsid w:val="00075852"/>
    <w:rsid w:val="00075D39"/>
    <w:rsid w:val="00076195"/>
    <w:rsid w:val="000771AF"/>
    <w:rsid w:val="00077D71"/>
    <w:rsid w:val="00077DC8"/>
    <w:rsid w:val="00083151"/>
    <w:rsid w:val="00083246"/>
    <w:rsid w:val="00083CB4"/>
    <w:rsid w:val="00084E2D"/>
    <w:rsid w:val="0008617C"/>
    <w:rsid w:val="00087FBE"/>
    <w:rsid w:val="0009116E"/>
    <w:rsid w:val="0009118F"/>
    <w:rsid w:val="000913A3"/>
    <w:rsid w:val="00092CA3"/>
    <w:rsid w:val="00094784"/>
    <w:rsid w:val="000955D1"/>
    <w:rsid w:val="00096185"/>
    <w:rsid w:val="000965E3"/>
    <w:rsid w:val="000975C1"/>
    <w:rsid w:val="000A0203"/>
    <w:rsid w:val="000A0AF1"/>
    <w:rsid w:val="000A0C20"/>
    <w:rsid w:val="000A37FB"/>
    <w:rsid w:val="000A5632"/>
    <w:rsid w:val="000A5889"/>
    <w:rsid w:val="000A5AF4"/>
    <w:rsid w:val="000A712C"/>
    <w:rsid w:val="000A72A8"/>
    <w:rsid w:val="000B0F6E"/>
    <w:rsid w:val="000B19DA"/>
    <w:rsid w:val="000B1DA3"/>
    <w:rsid w:val="000B3A18"/>
    <w:rsid w:val="000B462E"/>
    <w:rsid w:val="000B47C7"/>
    <w:rsid w:val="000B561A"/>
    <w:rsid w:val="000B6CB9"/>
    <w:rsid w:val="000B7385"/>
    <w:rsid w:val="000B7A79"/>
    <w:rsid w:val="000C0538"/>
    <w:rsid w:val="000C2B4F"/>
    <w:rsid w:val="000C2FFB"/>
    <w:rsid w:val="000C3E0C"/>
    <w:rsid w:val="000C470C"/>
    <w:rsid w:val="000C4DF8"/>
    <w:rsid w:val="000C61E5"/>
    <w:rsid w:val="000C7FB2"/>
    <w:rsid w:val="000D0297"/>
    <w:rsid w:val="000D085B"/>
    <w:rsid w:val="000D1551"/>
    <w:rsid w:val="000D3F86"/>
    <w:rsid w:val="000D45DE"/>
    <w:rsid w:val="000D462C"/>
    <w:rsid w:val="000D52E2"/>
    <w:rsid w:val="000D5892"/>
    <w:rsid w:val="000E08F9"/>
    <w:rsid w:val="000E1935"/>
    <w:rsid w:val="000E1D1F"/>
    <w:rsid w:val="000E1D83"/>
    <w:rsid w:val="000E25CA"/>
    <w:rsid w:val="000E2DA0"/>
    <w:rsid w:val="000E42FD"/>
    <w:rsid w:val="000E5104"/>
    <w:rsid w:val="000E5230"/>
    <w:rsid w:val="000E709A"/>
    <w:rsid w:val="000F00D9"/>
    <w:rsid w:val="000F08C3"/>
    <w:rsid w:val="000F2402"/>
    <w:rsid w:val="000F28B4"/>
    <w:rsid w:val="000F2DE2"/>
    <w:rsid w:val="000F3149"/>
    <w:rsid w:val="000F37E3"/>
    <w:rsid w:val="000F3D62"/>
    <w:rsid w:val="000F4F58"/>
    <w:rsid w:val="000F50D0"/>
    <w:rsid w:val="000F5C76"/>
    <w:rsid w:val="000F683F"/>
    <w:rsid w:val="00100454"/>
    <w:rsid w:val="001005AC"/>
    <w:rsid w:val="00100982"/>
    <w:rsid w:val="001010A0"/>
    <w:rsid w:val="00101576"/>
    <w:rsid w:val="00101860"/>
    <w:rsid w:val="001019A1"/>
    <w:rsid w:val="001020BD"/>
    <w:rsid w:val="00102ABA"/>
    <w:rsid w:val="00103692"/>
    <w:rsid w:val="00104FA9"/>
    <w:rsid w:val="00105922"/>
    <w:rsid w:val="00106D42"/>
    <w:rsid w:val="00107541"/>
    <w:rsid w:val="001077B2"/>
    <w:rsid w:val="001100D1"/>
    <w:rsid w:val="0011040E"/>
    <w:rsid w:val="00110802"/>
    <w:rsid w:val="0011398D"/>
    <w:rsid w:val="00113DAB"/>
    <w:rsid w:val="001141A4"/>
    <w:rsid w:val="001141AE"/>
    <w:rsid w:val="00116250"/>
    <w:rsid w:val="00116EEC"/>
    <w:rsid w:val="0011711C"/>
    <w:rsid w:val="001172EC"/>
    <w:rsid w:val="00117F14"/>
    <w:rsid w:val="001206BD"/>
    <w:rsid w:val="00121694"/>
    <w:rsid w:val="00121779"/>
    <w:rsid w:val="00121AE4"/>
    <w:rsid w:val="00123626"/>
    <w:rsid w:val="00124714"/>
    <w:rsid w:val="00124B3E"/>
    <w:rsid w:val="001270C1"/>
    <w:rsid w:val="00127BAE"/>
    <w:rsid w:val="001302A7"/>
    <w:rsid w:val="00130B57"/>
    <w:rsid w:val="0013103A"/>
    <w:rsid w:val="001312D6"/>
    <w:rsid w:val="001314C5"/>
    <w:rsid w:val="001333C0"/>
    <w:rsid w:val="00133511"/>
    <w:rsid w:val="00134646"/>
    <w:rsid w:val="00134839"/>
    <w:rsid w:val="00134FBB"/>
    <w:rsid w:val="0013671F"/>
    <w:rsid w:val="00136A27"/>
    <w:rsid w:val="00136A2D"/>
    <w:rsid w:val="00136E4E"/>
    <w:rsid w:val="0014132D"/>
    <w:rsid w:val="00143C3B"/>
    <w:rsid w:val="00147D09"/>
    <w:rsid w:val="00154484"/>
    <w:rsid w:val="00155BEC"/>
    <w:rsid w:val="00157E37"/>
    <w:rsid w:val="00160491"/>
    <w:rsid w:val="00161AC6"/>
    <w:rsid w:val="00162154"/>
    <w:rsid w:val="00162275"/>
    <w:rsid w:val="00162425"/>
    <w:rsid w:val="00162777"/>
    <w:rsid w:val="00163D07"/>
    <w:rsid w:val="001640A1"/>
    <w:rsid w:val="001652D7"/>
    <w:rsid w:val="0016584F"/>
    <w:rsid w:val="001678A0"/>
    <w:rsid w:val="00170752"/>
    <w:rsid w:val="001708F4"/>
    <w:rsid w:val="001724BC"/>
    <w:rsid w:val="0017337C"/>
    <w:rsid w:val="0017358E"/>
    <w:rsid w:val="001737F5"/>
    <w:rsid w:val="00174DD0"/>
    <w:rsid w:val="0017526C"/>
    <w:rsid w:val="00175465"/>
    <w:rsid w:val="00175679"/>
    <w:rsid w:val="00175E64"/>
    <w:rsid w:val="00176786"/>
    <w:rsid w:val="00176BED"/>
    <w:rsid w:val="00176FD4"/>
    <w:rsid w:val="0017710E"/>
    <w:rsid w:val="0017731E"/>
    <w:rsid w:val="00177379"/>
    <w:rsid w:val="00177731"/>
    <w:rsid w:val="001807CA"/>
    <w:rsid w:val="00182D1F"/>
    <w:rsid w:val="0018367E"/>
    <w:rsid w:val="001836F6"/>
    <w:rsid w:val="00184200"/>
    <w:rsid w:val="0018435D"/>
    <w:rsid w:val="00186AFB"/>
    <w:rsid w:val="00190510"/>
    <w:rsid w:val="00190A11"/>
    <w:rsid w:val="00193582"/>
    <w:rsid w:val="00193A30"/>
    <w:rsid w:val="0019584F"/>
    <w:rsid w:val="001961B3"/>
    <w:rsid w:val="00196B82"/>
    <w:rsid w:val="00196C26"/>
    <w:rsid w:val="00196D48"/>
    <w:rsid w:val="001A03A7"/>
    <w:rsid w:val="001A11D1"/>
    <w:rsid w:val="001A14D8"/>
    <w:rsid w:val="001A1637"/>
    <w:rsid w:val="001A2B2A"/>
    <w:rsid w:val="001A2BAB"/>
    <w:rsid w:val="001A30E8"/>
    <w:rsid w:val="001A3362"/>
    <w:rsid w:val="001A33B7"/>
    <w:rsid w:val="001A45E4"/>
    <w:rsid w:val="001A5A98"/>
    <w:rsid w:val="001A639A"/>
    <w:rsid w:val="001A69A2"/>
    <w:rsid w:val="001A6F4A"/>
    <w:rsid w:val="001A7694"/>
    <w:rsid w:val="001A76AA"/>
    <w:rsid w:val="001A7889"/>
    <w:rsid w:val="001B130B"/>
    <w:rsid w:val="001B310A"/>
    <w:rsid w:val="001B38D8"/>
    <w:rsid w:val="001B52A0"/>
    <w:rsid w:val="001B5F65"/>
    <w:rsid w:val="001B6BA6"/>
    <w:rsid w:val="001B6CCB"/>
    <w:rsid w:val="001B7301"/>
    <w:rsid w:val="001B747C"/>
    <w:rsid w:val="001B7B5E"/>
    <w:rsid w:val="001B7CDA"/>
    <w:rsid w:val="001B7E2B"/>
    <w:rsid w:val="001C0AE1"/>
    <w:rsid w:val="001C0C6B"/>
    <w:rsid w:val="001C1E69"/>
    <w:rsid w:val="001C35E9"/>
    <w:rsid w:val="001C511E"/>
    <w:rsid w:val="001C642F"/>
    <w:rsid w:val="001D0B96"/>
    <w:rsid w:val="001D0E78"/>
    <w:rsid w:val="001D11F8"/>
    <w:rsid w:val="001D1738"/>
    <w:rsid w:val="001D36AE"/>
    <w:rsid w:val="001D39AD"/>
    <w:rsid w:val="001D3CBE"/>
    <w:rsid w:val="001D4BF1"/>
    <w:rsid w:val="001D6551"/>
    <w:rsid w:val="001D741B"/>
    <w:rsid w:val="001D7549"/>
    <w:rsid w:val="001E0198"/>
    <w:rsid w:val="001E0E78"/>
    <w:rsid w:val="001E1404"/>
    <w:rsid w:val="001E15F5"/>
    <w:rsid w:val="001E197C"/>
    <w:rsid w:val="001E2A98"/>
    <w:rsid w:val="001E3732"/>
    <w:rsid w:val="001E3DB5"/>
    <w:rsid w:val="001E5FC4"/>
    <w:rsid w:val="001E79E0"/>
    <w:rsid w:val="001E7E7B"/>
    <w:rsid w:val="001F0823"/>
    <w:rsid w:val="001F1007"/>
    <w:rsid w:val="001F3913"/>
    <w:rsid w:val="001F435C"/>
    <w:rsid w:val="001F4C7F"/>
    <w:rsid w:val="001F6C35"/>
    <w:rsid w:val="0020292B"/>
    <w:rsid w:val="00202B37"/>
    <w:rsid w:val="002033DF"/>
    <w:rsid w:val="002039DC"/>
    <w:rsid w:val="00205972"/>
    <w:rsid w:val="0020679D"/>
    <w:rsid w:val="00206A27"/>
    <w:rsid w:val="00207019"/>
    <w:rsid w:val="0020721E"/>
    <w:rsid w:val="00211E67"/>
    <w:rsid w:val="002128CC"/>
    <w:rsid w:val="00215A55"/>
    <w:rsid w:val="00216CF7"/>
    <w:rsid w:val="00216EDE"/>
    <w:rsid w:val="002207BF"/>
    <w:rsid w:val="00222835"/>
    <w:rsid w:val="002267EE"/>
    <w:rsid w:val="00227206"/>
    <w:rsid w:val="0023022E"/>
    <w:rsid w:val="0023065D"/>
    <w:rsid w:val="00230BED"/>
    <w:rsid w:val="00230F57"/>
    <w:rsid w:val="00231ED4"/>
    <w:rsid w:val="00232FB9"/>
    <w:rsid w:val="002344FF"/>
    <w:rsid w:val="002347AA"/>
    <w:rsid w:val="00235040"/>
    <w:rsid w:val="002366B5"/>
    <w:rsid w:val="002374D4"/>
    <w:rsid w:val="00240131"/>
    <w:rsid w:val="0024035F"/>
    <w:rsid w:val="002418F1"/>
    <w:rsid w:val="00243C09"/>
    <w:rsid w:val="00244191"/>
    <w:rsid w:val="00244791"/>
    <w:rsid w:val="00244B56"/>
    <w:rsid w:val="00244BE9"/>
    <w:rsid w:val="002466C0"/>
    <w:rsid w:val="0024675B"/>
    <w:rsid w:val="00246C10"/>
    <w:rsid w:val="00246F62"/>
    <w:rsid w:val="002477A5"/>
    <w:rsid w:val="00250E24"/>
    <w:rsid w:val="002538A4"/>
    <w:rsid w:val="002564EB"/>
    <w:rsid w:val="00256BBA"/>
    <w:rsid w:val="002575EC"/>
    <w:rsid w:val="00257752"/>
    <w:rsid w:val="00261CB6"/>
    <w:rsid w:val="0026329E"/>
    <w:rsid w:val="00263425"/>
    <w:rsid w:val="00263709"/>
    <w:rsid w:val="00263835"/>
    <w:rsid w:val="0026399B"/>
    <w:rsid w:val="0026402B"/>
    <w:rsid w:val="002654B5"/>
    <w:rsid w:val="00265B25"/>
    <w:rsid w:val="0026633C"/>
    <w:rsid w:val="002665E3"/>
    <w:rsid w:val="00267270"/>
    <w:rsid w:val="00272518"/>
    <w:rsid w:val="0027299A"/>
    <w:rsid w:val="00272D19"/>
    <w:rsid w:val="00272E43"/>
    <w:rsid w:val="002731AE"/>
    <w:rsid w:val="002750CE"/>
    <w:rsid w:val="00275546"/>
    <w:rsid w:val="00276707"/>
    <w:rsid w:val="0028049D"/>
    <w:rsid w:val="002815F6"/>
    <w:rsid w:val="002817B0"/>
    <w:rsid w:val="0028524F"/>
    <w:rsid w:val="00285549"/>
    <w:rsid w:val="0028568D"/>
    <w:rsid w:val="00285821"/>
    <w:rsid w:val="00286A37"/>
    <w:rsid w:val="00286EB4"/>
    <w:rsid w:val="00286F8A"/>
    <w:rsid w:val="00287E17"/>
    <w:rsid w:val="002901B8"/>
    <w:rsid w:val="00290222"/>
    <w:rsid w:val="00290CF8"/>
    <w:rsid w:val="00291A57"/>
    <w:rsid w:val="00292A0A"/>
    <w:rsid w:val="00293E9B"/>
    <w:rsid w:val="00293F96"/>
    <w:rsid w:val="00295528"/>
    <w:rsid w:val="00295681"/>
    <w:rsid w:val="00296436"/>
    <w:rsid w:val="002A0099"/>
    <w:rsid w:val="002A0CC9"/>
    <w:rsid w:val="002A2A6B"/>
    <w:rsid w:val="002A3146"/>
    <w:rsid w:val="002A32C9"/>
    <w:rsid w:val="002A3908"/>
    <w:rsid w:val="002A3E43"/>
    <w:rsid w:val="002A453D"/>
    <w:rsid w:val="002A4F78"/>
    <w:rsid w:val="002A60C2"/>
    <w:rsid w:val="002A67C2"/>
    <w:rsid w:val="002A79CD"/>
    <w:rsid w:val="002B2B46"/>
    <w:rsid w:val="002B3113"/>
    <w:rsid w:val="002B3A2E"/>
    <w:rsid w:val="002B482D"/>
    <w:rsid w:val="002B5953"/>
    <w:rsid w:val="002B6C97"/>
    <w:rsid w:val="002B756C"/>
    <w:rsid w:val="002B78A3"/>
    <w:rsid w:val="002C085F"/>
    <w:rsid w:val="002C1999"/>
    <w:rsid w:val="002C1D11"/>
    <w:rsid w:val="002C24C1"/>
    <w:rsid w:val="002C368B"/>
    <w:rsid w:val="002C3A75"/>
    <w:rsid w:val="002C458A"/>
    <w:rsid w:val="002C58A0"/>
    <w:rsid w:val="002C5B48"/>
    <w:rsid w:val="002C700C"/>
    <w:rsid w:val="002C76C4"/>
    <w:rsid w:val="002C79AC"/>
    <w:rsid w:val="002D0251"/>
    <w:rsid w:val="002D0FB4"/>
    <w:rsid w:val="002D136C"/>
    <w:rsid w:val="002D2282"/>
    <w:rsid w:val="002D32EE"/>
    <w:rsid w:val="002D5FB8"/>
    <w:rsid w:val="002D74F2"/>
    <w:rsid w:val="002D79DC"/>
    <w:rsid w:val="002D79F8"/>
    <w:rsid w:val="002E0437"/>
    <w:rsid w:val="002E3AF4"/>
    <w:rsid w:val="002E3D60"/>
    <w:rsid w:val="002E5419"/>
    <w:rsid w:val="002E586E"/>
    <w:rsid w:val="002E5D97"/>
    <w:rsid w:val="002E7B0B"/>
    <w:rsid w:val="002F07BE"/>
    <w:rsid w:val="002F0D73"/>
    <w:rsid w:val="002F1C6A"/>
    <w:rsid w:val="002F32B0"/>
    <w:rsid w:val="002F4276"/>
    <w:rsid w:val="002F47BF"/>
    <w:rsid w:val="002F6D82"/>
    <w:rsid w:val="003000E8"/>
    <w:rsid w:val="00300E52"/>
    <w:rsid w:val="00301B57"/>
    <w:rsid w:val="00301EF4"/>
    <w:rsid w:val="003025F4"/>
    <w:rsid w:val="003026F7"/>
    <w:rsid w:val="003030C4"/>
    <w:rsid w:val="003057EB"/>
    <w:rsid w:val="00305A3A"/>
    <w:rsid w:val="00306D54"/>
    <w:rsid w:val="00310187"/>
    <w:rsid w:val="003103A1"/>
    <w:rsid w:val="00311A47"/>
    <w:rsid w:val="00312F92"/>
    <w:rsid w:val="00313E73"/>
    <w:rsid w:val="00314A1E"/>
    <w:rsid w:val="00314F80"/>
    <w:rsid w:val="003154A8"/>
    <w:rsid w:val="003164C5"/>
    <w:rsid w:val="003175F2"/>
    <w:rsid w:val="003204FF"/>
    <w:rsid w:val="00322CE9"/>
    <w:rsid w:val="00323715"/>
    <w:rsid w:val="003255F2"/>
    <w:rsid w:val="00330BD8"/>
    <w:rsid w:val="0033246B"/>
    <w:rsid w:val="00332B59"/>
    <w:rsid w:val="0033506F"/>
    <w:rsid w:val="00335767"/>
    <w:rsid w:val="00335BD0"/>
    <w:rsid w:val="0033678D"/>
    <w:rsid w:val="003368BC"/>
    <w:rsid w:val="003368EB"/>
    <w:rsid w:val="00336D59"/>
    <w:rsid w:val="0034039B"/>
    <w:rsid w:val="00342113"/>
    <w:rsid w:val="0034368D"/>
    <w:rsid w:val="0034373A"/>
    <w:rsid w:val="00344BDF"/>
    <w:rsid w:val="0034543C"/>
    <w:rsid w:val="0034596C"/>
    <w:rsid w:val="00345DE2"/>
    <w:rsid w:val="00345E88"/>
    <w:rsid w:val="0034687D"/>
    <w:rsid w:val="00346A65"/>
    <w:rsid w:val="00347F09"/>
    <w:rsid w:val="00353FA7"/>
    <w:rsid w:val="0035766E"/>
    <w:rsid w:val="00357AE3"/>
    <w:rsid w:val="003605CF"/>
    <w:rsid w:val="003612EB"/>
    <w:rsid w:val="00365039"/>
    <w:rsid w:val="003661AA"/>
    <w:rsid w:val="00366C7A"/>
    <w:rsid w:val="003671F4"/>
    <w:rsid w:val="003679CC"/>
    <w:rsid w:val="00370006"/>
    <w:rsid w:val="00370268"/>
    <w:rsid w:val="00371528"/>
    <w:rsid w:val="003717FC"/>
    <w:rsid w:val="00371ADC"/>
    <w:rsid w:val="0037216A"/>
    <w:rsid w:val="0037291A"/>
    <w:rsid w:val="00373531"/>
    <w:rsid w:val="00373535"/>
    <w:rsid w:val="003736E8"/>
    <w:rsid w:val="00373CAB"/>
    <w:rsid w:val="00374753"/>
    <w:rsid w:val="00374FD1"/>
    <w:rsid w:val="003752DA"/>
    <w:rsid w:val="00375A2D"/>
    <w:rsid w:val="00377877"/>
    <w:rsid w:val="00377A6B"/>
    <w:rsid w:val="003810F2"/>
    <w:rsid w:val="00381F4F"/>
    <w:rsid w:val="00382D37"/>
    <w:rsid w:val="00383CDB"/>
    <w:rsid w:val="00384FBC"/>
    <w:rsid w:val="00385280"/>
    <w:rsid w:val="00386EE6"/>
    <w:rsid w:val="003903A3"/>
    <w:rsid w:val="00391207"/>
    <w:rsid w:val="00391980"/>
    <w:rsid w:val="00392147"/>
    <w:rsid w:val="0039482E"/>
    <w:rsid w:val="00396E48"/>
    <w:rsid w:val="003A0DB1"/>
    <w:rsid w:val="003A196E"/>
    <w:rsid w:val="003A1ACE"/>
    <w:rsid w:val="003A20B1"/>
    <w:rsid w:val="003A2309"/>
    <w:rsid w:val="003A2875"/>
    <w:rsid w:val="003A3347"/>
    <w:rsid w:val="003A5ACE"/>
    <w:rsid w:val="003A72E5"/>
    <w:rsid w:val="003A7365"/>
    <w:rsid w:val="003B03D8"/>
    <w:rsid w:val="003B06F0"/>
    <w:rsid w:val="003B09A0"/>
    <w:rsid w:val="003B0AA5"/>
    <w:rsid w:val="003B0E97"/>
    <w:rsid w:val="003B18B1"/>
    <w:rsid w:val="003B228F"/>
    <w:rsid w:val="003B24B2"/>
    <w:rsid w:val="003B524C"/>
    <w:rsid w:val="003B7795"/>
    <w:rsid w:val="003B7D3C"/>
    <w:rsid w:val="003C0C76"/>
    <w:rsid w:val="003C1822"/>
    <w:rsid w:val="003C2BE8"/>
    <w:rsid w:val="003C3D03"/>
    <w:rsid w:val="003C3E6A"/>
    <w:rsid w:val="003C44CB"/>
    <w:rsid w:val="003C5B66"/>
    <w:rsid w:val="003C607F"/>
    <w:rsid w:val="003C6FEF"/>
    <w:rsid w:val="003C7080"/>
    <w:rsid w:val="003C792F"/>
    <w:rsid w:val="003D0028"/>
    <w:rsid w:val="003D06FB"/>
    <w:rsid w:val="003D0EA6"/>
    <w:rsid w:val="003D37DB"/>
    <w:rsid w:val="003D3EBC"/>
    <w:rsid w:val="003D64A8"/>
    <w:rsid w:val="003D6AE1"/>
    <w:rsid w:val="003D7B37"/>
    <w:rsid w:val="003D7DA6"/>
    <w:rsid w:val="003E324C"/>
    <w:rsid w:val="003E4E1F"/>
    <w:rsid w:val="003E55F7"/>
    <w:rsid w:val="003E5891"/>
    <w:rsid w:val="003E614B"/>
    <w:rsid w:val="003E7324"/>
    <w:rsid w:val="003E7AC9"/>
    <w:rsid w:val="003F0257"/>
    <w:rsid w:val="003F34C9"/>
    <w:rsid w:val="003F3634"/>
    <w:rsid w:val="003F5076"/>
    <w:rsid w:val="003F51BA"/>
    <w:rsid w:val="003F5A9E"/>
    <w:rsid w:val="003F6D88"/>
    <w:rsid w:val="003F6E2B"/>
    <w:rsid w:val="004009F6"/>
    <w:rsid w:val="00400B39"/>
    <w:rsid w:val="00401143"/>
    <w:rsid w:val="0040188D"/>
    <w:rsid w:val="00401A4F"/>
    <w:rsid w:val="004043CA"/>
    <w:rsid w:val="004073DB"/>
    <w:rsid w:val="00410C9E"/>
    <w:rsid w:val="00410CB2"/>
    <w:rsid w:val="00410E28"/>
    <w:rsid w:val="004115F9"/>
    <w:rsid w:val="00415458"/>
    <w:rsid w:val="00416845"/>
    <w:rsid w:val="00416CC6"/>
    <w:rsid w:val="004218FA"/>
    <w:rsid w:val="00421CE6"/>
    <w:rsid w:val="004224BC"/>
    <w:rsid w:val="00422752"/>
    <w:rsid w:val="00422BB5"/>
    <w:rsid w:val="00423682"/>
    <w:rsid w:val="00425B44"/>
    <w:rsid w:val="0042620C"/>
    <w:rsid w:val="00427FC2"/>
    <w:rsid w:val="0043072C"/>
    <w:rsid w:val="00430E61"/>
    <w:rsid w:val="00432D8A"/>
    <w:rsid w:val="00433740"/>
    <w:rsid w:val="00435D9A"/>
    <w:rsid w:val="00437101"/>
    <w:rsid w:val="0044206C"/>
    <w:rsid w:val="00442916"/>
    <w:rsid w:val="00443884"/>
    <w:rsid w:val="00443E89"/>
    <w:rsid w:val="00444637"/>
    <w:rsid w:val="00446347"/>
    <w:rsid w:val="00446523"/>
    <w:rsid w:val="0044722E"/>
    <w:rsid w:val="0044777A"/>
    <w:rsid w:val="00450205"/>
    <w:rsid w:val="004510FC"/>
    <w:rsid w:val="0045123D"/>
    <w:rsid w:val="00451821"/>
    <w:rsid w:val="004546B0"/>
    <w:rsid w:val="00455482"/>
    <w:rsid w:val="004554E1"/>
    <w:rsid w:val="0045618E"/>
    <w:rsid w:val="004562EC"/>
    <w:rsid w:val="0045736C"/>
    <w:rsid w:val="00457B2F"/>
    <w:rsid w:val="004603DB"/>
    <w:rsid w:val="004605FE"/>
    <w:rsid w:val="00460BEA"/>
    <w:rsid w:val="0046322D"/>
    <w:rsid w:val="00470173"/>
    <w:rsid w:val="00470E01"/>
    <w:rsid w:val="004716DD"/>
    <w:rsid w:val="00472E54"/>
    <w:rsid w:val="00475AE0"/>
    <w:rsid w:val="00477155"/>
    <w:rsid w:val="004779D8"/>
    <w:rsid w:val="004779F0"/>
    <w:rsid w:val="00477C88"/>
    <w:rsid w:val="00480ECC"/>
    <w:rsid w:val="004815EE"/>
    <w:rsid w:val="004824F6"/>
    <w:rsid w:val="004826E0"/>
    <w:rsid w:val="00482A95"/>
    <w:rsid w:val="00482B7E"/>
    <w:rsid w:val="00482EE6"/>
    <w:rsid w:val="00484D98"/>
    <w:rsid w:val="00485E92"/>
    <w:rsid w:val="00485FDC"/>
    <w:rsid w:val="004864FB"/>
    <w:rsid w:val="00486DAA"/>
    <w:rsid w:val="0048713B"/>
    <w:rsid w:val="00487C1E"/>
    <w:rsid w:val="00491285"/>
    <w:rsid w:val="00491DFF"/>
    <w:rsid w:val="00491F6A"/>
    <w:rsid w:val="00492B9D"/>
    <w:rsid w:val="004942F1"/>
    <w:rsid w:val="00494B76"/>
    <w:rsid w:val="004955B3"/>
    <w:rsid w:val="0049596E"/>
    <w:rsid w:val="00496490"/>
    <w:rsid w:val="004A24F0"/>
    <w:rsid w:val="004A2741"/>
    <w:rsid w:val="004A31E6"/>
    <w:rsid w:val="004A3742"/>
    <w:rsid w:val="004A3C33"/>
    <w:rsid w:val="004A4A67"/>
    <w:rsid w:val="004A512B"/>
    <w:rsid w:val="004A7F49"/>
    <w:rsid w:val="004B2622"/>
    <w:rsid w:val="004B36DC"/>
    <w:rsid w:val="004B4976"/>
    <w:rsid w:val="004B5D0E"/>
    <w:rsid w:val="004C032C"/>
    <w:rsid w:val="004C0CC9"/>
    <w:rsid w:val="004C1BDB"/>
    <w:rsid w:val="004C1FD5"/>
    <w:rsid w:val="004C2AB8"/>
    <w:rsid w:val="004C363E"/>
    <w:rsid w:val="004C6DAD"/>
    <w:rsid w:val="004D133B"/>
    <w:rsid w:val="004D1C4F"/>
    <w:rsid w:val="004D1E56"/>
    <w:rsid w:val="004D1F97"/>
    <w:rsid w:val="004D2902"/>
    <w:rsid w:val="004D3800"/>
    <w:rsid w:val="004D4D02"/>
    <w:rsid w:val="004D4E83"/>
    <w:rsid w:val="004D57E8"/>
    <w:rsid w:val="004D5EE1"/>
    <w:rsid w:val="004D668C"/>
    <w:rsid w:val="004D6C3C"/>
    <w:rsid w:val="004E04D3"/>
    <w:rsid w:val="004E0E02"/>
    <w:rsid w:val="004E150B"/>
    <w:rsid w:val="004E19B5"/>
    <w:rsid w:val="004E2D56"/>
    <w:rsid w:val="004E3295"/>
    <w:rsid w:val="004E33AE"/>
    <w:rsid w:val="004E3F49"/>
    <w:rsid w:val="004E74BD"/>
    <w:rsid w:val="004E7E4D"/>
    <w:rsid w:val="004F0B68"/>
    <w:rsid w:val="004F197D"/>
    <w:rsid w:val="004F2FE0"/>
    <w:rsid w:val="004F3BEF"/>
    <w:rsid w:val="004F6B2A"/>
    <w:rsid w:val="004F736A"/>
    <w:rsid w:val="004F759C"/>
    <w:rsid w:val="004F75C4"/>
    <w:rsid w:val="00501684"/>
    <w:rsid w:val="005018CA"/>
    <w:rsid w:val="005028CC"/>
    <w:rsid w:val="00502FC0"/>
    <w:rsid w:val="0050359B"/>
    <w:rsid w:val="00504598"/>
    <w:rsid w:val="00504D4A"/>
    <w:rsid w:val="005078ED"/>
    <w:rsid w:val="005107EF"/>
    <w:rsid w:val="0051081C"/>
    <w:rsid w:val="0051251B"/>
    <w:rsid w:val="00512726"/>
    <w:rsid w:val="00515E60"/>
    <w:rsid w:val="00517045"/>
    <w:rsid w:val="00517443"/>
    <w:rsid w:val="005179AD"/>
    <w:rsid w:val="00517E0B"/>
    <w:rsid w:val="00517EA3"/>
    <w:rsid w:val="0052082B"/>
    <w:rsid w:val="005209D1"/>
    <w:rsid w:val="00520E87"/>
    <w:rsid w:val="00521E44"/>
    <w:rsid w:val="00522B8E"/>
    <w:rsid w:val="00523D35"/>
    <w:rsid w:val="005246B2"/>
    <w:rsid w:val="0052516C"/>
    <w:rsid w:val="005255CB"/>
    <w:rsid w:val="005265BB"/>
    <w:rsid w:val="00526652"/>
    <w:rsid w:val="005269C1"/>
    <w:rsid w:val="005269E6"/>
    <w:rsid w:val="00526F40"/>
    <w:rsid w:val="00527386"/>
    <w:rsid w:val="005329DD"/>
    <w:rsid w:val="005368F8"/>
    <w:rsid w:val="00540C8A"/>
    <w:rsid w:val="005410C7"/>
    <w:rsid w:val="00541211"/>
    <w:rsid w:val="00541954"/>
    <w:rsid w:val="00541AF0"/>
    <w:rsid w:val="00541F35"/>
    <w:rsid w:val="00541FE6"/>
    <w:rsid w:val="0054284F"/>
    <w:rsid w:val="00542A80"/>
    <w:rsid w:val="005455E0"/>
    <w:rsid w:val="00546F68"/>
    <w:rsid w:val="005516A0"/>
    <w:rsid w:val="00551E4A"/>
    <w:rsid w:val="005520D9"/>
    <w:rsid w:val="00552A7A"/>
    <w:rsid w:val="005549C2"/>
    <w:rsid w:val="00555115"/>
    <w:rsid w:val="00555AB6"/>
    <w:rsid w:val="00556BCC"/>
    <w:rsid w:val="00560A7A"/>
    <w:rsid w:val="00560DBA"/>
    <w:rsid w:val="00562AD3"/>
    <w:rsid w:val="0056357E"/>
    <w:rsid w:val="005641A6"/>
    <w:rsid w:val="005647A6"/>
    <w:rsid w:val="005648A7"/>
    <w:rsid w:val="00564BD5"/>
    <w:rsid w:val="00565C71"/>
    <w:rsid w:val="0056654C"/>
    <w:rsid w:val="005704A6"/>
    <w:rsid w:val="005708DB"/>
    <w:rsid w:val="00571757"/>
    <w:rsid w:val="00573400"/>
    <w:rsid w:val="00573616"/>
    <w:rsid w:val="005740B0"/>
    <w:rsid w:val="005741B0"/>
    <w:rsid w:val="00574826"/>
    <w:rsid w:val="005749CB"/>
    <w:rsid w:val="0057588F"/>
    <w:rsid w:val="0057798B"/>
    <w:rsid w:val="0058119B"/>
    <w:rsid w:val="00581AD3"/>
    <w:rsid w:val="005822CE"/>
    <w:rsid w:val="0058277F"/>
    <w:rsid w:val="00582B51"/>
    <w:rsid w:val="00582D16"/>
    <w:rsid w:val="00584412"/>
    <w:rsid w:val="00584440"/>
    <w:rsid w:val="0058457D"/>
    <w:rsid w:val="00587147"/>
    <w:rsid w:val="005912E3"/>
    <w:rsid w:val="00591804"/>
    <w:rsid w:val="00593811"/>
    <w:rsid w:val="00595C47"/>
    <w:rsid w:val="00595D67"/>
    <w:rsid w:val="00595EE4"/>
    <w:rsid w:val="00597764"/>
    <w:rsid w:val="005A09CD"/>
    <w:rsid w:val="005A1083"/>
    <w:rsid w:val="005A1715"/>
    <w:rsid w:val="005A20A6"/>
    <w:rsid w:val="005A2572"/>
    <w:rsid w:val="005A29D6"/>
    <w:rsid w:val="005A4C72"/>
    <w:rsid w:val="005A58B0"/>
    <w:rsid w:val="005A646E"/>
    <w:rsid w:val="005A6862"/>
    <w:rsid w:val="005A6A61"/>
    <w:rsid w:val="005A72E2"/>
    <w:rsid w:val="005A7A0B"/>
    <w:rsid w:val="005B038A"/>
    <w:rsid w:val="005B15C5"/>
    <w:rsid w:val="005B1B5A"/>
    <w:rsid w:val="005B2874"/>
    <w:rsid w:val="005B311A"/>
    <w:rsid w:val="005B4E22"/>
    <w:rsid w:val="005B61B0"/>
    <w:rsid w:val="005B65A1"/>
    <w:rsid w:val="005B7B74"/>
    <w:rsid w:val="005B7C9C"/>
    <w:rsid w:val="005C0363"/>
    <w:rsid w:val="005C04F5"/>
    <w:rsid w:val="005C0D34"/>
    <w:rsid w:val="005C0EBF"/>
    <w:rsid w:val="005C2334"/>
    <w:rsid w:val="005C250D"/>
    <w:rsid w:val="005C53D4"/>
    <w:rsid w:val="005C5711"/>
    <w:rsid w:val="005C647A"/>
    <w:rsid w:val="005C66ED"/>
    <w:rsid w:val="005C6A7B"/>
    <w:rsid w:val="005C7C0D"/>
    <w:rsid w:val="005D0054"/>
    <w:rsid w:val="005D0D32"/>
    <w:rsid w:val="005D1CED"/>
    <w:rsid w:val="005D2BEE"/>
    <w:rsid w:val="005D6390"/>
    <w:rsid w:val="005D66F5"/>
    <w:rsid w:val="005E131E"/>
    <w:rsid w:val="005E2094"/>
    <w:rsid w:val="005E22E1"/>
    <w:rsid w:val="005E3C59"/>
    <w:rsid w:val="005E3FDF"/>
    <w:rsid w:val="005E5F13"/>
    <w:rsid w:val="005E601E"/>
    <w:rsid w:val="005E608F"/>
    <w:rsid w:val="005E7C16"/>
    <w:rsid w:val="005F0193"/>
    <w:rsid w:val="005F01DF"/>
    <w:rsid w:val="005F1828"/>
    <w:rsid w:val="005F1CD9"/>
    <w:rsid w:val="005F1D1A"/>
    <w:rsid w:val="005F1EAE"/>
    <w:rsid w:val="005F2B7F"/>
    <w:rsid w:val="005F3FCA"/>
    <w:rsid w:val="005F522E"/>
    <w:rsid w:val="005F62FA"/>
    <w:rsid w:val="005F6403"/>
    <w:rsid w:val="005F7AA9"/>
    <w:rsid w:val="006002F0"/>
    <w:rsid w:val="00600829"/>
    <w:rsid w:val="00602461"/>
    <w:rsid w:val="00602D88"/>
    <w:rsid w:val="006033BF"/>
    <w:rsid w:val="00604DCB"/>
    <w:rsid w:val="00604ED6"/>
    <w:rsid w:val="006061C4"/>
    <w:rsid w:val="006064D1"/>
    <w:rsid w:val="00606F39"/>
    <w:rsid w:val="00607B55"/>
    <w:rsid w:val="00607DB4"/>
    <w:rsid w:val="006101DF"/>
    <w:rsid w:val="0061095E"/>
    <w:rsid w:val="00610DD3"/>
    <w:rsid w:val="00610F76"/>
    <w:rsid w:val="00611690"/>
    <w:rsid w:val="006118B5"/>
    <w:rsid w:val="00613759"/>
    <w:rsid w:val="00615910"/>
    <w:rsid w:val="00615B29"/>
    <w:rsid w:val="006168C5"/>
    <w:rsid w:val="00616D68"/>
    <w:rsid w:val="00617481"/>
    <w:rsid w:val="00617D96"/>
    <w:rsid w:val="00620F1E"/>
    <w:rsid w:val="006214FF"/>
    <w:rsid w:val="00621A82"/>
    <w:rsid w:val="00622A35"/>
    <w:rsid w:val="00623679"/>
    <w:rsid w:val="0062378F"/>
    <w:rsid w:val="00624DF7"/>
    <w:rsid w:val="00625FED"/>
    <w:rsid w:val="00626CCB"/>
    <w:rsid w:val="006279F0"/>
    <w:rsid w:val="00630AC5"/>
    <w:rsid w:val="00631C3B"/>
    <w:rsid w:val="00631E3F"/>
    <w:rsid w:val="006328FC"/>
    <w:rsid w:val="006333A5"/>
    <w:rsid w:val="00633EA6"/>
    <w:rsid w:val="0063412F"/>
    <w:rsid w:val="00634158"/>
    <w:rsid w:val="00634DB9"/>
    <w:rsid w:val="00635743"/>
    <w:rsid w:val="0063698B"/>
    <w:rsid w:val="00636B65"/>
    <w:rsid w:val="00640D68"/>
    <w:rsid w:val="00642369"/>
    <w:rsid w:val="00642A4E"/>
    <w:rsid w:val="00642CCF"/>
    <w:rsid w:val="00643354"/>
    <w:rsid w:val="006459B9"/>
    <w:rsid w:val="0064665A"/>
    <w:rsid w:val="00647C13"/>
    <w:rsid w:val="006504C8"/>
    <w:rsid w:val="00651DA6"/>
    <w:rsid w:val="0065271E"/>
    <w:rsid w:val="00652DB6"/>
    <w:rsid w:val="00653F0F"/>
    <w:rsid w:val="00654D86"/>
    <w:rsid w:val="0065591B"/>
    <w:rsid w:val="00655E21"/>
    <w:rsid w:val="006560AD"/>
    <w:rsid w:val="006564E2"/>
    <w:rsid w:val="0065653A"/>
    <w:rsid w:val="0065703F"/>
    <w:rsid w:val="006572F8"/>
    <w:rsid w:val="00657828"/>
    <w:rsid w:val="00662507"/>
    <w:rsid w:val="00662688"/>
    <w:rsid w:val="006633BB"/>
    <w:rsid w:val="00664317"/>
    <w:rsid w:val="0066663F"/>
    <w:rsid w:val="00666F8A"/>
    <w:rsid w:val="006675BE"/>
    <w:rsid w:val="006676A1"/>
    <w:rsid w:val="006679C9"/>
    <w:rsid w:val="006704CD"/>
    <w:rsid w:val="00670BBC"/>
    <w:rsid w:val="00670DAF"/>
    <w:rsid w:val="006710B5"/>
    <w:rsid w:val="00673698"/>
    <w:rsid w:val="00673AB8"/>
    <w:rsid w:val="00673D48"/>
    <w:rsid w:val="0067426A"/>
    <w:rsid w:val="00674873"/>
    <w:rsid w:val="006750A3"/>
    <w:rsid w:val="006757D5"/>
    <w:rsid w:val="006818B4"/>
    <w:rsid w:val="00681BBB"/>
    <w:rsid w:val="00681EE8"/>
    <w:rsid w:val="00682BA1"/>
    <w:rsid w:val="0068307E"/>
    <w:rsid w:val="00683376"/>
    <w:rsid w:val="00683BB9"/>
    <w:rsid w:val="00683BF1"/>
    <w:rsid w:val="0068699F"/>
    <w:rsid w:val="006876C5"/>
    <w:rsid w:val="00690E94"/>
    <w:rsid w:val="00690F5C"/>
    <w:rsid w:val="006910B9"/>
    <w:rsid w:val="00692BE2"/>
    <w:rsid w:val="0069356A"/>
    <w:rsid w:val="0069457E"/>
    <w:rsid w:val="00697ECB"/>
    <w:rsid w:val="006A0793"/>
    <w:rsid w:val="006A3036"/>
    <w:rsid w:val="006A5FCC"/>
    <w:rsid w:val="006A6104"/>
    <w:rsid w:val="006A6B50"/>
    <w:rsid w:val="006B0835"/>
    <w:rsid w:val="006B1720"/>
    <w:rsid w:val="006B1AC7"/>
    <w:rsid w:val="006B1C80"/>
    <w:rsid w:val="006B2532"/>
    <w:rsid w:val="006B3EAA"/>
    <w:rsid w:val="006B470D"/>
    <w:rsid w:val="006B5764"/>
    <w:rsid w:val="006B5A7C"/>
    <w:rsid w:val="006B5D7B"/>
    <w:rsid w:val="006C2AEC"/>
    <w:rsid w:val="006C4402"/>
    <w:rsid w:val="006C57BF"/>
    <w:rsid w:val="006C67D6"/>
    <w:rsid w:val="006D0B2A"/>
    <w:rsid w:val="006D26F3"/>
    <w:rsid w:val="006D4828"/>
    <w:rsid w:val="006D595D"/>
    <w:rsid w:val="006D67EA"/>
    <w:rsid w:val="006D7267"/>
    <w:rsid w:val="006D72A4"/>
    <w:rsid w:val="006E0D9A"/>
    <w:rsid w:val="006E1244"/>
    <w:rsid w:val="006E1EB0"/>
    <w:rsid w:val="006E37CA"/>
    <w:rsid w:val="006E3BA2"/>
    <w:rsid w:val="006E5AD8"/>
    <w:rsid w:val="006E5B26"/>
    <w:rsid w:val="006E6661"/>
    <w:rsid w:val="006E6883"/>
    <w:rsid w:val="006E6A08"/>
    <w:rsid w:val="006E6A1F"/>
    <w:rsid w:val="006E6B8E"/>
    <w:rsid w:val="006E7353"/>
    <w:rsid w:val="006E78EF"/>
    <w:rsid w:val="006E7DC3"/>
    <w:rsid w:val="006F0465"/>
    <w:rsid w:val="006F1E5D"/>
    <w:rsid w:val="006F272E"/>
    <w:rsid w:val="006F2AB8"/>
    <w:rsid w:val="006F2F60"/>
    <w:rsid w:val="006F3577"/>
    <w:rsid w:val="006F4491"/>
    <w:rsid w:val="006F6540"/>
    <w:rsid w:val="006F6D3A"/>
    <w:rsid w:val="00702D6E"/>
    <w:rsid w:val="00704A1A"/>
    <w:rsid w:val="00706203"/>
    <w:rsid w:val="00706C7B"/>
    <w:rsid w:val="00706D02"/>
    <w:rsid w:val="007074A9"/>
    <w:rsid w:val="007123F1"/>
    <w:rsid w:val="007135D8"/>
    <w:rsid w:val="00714572"/>
    <w:rsid w:val="0071561B"/>
    <w:rsid w:val="0071562A"/>
    <w:rsid w:val="0072071B"/>
    <w:rsid w:val="007222AB"/>
    <w:rsid w:val="00722B9A"/>
    <w:rsid w:val="00722F25"/>
    <w:rsid w:val="007243A6"/>
    <w:rsid w:val="00726A2F"/>
    <w:rsid w:val="007301AE"/>
    <w:rsid w:val="0073072C"/>
    <w:rsid w:val="0073091E"/>
    <w:rsid w:val="00731F86"/>
    <w:rsid w:val="00732911"/>
    <w:rsid w:val="0073366F"/>
    <w:rsid w:val="00733E67"/>
    <w:rsid w:val="00734453"/>
    <w:rsid w:val="007344BD"/>
    <w:rsid w:val="00734A21"/>
    <w:rsid w:val="00734D17"/>
    <w:rsid w:val="00735790"/>
    <w:rsid w:val="0073584C"/>
    <w:rsid w:val="00737872"/>
    <w:rsid w:val="00737BD1"/>
    <w:rsid w:val="00737CB1"/>
    <w:rsid w:val="00737F75"/>
    <w:rsid w:val="00741810"/>
    <w:rsid w:val="00742921"/>
    <w:rsid w:val="007437A0"/>
    <w:rsid w:val="00744906"/>
    <w:rsid w:val="00745189"/>
    <w:rsid w:val="00746854"/>
    <w:rsid w:val="00746FDE"/>
    <w:rsid w:val="00747402"/>
    <w:rsid w:val="0074797B"/>
    <w:rsid w:val="00747C50"/>
    <w:rsid w:val="007502B3"/>
    <w:rsid w:val="00750DF7"/>
    <w:rsid w:val="007524C4"/>
    <w:rsid w:val="00754862"/>
    <w:rsid w:val="00754CE4"/>
    <w:rsid w:val="00755D6F"/>
    <w:rsid w:val="0075625A"/>
    <w:rsid w:val="00756272"/>
    <w:rsid w:val="00756FEB"/>
    <w:rsid w:val="00757A82"/>
    <w:rsid w:val="0076048B"/>
    <w:rsid w:val="00760B42"/>
    <w:rsid w:val="007611FF"/>
    <w:rsid w:val="00761633"/>
    <w:rsid w:val="00762FD5"/>
    <w:rsid w:val="0076694D"/>
    <w:rsid w:val="00766A5A"/>
    <w:rsid w:val="00766C18"/>
    <w:rsid w:val="00767FE5"/>
    <w:rsid w:val="00770CC3"/>
    <w:rsid w:val="00772376"/>
    <w:rsid w:val="00772C8F"/>
    <w:rsid w:val="00773F15"/>
    <w:rsid w:val="0077412A"/>
    <w:rsid w:val="00774A0C"/>
    <w:rsid w:val="00774A1C"/>
    <w:rsid w:val="00774D7B"/>
    <w:rsid w:val="00774D80"/>
    <w:rsid w:val="00777CA1"/>
    <w:rsid w:val="007813FE"/>
    <w:rsid w:val="00781CE0"/>
    <w:rsid w:val="0078234B"/>
    <w:rsid w:val="0078373D"/>
    <w:rsid w:val="00785FC8"/>
    <w:rsid w:val="00786BA5"/>
    <w:rsid w:val="007877F9"/>
    <w:rsid w:val="00790562"/>
    <w:rsid w:val="0079230B"/>
    <w:rsid w:val="00793094"/>
    <w:rsid w:val="0079384E"/>
    <w:rsid w:val="00793BA3"/>
    <w:rsid w:val="00793E66"/>
    <w:rsid w:val="00794CE3"/>
    <w:rsid w:val="00797367"/>
    <w:rsid w:val="00797412"/>
    <w:rsid w:val="00797587"/>
    <w:rsid w:val="00797CB5"/>
    <w:rsid w:val="007A0F0D"/>
    <w:rsid w:val="007A0FEA"/>
    <w:rsid w:val="007A2F38"/>
    <w:rsid w:val="007A3339"/>
    <w:rsid w:val="007A3CD4"/>
    <w:rsid w:val="007A4A15"/>
    <w:rsid w:val="007A4B78"/>
    <w:rsid w:val="007A5479"/>
    <w:rsid w:val="007A6D8A"/>
    <w:rsid w:val="007A7F3E"/>
    <w:rsid w:val="007B1E57"/>
    <w:rsid w:val="007B2033"/>
    <w:rsid w:val="007B233A"/>
    <w:rsid w:val="007B2C18"/>
    <w:rsid w:val="007B348B"/>
    <w:rsid w:val="007C1638"/>
    <w:rsid w:val="007C1E96"/>
    <w:rsid w:val="007C24DC"/>
    <w:rsid w:val="007C2F58"/>
    <w:rsid w:val="007C4FA5"/>
    <w:rsid w:val="007C4FAD"/>
    <w:rsid w:val="007C4FDB"/>
    <w:rsid w:val="007C5E9D"/>
    <w:rsid w:val="007C6832"/>
    <w:rsid w:val="007C7AE1"/>
    <w:rsid w:val="007D0B83"/>
    <w:rsid w:val="007D14DC"/>
    <w:rsid w:val="007D202F"/>
    <w:rsid w:val="007D2A2D"/>
    <w:rsid w:val="007D31C8"/>
    <w:rsid w:val="007D46FD"/>
    <w:rsid w:val="007D5130"/>
    <w:rsid w:val="007D5355"/>
    <w:rsid w:val="007D5953"/>
    <w:rsid w:val="007E0C52"/>
    <w:rsid w:val="007E24FD"/>
    <w:rsid w:val="007E36FA"/>
    <w:rsid w:val="007E460E"/>
    <w:rsid w:val="007E4F3E"/>
    <w:rsid w:val="007E5BEE"/>
    <w:rsid w:val="007E648A"/>
    <w:rsid w:val="007E6ADE"/>
    <w:rsid w:val="007E7BC8"/>
    <w:rsid w:val="007F022C"/>
    <w:rsid w:val="007F0AD3"/>
    <w:rsid w:val="007F0B62"/>
    <w:rsid w:val="007F105A"/>
    <w:rsid w:val="007F1B4A"/>
    <w:rsid w:val="007F20A3"/>
    <w:rsid w:val="007F2A9B"/>
    <w:rsid w:val="007F2F42"/>
    <w:rsid w:val="007F3429"/>
    <w:rsid w:val="007F38C4"/>
    <w:rsid w:val="007F4985"/>
    <w:rsid w:val="007F4D05"/>
    <w:rsid w:val="007F6962"/>
    <w:rsid w:val="007F6FAE"/>
    <w:rsid w:val="007F7D15"/>
    <w:rsid w:val="008008B7"/>
    <w:rsid w:val="008008EC"/>
    <w:rsid w:val="00801C60"/>
    <w:rsid w:val="00801EAD"/>
    <w:rsid w:val="0080251F"/>
    <w:rsid w:val="008034ED"/>
    <w:rsid w:val="00803C11"/>
    <w:rsid w:val="008043EF"/>
    <w:rsid w:val="0080525F"/>
    <w:rsid w:val="008066A7"/>
    <w:rsid w:val="00807628"/>
    <w:rsid w:val="00811F50"/>
    <w:rsid w:val="008128AC"/>
    <w:rsid w:val="00812F7C"/>
    <w:rsid w:val="00814653"/>
    <w:rsid w:val="00814EF7"/>
    <w:rsid w:val="008154EE"/>
    <w:rsid w:val="00815AD7"/>
    <w:rsid w:val="00816122"/>
    <w:rsid w:val="00816DA1"/>
    <w:rsid w:val="00816F56"/>
    <w:rsid w:val="00816F58"/>
    <w:rsid w:val="008170D2"/>
    <w:rsid w:val="008210FF"/>
    <w:rsid w:val="00821A3B"/>
    <w:rsid w:val="00821E71"/>
    <w:rsid w:val="00823131"/>
    <w:rsid w:val="008239DD"/>
    <w:rsid w:val="00823A7C"/>
    <w:rsid w:val="0082492D"/>
    <w:rsid w:val="008249F1"/>
    <w:rsid w:val="00824DA9"/>
    <w:rsid w:val="00825325"/>
    <w:rsid w:val="00826110"/>
    <w:rsid w:val="008267EA"/>
    <w:rsid w:val="00826C1F"/>
    <w:rsid w:val="00831F70"/>
    <w:rsid w:val="008337B4"/>
    <w:rsid w:val="0083600D"/>
    <w:rsid w:val="00836E64"/>
    <w:rsid w:val="008378F4"/>
    <w:rsid w:val="00837A0E"/>
    <w:rsid w:val="00840061"/>
    <w:rsid w:val="0084022F"/>
    <w:rsid w:val="008407D8"/>
    <w:rsid w:val="00840DCC"/>
    <w:rsid w:val="008429B1"/>
    <w:rsid w:val="008446D0"/>
    <w:rsid w:val="00845101"/>
    <w:rsid w:val="00845FC7"/>
    <w:rsid w:val="008461D6"/>
    <w:rsid w:val="0085064F"/>
    <w:rsid w:val="00850C40"/>
    <w:rsid w:val="00850FD7"/>
    <w:rsid w:val="00851F55"/>
    <w:rsid w:val="008526DE"/>
    <w:rsid w:val="00853131"/>
    <w:rsid w:val="008540E7"/>
    <w:rsid w:val="00854731"/>
    <w:rsid w:val="0085516F"/>
    <w:rsid w:val="00855272"/>
    <w:rsid w:val="00856500"/>
    <w:rsid w:val="0085668A"/>
    <w:rsid w:val="00856DAB"/>
    <w:rsid w:val="00861BDE"/>
    <w:rsid w:val="00864DE6"/>
    <w:rsid w:val="008656AB"/>
    <w:rsid w:val="00865EAF"/>
    <w:rsid w:val="00866B32"/>
    <w:rsid w:val="00867136"/>
    <w:rsid w:val="00870038"/>
    <w:rsid w:val="008705AB"/>
    <w:rsid w:val="00870D0C"/>
    <w:rsid w:val="0087194D"/>
    <w:rsid w:val="00871D32"/>
    <w:rsid w:val="008742B2"/>
    <w:rsid w:val="00875824"/>
    <w:rsid w:val="00876665"/>
    <w:rsid w:val="00876D13"/>
    <w:rsid w:val="00877175"/>
    <w:rsid w:val="0087735A"/>
    <w:rsid w:val="008802F2"/>
    <w:rsid w:val="00881AC0"/>
    <w:rsid w:val="00881D3D"/>
    <w:rsid w:val="008821BA"/>
    <w:rsid w:val="008830E6"/>
    <w:rsid w:val="00883378"/>
    <w:rsid w:val="00883DBC"/>
    <w:rsid w:val="008842C5"/>
    <w:rsid w:val="00885943"/>
    <w:rsid w:val="00886014"/>
    <w:rsid w:val="008909D6"/>
    <w:rsid w:val="00891592"/>
    <w:rsid w:val="00895BF4"/>
    <w:rsid w:val="0089779A"/>
    <w:rsid w:val="00897D89"/>
    <w:rsid w:val="008A07AD"/>
    <w:rsid w:val="008A3D6B"/>
    <w:rsid w:val="008A3DBA"/>
    <w:rsid w:val="008A3F47"/>
    <w:rsid w:val="008A426F"/>
    <w:rsid w:val="008A5035"/>
    <w:rsid w:val="008A54B8"/>
    <w:rsid w:val="008A6F54"/>
    <w:rsid w:val="008A6F55"/>
    <w:rsid w:val="008B2588"/>
    <w:rsid w:val="008B35A8"/>
    <w:rsid w:val="008B6B44"/>
    <w:rsid w:val="008C01DB"/>
    <w:rsid w:val="008C0367"/>
    <w:rsid w:val="008C04AB"/>
    <w:rsid w:val="008C09E4"/>
    <w:rsid w:val="008C13DC"/>
    <w:rsid w:val="008C16C0"/>
    <w:rsid w:val="008C27CF"/>
    <w:rsid w:val="008C2BF6"/>
    <w:rsid w:val="008C481F"/>
    <w:rsid w:val="008C5C2D"/>
    <w:rsid w:val="008C6140"/>
    <w:rsid w:val="008C62C4"/>
    <w:rsid w:val="008C711A"/>
    <w:rsid w:val="008C7AF0"/>
    <w:rsid w:val="008D03E0"/>
    <w:rsid w:val="008D053F"/>
    <w:rsid w:val="008D1E17"/>
    <w:rsid w:val="008D2AD8"/>
    <w:rsid w:val="008D2D42"/>
    <w:rsid w:val="008D3072"/>
    <w:rsid w:val="008D35FD"/>
    <w:rsid w:val="008D5CCE"/>
    <w:rsid w:val="008D6D1F"/>
    <w:rsid w:val="008D73D4"/>
    <w:rsid w:val="008D75D5"/>
    <w:rsid w:val="008D774C"/>
    <w:rsid w:val="008E063A"/>
    <w:rsid w:val="008E117E"/>
    <w:rsid w:val="008E1468"/>
    <w:rsid w:val="008E2EAD"/>
    <w:rsid w:val="008E3015"/>
    <w:rsid w:val="008E4189"/>
    <w:rsid w:val="008E5C85"/>
    <w:rsid w:val="008E65A3"/>
    <w:rsid w:val="008F0AF5"/>
    <w:rsid w:val="008F425A"/>
    <w:rsid w:val="00902EDD"/>
    <w:rsid w:val="0090323D"/>
    <w:rsid w:val="0090407E"/>
    <w:rsid w:val="00904590"/>
    <w:rsid w:val="00904BB0"/>
    <w:rsid w:val="00904D8D"/>
    <w:rsid w:val="009058DC"/>
    <w:rsid w:val="009067CE"/>
    <w:rsid w:val="009069DB"/>
    <w:rsid w:val="009070FD"/>
    <w:rsid w:val="00907EF6"/>
    <w:rsid w:val="0091193A"/>
    <w:rsid w:val="00911E15"/>
    <w:rsid w:val="009134E1"/>
    <w:rsid w:val="009146DF"/>
    <w:rsid w:val="00914935"/>
    <w:rsid w:val="00915202"/>
    <w:rsid w:val="00917C1D"/>
    <w:rsid w:val="00920554"/>
    <w:rsid w:val="009216A1"/>
    <w:rsid w:val="0092200C"/>
    <w:rsid w:val="00925AC8"/>
    <w:rsid w:val="00927FA1"/>
    <w:rsid w:val="009301D5"/>
    <w:rsid w:val="00930DBD"/>
    <w:rsid w:val="00931D25"/>
    <w:rsid w:val="00932304"/>
    <w:rsid w:val="00932968"/>
    <w:rsid w:val="00932C80"/>
    <w:rsid w:val="0093395B"/>
    <w:rsid w:val="00935AF9"/>
    <w:rsid w:val="00937690"/>
    <w:rsid w:val="00937EFD"/>
    <w:rsid w:val="009401DF"/>
    <w:rsid w:val="00940F35"/>
    <w:rsid w:val="0094193F"/>
    <w:rsid w:val="0094367F"/>
    <w:rsid w:val="00943900"/>
    <w:rsid w:val="0094484A"/>
    <w:rsid w:val="009448B5"/>
    <w:rsid w:val="0094553D"/>
    <w:rsid w:val="00945AD1"/>
    <w:rsid w:val="00945C25"/>
    <w:rsid w:val="00946685"/>
    <w:rsid w:val="00946D83"/>
    <w:rsid w:val="00947C8E"/>
    <w:rsid w:val="00947E05"/>
    <w:rsid w:val="00950BCC"/>
    <w:rsid w:val="009515AC"/>
    <w:rsid w:val="0095181A"/>
    <w:rsid w:val="009535D3"/>
    <w:rsid w:val="00954C0F"/>
    <w:rsid w:val="009565EF"/>
    <w:rsid w:val="009571E4"/>
    <w:rsid w:val="00957209"/>
    <w:rsid w:val="00957A8E"/>
    <w:rsid w:val="009604E7"/>
    <w:rsid w:val="00960919"/>
    <w:rsid w:val="00963B00"/>
    <w:rsid w:val="00964BE8"/>
    <w:rsid w:val="00965166"/>
    <w:rsid w:val="00965E48"/>
    <w:rsid w:val="00966155"/>
    <w:rsid w:val="00966170"/>
    <w:rsid w:val="009663C1"/>
    <w:rsid w:val="0096652C"/>
    <w:rsid w:val="00967284"/>
    <w:rsid w:val="00967996"/>
    <w:rsid w:val="00967D19"/>
    <w:rsid w:val="00970F58"/>
    <w:rsid w:val="00970F86"/>
    <w:rsid w:val="00971239"/>
    <w:rsid w:val="0097250D"/>
    <w:rsid w:val="009730C2"/>
    <w:rsid w:val="00974FCD"/>
    <w:rsid w:val="00976683"/>
    <w:rsid w:val="009808F0"/>
    <w:rsid w:val="00980B3B"/>
    <w:rsid w:val="00982569"/>
    <w:rsid w:val="0098396D"/>
    <w:rsid w:val="00985383"/>
    <w:rsid w:val="00985A0F"/>
    <w:rsid w:val="00985C1F"/>
    <w:rsid w:val="00991C19"/>
    <w:rsid w:val="00991CE2"/>
    <w:rsid w:val="00991E3F"/>
    <w:rsid w:val="00992DE4"/>
    <w:rsid w:val="00993FE4"/>
    <w:rsid w:val="00994DC1"/>
    <w:rsid w:val="00994E27"/>
    <w:rsid w:val="009961E9"/>
    <w:rsid w:val="0099793C"/>
    <w:rsid w:val="009A37C6"/>
    <w:rsid w:val="009A3A65"/>
    <w:rsid w:val="009A3B8F"/>
    <w:rsid w:val="009A4B9D"/>
    <w:rsid w:val="009A55E6"/>
    <w:rsid w:val="009A5EEE"/>
    <w:rsid w:val="009A6F1D"/>
    <w:rsid w:val="009A7418"/>
    <w:rsid w:val="009A7ABD"/>
    <w:rsid w:val="009B1562"/>
    <w:rsid w:val="009B23E1"/>
    <w:rsid w:val="009B2C48"/>
    <w:rsid w:val="009B31EF"/>
    <w:rsid w:val="009B4576"/>
    <w:rsid w:val="009B5705"/>
    <w:rsid w:val="009B5BAF"/>
    <w:rsid w:val="009B6375"/>
    <w:rsid w:val="009B6BCD"/>
    <w:rsid w:val="009C0692"/>
    <w:rsid w:val="009C06CC"/>
    <w:rsid w:val="009C0B38"/>
    <w:rsid w:val="009C1E9F"/>
    <w:rsid w:val="009C3943"/>
    <w:rsid w:val="009C5253"/>
    <w:rsid w:val="009C5329"/>
    <w:rsid w:val="009D1897"/>
    <w:rsid w:val="009D1D06"/>
    <w:rsid w:val="009D2E78"/>
    <w:rsid w:val="009D32A7"/>
    <w:rsid w:val="009D44EF"/>
    <w:rsid w:val="009D5BD4"/>
    <w:rsid w:val="009D74E9"/>
    <w:rsid w:val="009D7C79"/>
    <w:rsid w:val="009E3255"/>
    <w:rsid w:val="009E68A4"/>
    <w:rsid w:val="009E71B6"/>
    <w:rsid w:val="009F2135"/>
    <w:rsid w:val="009F27A4"/>
    <w:rsid w:val="009F2BF7"/>
    <w:rsid w:val="009F4110"/>
    <w:rsid w:val="009F63D0"/>
    <w:rsid w:val="009F6522"/>
    <w:rsid w:val="009F67C9"/>
    <w:rsid w:val="009F6902"/>
    <w:rsid w:val="009F742D"/>
    <w:rsid w:val="00A00A95"/>
    <w:rsid w:val="00A00AA9"/>
    <w:rsid w:val="00A02395"/>
    <w:rsid w:val="00A02D38"/>
    <w:rsid w:val="00A02E9C"/>
    <w:rsid w:val="00A03F81"/>
    <w:rsid w:val="00A0408F"/>
    <w:rsid w:val="00A043DE"/>
    <w:rsid w:val="00A054B1"/>
    <w:rsid w:val="00A05D33"/>
    <w:rsid w:val="00A06369"/>
    <w:rsid w:val="00A13E29"/>
    <w:rsid w:val="00A15924"/>
    <w:rsid w:val="00A15C93"/>
    <w:rsid w:val="00A16AF2"/>
    <w:rsid w:val="00A16EE3"/>
    <w:rsid w:val="00A16EF5"/>
    <w:rsid w:val="00A176E8"/>
    <w:rsid w:val="00A17CBF"/>
    <w:rsid w:val="00A21BF1"/>
    <w:rsid w:val="00A22C77"/>
    <w:rsid w:val="00A237EC"/>
    <w:rsid w:val="00A250FF"/>
    <w:rsid w:val="00A27975"/>
    <w:rsid w:val="00A3044F"/>
    <w:rsid w:val="00A30D7D"/>
    <w:rsid w:val="00A30F0F"/>
    <w:rsid w:val="00A31448"/>
    <w:rsid w:val="00A316B7"/>
    <w:rsid w:val="00A31EF3"/>
    <w:rsid w:val="00A33724"/>
    <w:rsid w:val="00A346C4"/>
    <w:rsid w:val="00A346ED"/>
    <w:rsid w:val="00A41112"/>
    <w:rsid w:val="00A41E80"/>
    <w:rsid w:val="00A42066"/>
    <w:rsid w:val="00A43E74"/>
    <w:rsid w:val="00A44840"/>
    <w:rsid w:val="00A46524"/>
    <w:rsid w:val="00A47936"/>
    <w:rsid w:val="00A47E62"/>
    <w:rsid w:val="00A505F0"/>
    <w:rsid w:val="00A507C5"/>
    <w:rsid w:val="00A50F4D"/>
    <w:rsid w:val="00A51ECE"/>
    <w:rsid w:val="00A522D3"/>
    <w:rsid w:val="00A53FB3"/>
    <w:rsid w:val="00A540AA"/>
    <w:rsid w:val="00A54BAF"/>
    <w:rsid w:val="00A55355"/>
    <w:rsid w:val="00A55ED7"/>
    <w:rsid w:val="00A56142"/>
    <w:rsid w:val="00A564E3"/>
    <w:rsid w:val="00A56ECB"/>
    <w:rsid w:val="00A57C05"/>
    <w:rsid w:val="00A57CCE"/>
    <w:rsid w:val="00A57F45"/>
    <w:rsid w:val="00A60388"/>
    <w:rsid w:val="00A610B1"/>
    <w:rsid w:val="00A61423"/>
    <w:rsid w:val="00A62D47"/>
    <w:rsid w:val="00A63509"/>
    <w:rsid w:val="00A63C56"/>
    <w:rsid w:val="00A646FD"/>
    <w:rsid w:val="00A6561E"/>
    <w:rsid w:val="00A65835"/>
    <w:rsid w:val="00A66451"/>
    <w:rsid w:val="00A666F4"/>
    <w:rsid w:val="00A66CCE"/>
    <w:rsid w:val="00A67167"/>
    <w:rsid w:val="00A672AB"/>
    <w:rsid w:val="00A672F5"/>
    <w:rsid w:val="00A708F1"/>
    <w:rsid w:val="00A70D90"/>
    <w:rsid w:val="00A7356C"/>
    <w:rsid w:val="00A74F07"/>
    <w:rsid w:val="00A75BA6"/>
    <w:rsid w:val="00A75F8B"/>
    <w:rsid w:val="00A80890"/>
    <w:rsid w:val="00A85A42"/>
    <w:rsid w:val="00A86BBE"/>
    <w:rsid w:val="00A870F6"/>
    <w:rsid w:val="00A875BD"/>
    <w:rsid w:val="00A877BC"/>
    <w:rsid w:val="00A90BBB"/>
    <w:rsid w:val="00A90DA1"/>
    <w:rsid w:val="00A915E3"/>
    <w:rsid w:val="00A91E70"/>
    <w:rsid w:val="00A938B7"/>
    <w:rsid w:val="00A956EB"/>
    <w:rsid w:val="00A96697"/>
    <w:rsid w:val="00AA37FF"/>
    <w:rsid w:val="00AA483E"/>
    <w:rsid w:val="00AA52A1"/>
    <w:rsid w:val="00AA542C"/>
    <w:rsid w:val="00AA667D"/>
    <w:rsid w:val="00AA6AA1"/>
    <w:rsid w:val="00AA6D11"/>
    <w:rsid w:val="00AA6D44"/>
    <w:rsid w:val="00AA78D9"/>
    <w:rsid w:val="00AA79E0"/>
    <w:rsid w:val="00AB0E6F"/>
    <w:rsid w:val="00AB2685"/>
    <w:rsid w:val="00AB33DE"/>
    <w:rsid w:val="00AB3D83"/>
    <w:rsid w:val="00AB4BB6"/>
    <w:rsid w:val="00AB5643"/>
    <w:rsid w:val="00AB6CF1"/>
    <w:rsid w:val="00AB77EF"/>
    <w:rsid w:val="00AB780D"/>
    <w:rsid w:val="00AC0259"/>
    <w:rsid w:val="00AC06AE"/>
    <w:rsid w:val="00AC0805"/>
    <w:rsid w:val="00AC09D0"/>
    <w:rsid w:val="00AC191E"/>
    <w:rsid w:val="00AC2D72"/>
    <w:rsid w:val="00AC381F"/>
    <w:rsid w:val="00AC4C1E"/>
    <w:rsid w:val="00AC56BF"/>
    <w:rsid w:val="00AC7541"/>
    <w:rsid w:val="00AC78F7"/>
    <w:rsid w:val="00AC7D42"/>
    <w:rsid w:val="00AC7D94"/>
    <w:rsid w:val="00AD0EB8"/>
    <w:rsid w:val="00AD1C72"/>
    <w:rsid w:val="00AD2AE5"/>
    <w:rsid w:val="00AD31ED"/>
    <w:rsid w:val="00AD35F0"/>
    <w:rsid w:val="00AD419C"/>
    <w:rsid w:val="00AD440C"/>
    <w:rsid w:val="00AD4D14"/>
    <w:rsid w:val="00AD5436"/>
    <w:rsid w:val="00AD55F9"/>
    <w:rsid w:val="00AD6888"/>
    <w:rsid w:val="00AD6AFC"/>
    <w:rsid w:val="00AD7C29"/>
    <w:rsid w:val="00AE097D"/>
    <w:rsid w:val="00AE19BC"/>
    <w:rsid w:val="00AE2F7E"/>
    <w:rsid w:val="00AE37E8"/>
    <w:rsid w:val="00AE3DFA"/>
    <w:rsid w:val="00AE3F56"/>
    <w:rsid w:val="00AE4187"/>
    <w:rsid w:val="00AE4652"/>
    <w:rsid w:val="00AE6B99"/>
    <w:rsid w:val="00AE7D6D"/>
    <w:rsid w:val="00AF0282"/>
    <w:rsid w:val="00AF1D3E"/>
    <w:rsid w:val="00AF2DCC"/>
    <w:rsid w:val="00AF3382"/>
    <w:rsid w:val="00AF3A5F"/>
    <w:rsid w:val="00AF3BA0"/>
    <w:rsid w:val="00AF4244"/>
    <w:rsid w:val="00AF496F"/>
    <w:rsid w:val="00AF4A77"/>
    <w:rsid w:val="00B00997"/>
    <w:rsid w:val="00B01255"/>
    <w:rsid w:val="00B017DD"/>
    <w:rsid w:val="00B01D37"/>
    <w:rsid w:val="00B03462"/>
    <w:rsid w:val="00B03630"/>
    <w:rsid w:val="00B036ED"/>
    <w:rsid w:val="00B047B7"/>
    <w:rsid w:val="00B0513E"/>
    <w:rsid w:val="00B055E8"/>
    <w:rsid w:val="00B05803"/>
    <w:rsid w:val="00B0597A"/>
    <w:rsid w:val="00B05D6A"/>
    <w:rsid w:val="00B05DDA"/>
    <w:rsid w:val="00B06254"/>
    <w:rsid w:val="00B0703F"/>
    <w:rsid w:val="00B0708C"/>
    <w:rsid w:val="00B07890"/>
    <w:rsid w:val="00B07BC7"/>
    <w:rsid w:val="00B10646"/>
    <w:rsid w:val="00B11031"/>
    <w:rsid w:val="00B11131"/>
    <w:rsid w:val="00B11EED"/>
    <w:rsid w:val="00B12163"/>
    <w:rsid w:val="00B12412"/>
    <w:rsid w:val="00B1277C"/>
    <w:rsid w:val="00B13DD6"/>
    <w:rsid w:val="00B17140"/>
    <w:rsid w:val="00B1755A"/>
    <w:rsid w:val="00B1759C"/>
    <w:rsid w:val="00B2006E"/>
    <w:rsid w:val="00B2014B"/>
    <w:rsid w:val="00B235B7"/>
    <w:rsid w:val="00B2603F"/>
    <w:rsid w:val="00B27D43"/>
    <w:rsid w:val="00B27D66"/>
    <w:rsid w:val="00B30020"/>
    <w:rsid w:val="00B3029E"/>
    <w:rsid w:val="00B306AD"/>
    <w:rsid w:val="00B306FE"/>
    <w:rsid w:val="00B30D7C"/>
    <w:rsid w:val="00B30FFE"/>
    <w:rsid w:val="00B32C70"/>
    <w:rsid w:val="00B33682"/>
    <w:rsid w:val="00B3664D"/>
    <w:rsid w:val="00B3736D"/>
    <w:rsid w:val="00B376D1"/>
    <w:rsid w:val="00B37954"/>
    <w:rsid w:val="00B37C2B"/>
    <w:rsid w:val="00B37DE6"/>
    <w:rsid w:val="00B402B9"/>
    <w:rsid w:val="00B4061A"/>
    <w:rsid w:val="00B41691"/>
    <w:rsid w:val="00B42F8F"/>
    <w:rsid w:val="00B43166"/>
    <w:rsid w:val="00B439CC"/>
    <w:rsid w:val="00B44113"/>
    <w:rsid w:val="00B44B81"/>
    <w:rsid w:val="00B45AD7"/>
    <w:rsid w:val="00B4629E"/>
    <w:rsid w:val="00B462A3"/>
    <w:rsid w:val="00B478C2"/>
    <w:rsid w:val="00B47959"/>
    <w:rsid w:val="00B50043"/>
    <w:rsid w:val="00B50143"/>
    <w:rsid w:val="00B508F6"/>
    <w:rsid w:val="00B5179C"/>
    <w:rsid w:val="00B5222F"/>
    <w:rsid w:val="00B52361"/>
    <w:rsid w:val="00B52619"/>
    <w:rsid w:val="00B5350B"/>
    <w:rsid w:val="00B54C98"/>
    <w:rsid w:val="00B55B6C"/>
    <w:rsid w:val="00B55FAA"/>
    <w:rsid w:val="00B5674D"/>
    <w:rsid w:val="00B56B05"/>
    <w:rsid w:val="00B60532"/>
    <w:rsid w:val="00B6112A"/>
    <w:rsid w:val="00B615E4"/>
    <w:rsid w:val="00B61626"/>
    <w:rsid w:val="00B618C0"/>
    <w:rsid w:val="00B6364B"/>
    <w:rsid w:val="00B666DA"/>
    <w:rsid w:val="00B67502"/>
    <w:rsid w:val="00B67626"/>
    <w:rsid w:val="00B7099F"/>
    <w:rsid w:val="00B70D52"/>
    <w:rsid w:val="00B71480"/>
    <w:rsid w:val="00B72C21"/>
    <w:rsid w:val="00B72C22"/>
    <w:rsid w:val="00B74288"/>
    <w:rsid w:val="00B7447C"/>
    <w:rsid w:val="00B74E2B"/>
    <w:rsid w:val="00B754CC"/>
    <w:rsid w:val="00B75577"/>
    <w:rsid w:val="00B7771E"/>
    <w:rsid w:val="00B777B1"/>
    <w:rsid w:val="00B824B5"/>
    <w:rsid w:val="00B82C30"/>
    <w:rsid w:val="00B8399A"/>
    <w:rsid w:val="00B842BF"/>
    <w:rsid w:val="00B86D89"/>
    <w:rsid w:val="00B87985"/>
    <w:rsid w:val="00B87D88"/>
    <w:rsid w:val="00B92D96"/>
    <w:rsid w:val="00B9513D"/>
    <w:rsid w:val="00B95C47"/>
    <w:rsid w:val="00B9616A"/>
    <w:rsid w:val="00B975FA"/>
    <w:rsid w:val="00B97C6C"/>
    <w:rsid w:val="00B97E21"/>
    <w:rsid w:val="00BA0914"/>
    <w:rsid w:val="00BA21E9"/>
    <w:rsid w:val="00BA350F"/>
    <w:rsid w:val="00BA36ED"/>
    <w:rsid w:val="00BA3815"/>
    <w:rsid w:val="00BA4689"/>
    <w:rsid w:val="00BA4766"/>
    <w:rsid w:val="00BA4BF8"/>
    <w:rsid w:val="00BB1179"/>
    <w:rsid w:val="00BB4735"/>
    <w:rsid w:val="00BB4D15"/>
    <w:rsid w:val="00BB55DE"/>
    <w:rsid w:val="00BB6F67"/>
    <w:rsid w:val="00BB70AA"/>
    <w:rsid w:val="00BB7F6D"/>
    <w:rsid w:val="00BC04BA"/>
    <w:rsid w:val="00BC17D0"/>
    <w:rsid w:val="00BC2F2F"/>
    <w:rsid w:val="00BC3B25"/>
    <w:rsid w:val="00BC5C60"/>
    <w:rsid w:val="00BC61DC"/>
    <w:rsid w:val="00BC68AA"/>
    <w:rsid w:val="00BD012B"/>
    <w:rsid w:val="00BD09C0"/>
    <w:rsid w:val="00BD1608"/>
    <w:rsid w:val="00BD40D7"/>
    <w:rsid w:val="00BD4CAD"/>
    <w:rsid w:val="00BD5355"/>
    <w:rsid w:val="00BD5B4F"/>
    <w:rsid w:val="00BD5DB4"/>
    <w:rsid w:val="00BD62FD"/>
    <w:rsid w:val="00BD6479"/>
    <w:rsid w:val="00BD66AD"/>
    <w:rsid w:val="00BD7CA2"/>
    <w:rsid w:val="00BE12F6"/>
    <w:rsid w:val="00BE13AB"/>
    <w:rsid w:val="00BE5188"/>
    <w:rsid w:val="00BE57E8"/>
    <w:rsid w:val="00BE7450"/>
    <w:rsid w:val="00BF25E7"/>
    <w:rsid w:val="00BF3248"/>
    <w:rsid w:val="00BF3307"/>
    <w:rsid w:val="00BF3A53"/>
    <w:rsid w:val="00BF3DFD"/>
    <w:rsid w:val="00BF416D"/>
    <w:rsid w:val="00BF4218"/>
    <w:rsid w:val="00BF481A"/>
    <w:rsid w:val="00BF674C"/>
    <w:rsid w:val="00BF79B0"/>
    <w:rsid w:val="00C00A86"/>
    <w:rsid w:val="00C01972"/>
    <w:rsid w:val="00C023C2"/>
    <w:rsid w:val="00C02892"/>
    <w:rsid w:val="00C05F94"/>
    <w:rsid w:val="00C07E98"/>
    <w:rsid w:val="00C104A3"/>
    <w:rsid w:val="00C104D0"/>
    <w:rsid w:val="00C1137D"/>
    <w:rsid w:val="00C115DD"/>
    <w:rsid w:val="00C11E46"/>
    <w:rsid w:val="00C12092"/>
    <w:rsid w:val="00C126F6"/>
    <w:rsid w:val="00C1445A"/>
    <w:rsid w:val="00C15D45"/>
    <w:rsid w:val="00C16B35"/>
    <w:rsid w:val="00C16E3B"/>
    <w:rsid w:val="00C17FEB"/>
    <w:rsid w:val="00C23420"/>
    <w:rsid w:val="00C24243"/>
    <w:rsid w:val="00C24B57"/>
    <w:rsid w:val="00C265C4"/>
    <w:rsid w:val="00C26623"/>
    <w:rsid w:val="00C27145"/>
    <w:rsid w:val="00C272E2"/>
    <w:rsid w:val="00C31CD7"/>
    <w:rsid w:val="00C32425"/>
    <w:rsid w:val="00C32C12"/>
    <w:rsid w:val="00C346EE"/>
    <w:rsid w:val="00C34B37"/>
    <w:rsid w:val="00C357DC"/>
    <w:rsid w:val="00C36151"/>
    <w:rsid w:val="00C3733E"/>
    <w:rsid w:val="00C37A89"/>
    <w:rsid w:val="00C37ECD"/>
    <w:rsid w:val="00C45BCF"/>
    <w:rsid w:val="00C465A6"/>
    <w:rsid w:val="00C46A62"/>
    <w:rsid w:val="00C47F9B"/>
    <w:rsid w:val="00C509EE"/>
    <w:rsid w:val="00C54246"/>
    <w:rsid w:val="00C54A3F"/>
    <w:rsid w:val="00C5668B"/>
    <w:rsid w:val="00C5745C"/>
    <w:rsid w:val="00C61154"/>
    <w:rsid w:val="00C618C3"/>
    <w:rsid w:val="00C63879"/>
    <w:rsid w:val="00C64410"/>
    <w:rsid w:val="00C64B17"/>
    <w:rsid w:val="00C67622"/>
    <w:rsid w:val="00C67866"/>
    <w:rsid w:val="00C67C55"/>
    <w:rsid w:val="00C67F56"/>
    <w:rsid w:val="00C70758"/>
    <w:rsid w:val="00C713E7"/>
    <w:rsid w:val="00C71AED"/>
    <w:rsid w:val="00C736F2"/>
    <w:rsid w:val="00C74CF4"/>
    <w:rsid w:val="00C75F2D"/>
    <w:rsid w:val="00C7626C"/>
    <w:rsid w:val="00C76871"/>
    <w:rsid w:val="00C77055"/>
    <w:rsid w:val="00C77AC4"/>
    <w:rsid w:val="00C81164"/>
    <w:rsid w:val="00C81669"/>
    <w:rsid w:val="00C817D8"/>
    <w:rsid w:val="00C81E38"/>
    <w:rsid w:val="00C84FF3"/>
    <w:rsid w:val="00C85EB2"/>
    <w:rsid w:val="00C8794F"/>
    <w:rsid w:val="00C879CC"/>
    <w:rsid w:val="00C90FE5"/>
    <w:rsid w:val="00C92D66"/>
    <w:rsid w:val="00C9515B"/>
    <w:rsid w:val="00C95173"/>
    <w:rsid w:val="00C96910"/>
    <w:rsid w:val="00C9726E"/>
    <w:rsid w:val="00CA16EA"/>
    <w:rsid w:val="00CA2429"/>
    <w:rsid w:val="00CA24BB"/>
    <w:rsid w:val="00CA2679"/>
    <w:rsid w:val="00CA5AF4"/>
    <w:rsid w:val="00CA5C36"/>
    <w:rsid w:val="00CA67DA"/>
    <w:rsid w:val="00CA6D86"/>
    <w:rsid w:val="00CA702F"/>
    <w:rsid w:val="00CB010F"/>
    <w:rsid w:val="00CB30DA"/>
    <w:rsid w:val="00CB317B"/>
    <w:rsid w:val="00CB337A"/>
    <w:rsid w:val="00CB3B8F"/>
    <w:rsid w:val="00CB464E"/>
    <w:rsid w:val="00CB4A2D"/>
    <w:rsid w:val="00CC0870"/>
    <w:rsid w:val="00CC2054"/>
    <w:rsid w:val="00CC26DF"/>
    <w:rsid w:val="00CC2C24"/>
    <w:rsid w:val="00CC33A9"/>
    <w:rsid w:val="00CC6EEF"/>
    <w:rsid w:val="00CC75AA"/>
    <w:rsid w:val="00CC7972"/>
    <w:rsid w:val="00CD0681"/>
    <w:rsid w:val="00CD0835"/>
    <w:rsid w:val="00CD2F1A"/>
    <w:rsid w:val="00CD3330"/>
    <w:rsid w:val="00CD442B"/>
    <w:rsid w:val="00CD4BE2"/>
    <w:rsid w:val="00CD57B9"/>
    <w:rsid w:val="00CD580E"/>
    <w:rsid w:val="00CD6FBD"/>
    <w:rsid w:val="00CD7D19"/>
    <w:rsid w:val="00CE3565"/>
    <w:rsid w:val="00CE37CF"/>
    <w:rsid w:val="00CE4DC7"/>
    <w:rsid w:val="00CE4E61"/>
    <w:rsid w:val="00CE51A1"/>
    <w:rsid w:val="00CE5B1D"/>
    <w:rsid w:val="00CE6B1D"/>
    <w:rsid w:val="00CF0299"/>
    <w:rsid w:val="00CF06F7"/>
    <w:rsid w:val="00CF1403"/>
    <w:rsid w:val="00CF1A46"/>
    <w:rsid w:val="00CF240A"/>
    <w:rsid w:val="00CF2CC7"/>
    <w:rsid w:val="00CF2FD0"/>
    <w:rsid w:val="00CF6C76"/>
    <w:rsid w:val="00CF7FA9"/>
    <w:rsid w:val="00D0002F"/>
    <w:rsid w:val="00D001F6"/>
    <w:rsid w:val="00D0045C"/>
    <w:rsid w:val="00D009F6"/>
    <w:rsid w:val="00D00F83"/>
    <w:rsid w:val="00D0157E"/>
    <w:rsid w:val="00D01955"/>
    <w:rsid w:val="00D01DA6"/>
    <w:rsid w:val="00D020EB"/>
    <w:rsid w:val="00D029BC"/>
    <w:rsid w:val="00D03807"/>
    <w:rsid w:val="00D03C21"/>
    <w:rsid w:val="00D03D5D"/>
    <w:rsid w:val="00D07C18"/>
    <w:rsid w:val="00D07CAA"/>
    <w:rsid w:val="00D138D3"/>
    <w:rsid w:val="00D167CB"/>
    <w:rsid w:val="00D1681F"/>
    <w:rsid w:val="00D209F1"/>
    <w:rsid w:val="00D20B4F"/>
    <w:rsid w:val="00D21629"/>
    <w:rsid w:val="00D2182A"/>
    <w:rsid w:val="00D2338B"/>
    <w:rsid w:val="00D24D1D"/>
    <w:rsid w:val="00D25EA5"/>
    <w:rsid w:val="00D26D70"/>
    <w:rsid w:val="00D26F52"/>
    <w:rsid w:val="00D27D5C"/>
    <w:rsid w:val="00D33428"/>
    <w:rsid w:val="00D34782"/>
    <w:rsid w:val="00D349BA"/>
    <w:rsid w:val="00D36563"/>
    <w:rsid w:val="00D37FAF"/>
    <w:rsid w:val="00D400D4"/>
    <w:rsid w:val="00D411E1"/>
    <w:rsid w:val="00D42DC6"/>
    <w:rsid w:val="00D42F9C"/>
    <w:rsid w:val="00D4484A"/>
    <w:rsid w:val="00D44BD2"/>
    <w:rsid w:val="00D44DD8"/>
    <w:rsid w:val="00D45B6F"/>
    <w:rsid w:val="00D460B8"/>
    <w:rsid w:val="00D467B6"/>
    <w:rsid w:val="00D46B3E"/>
    <w:rsid w:val="00D4782D"/>
    <w:rsid w:val="00D50476"/>
    <w:rsid w:val="00D5108A"/>
    <w:rsid w:val="00D52383"/>
    <w:rsid w:val="00D53515"/>
    <w:rsid w:val="00D54AA0"/>
    <w:rsid w:val="00D5684F"/>
    <w:rsid w:val="00D571F4"/>
    <w:rsid w:val="00D575BD"/>
    <w:rsid w:val="00D575EB"/>
    <w:rsid w:val="00D5762F"/>
    <w:rsid w:val="00D60597"/>
    <w:rsid w:val="00D61467"/>
    <w:rsid w:val="00D6146B"/>
    <w:rsid w:val="00D62B68"/>
    <w:rsid w:val="00D63E8B"/>
    <w:rsid w:val="00D6436F"/>
    <w:rsid w:val="00D64DCD"/>
    <w:rsid w:val="00D66802"/>
    <w:rsid w:val="00D6709C"/>
    <w:rsid w:val="00D67316"/>
    <w:rsid w:val="00D674F0"/>
    <w:rsid w:val="00D73E03"/>
    <w:rsid w:val="00D741C4"/>
    <w:rsid w:val="00D75B2F"/>
    <w:rsid w:val="00D75CB4"/>
    <w:rsid w:val="00D777F5"/>
    <w:rsid w:val="00D84BD6"/>
    <w:rsid w:val="00D84D8D"/>
    <w:rsid w:val="00D855A8"/>
    <w:rsid w:val="00D86303"/>
    <w:rsid w:val="00D8689C"/>
    <w:rsid w:val="00D86DA9"/>
    <w:rsid w:val="00D87E62"/>
    <w:rsid w:val="00D904C8"/>
    <w:rsid w:val="00D92527"/>
    <w:rsid w:val="00D92852"/>
    <w:rsid w:val="00D95C15"/>
    <w:rsid w:val="00D975C3"/>
    <w:rsid w:val="00D978EA"/>
    <w:rsid w:val="00DA04AF"/>
    <w:rsid w:val="00DA0AFA"/>
    <w:rsid w:val="00DA1155"/>
    <w:rsid w:val="00DA1EC7"/>
    <w:rsid w:val="00DA202C"/>
    <w:rsid w:val="00DA4209"/>
    <w:rsid w:val="00DA44DE"/>
    <w:rsid w:val="00DA4B5E"/>
    <w:rsid w:val="00DA5BB6"/>
    <w:rsid w:val="00DA67B6"/>
    <w:rsid w:val="00DB0B3A"/>
    <w:rsid w:val="00DB0F6C"/>
    <w:rsid w:val="00DB2ADE"/>
    <w:rsid w:val="00DB300C"/>
    <w:rsid w:val="00DB4129"/>
    <w:rsid w:val="00DB5DB1"/>
    <w:rsid w:val="00DB7622"/>
    <w:rsid w:val="00DC006B"/>
    <w:rsid w:val="00DC0434"/>
    <w:rsid w:val="00DC1412"/>
    <w:rsid w:val="00DC18CB"/>
    <w:rsid w:val="00DC1902"/>
    <w:rsid w:val="00DC38DA"/>
    <w:rsid w:val="00DC45FB"/>
    <w:rsid w:val="00DC4672"/>
    <w:rsid w:val="00DC6419"/>
    <w:rsid w:val="00DC769A"/>
    <w:rsid w:val="00DD0450"/>
    <w:rsid w:val="00DD05C7"/>
    <w:rsid w:val="00DD0C96"/>
    <w:rsid w:val="00DD2ED1"/>
    <w:rsid w:val="00DD4240"/>
    <w:rsid w:val="00DD4B4B"/>
    <w:rsid w:val="00DD5CC6"/>
    <w:rsid w:val="00DE01F8"/>
    <w:rsid w:val="00DE0685"/>
    <w:rsid w:val="00DE0F31"/>
    <w:rsid w:val="00DE149E"/>
    <w:rsid w:val="00DE1797"/>
    <w:rsid w:val="00DE2194"/>
    <w:rsid w:val="00DE234E"/>
    <w:rsid w:val="00DE244E"/>
    <w:rsid w:val="00DE3055"/>
    <w:rsid w:val="00DE30C4"/>
    <w:rsid w:val="00DE4D93"/>
    <w:rsid w:val="00DE54F9"/>
    <w:rsid w:val="00DE5CAF"/>
    <w:rsid w:val="00DE6692"/>
    <w:rsid w:val="00DE6CDC"/>
    <w:rsid w:val="00DE714B"/>
    <w:rsid w:val="00DE7AE7"/>
    <w:rsid w:val="00DF0762"/>
    <w:rsid w:val="00DF098C"/>
    <w:rsid w:val="00DF1C46"/>
    <w:rsid w:val="00DF3979"/>
    <w:rsid w:val="00DF3ABE"/>
    <w:rsid w:val="00DF3B6E"/>
    <w:rsid w:val="00DF3C6B"/>
    <w:rsid w:val="00DF4124"/>
    <w:rsid w:val="00DF44BF"/>
    <w:rsid w:val="00DF5EB9"/>
    <w:rsid w:val="00DF60DA"/>
    <w:rsid w:val="00E0158B"/>
    <w:rsid w:val="00E0190D"/>
    <w:rsid w:val="00E0216B"/>
    <w:rsid w:val="00E04784"/>
    <w:rsid w:val="00E04866"/>
    <w:rsid w:val="00E04F5B"/>
    <w:rsid w:val="00E060C2"/>
    <w:rsid w:val="00E06BA4"/>
    <w:rsid w:val="00E07416"/>
    <w:rsid w:val="00E10587"/>
    <w:rsid w:val="00E10BFC"/>
    <w:rsid w:val="00E10C3A"/>
    <w:rsid w:val="00E10F82"/>
    <w:rsid w:val="00E115A7"/>
    <w:rsid w:val="00E12AFC"/>
    <w:rsid w:val="00E15B34"/>
    <w:rsid w:val="00E20155"/>
    <w:rsid w:val="00E217E0"/>
    <w:rsid w:val="00E22EF9"/>
    <w:rsid w:val="00E23656"/>
    <w:rsid w:val="00E2482B"/>
    <w:rsid w:val="00E24E5F"/>
    <w:rsid w:val="00E2555D"/>
    <w:rsid w:val="00E26CF6"/>
    <w:rsid w:val="00E304B7"/>
    <w:rsid w:val="00E319AF"/>
    <w:rsid w:val="00E31E5F"/>
    <w:rsid w:val="00E332F2"/>
    <w:rsid w:val="00E33F6C"/>
    <w:rsid w:val="00E34679"/>
    <w:rsid w:val="00E37A81"/>
    <w:rsid w:val="00E37B78"/>
    <w:rsid w:val="00E40B48"/>
    <w:rsid w:val="00E413EF"/>
    <w:rsid w:val="00E423E7"/>
    <w:rsid w:val="00E425B2"/>
    <w:rsid w:val="00E42824"/>
    <w:rsid w:val="00E42AA0"/>
    <w:rsid w:val="00E42B88"/>
    <w:rsid w:val="00E4329E"/>
    <w:rsid w:val="00E433D1"/>
    <w:rsid w:val="00E4371D"/>
    <w:rsid w:val="00E43D3D"/>
    <w:rsid w:val="00E44A87"/>
    <w:rsid w:val="00E4552E"/>
    <w:rsid w:val="00E45F2B"/>
    <w:rsid w:val="00E45F61"/>
    <w:rsid w:val="00E468D5"/>
    <w:rsid w:val="00E470E1"/>
    <w:rsid w:val="00E4724A"/>
    <w:rsid w:val="00E502EB"/>
    <w:rsid w:val="00E513FC"/>
    <w:rsid w:val="00E5339D"/>
    <w:rsid w:val="00E567DB"/>
    <w:rsid w:val="00E5709F"/>
    <w:rsid w:val="00E60B93"/>
    <w:rsid w:val="00E618B8"/>
    <w:rsid w:val="00E62851"/>
    <w:rsid w:val="00E6347B"/>
    <w:rsid w:val="00E66FF4"/>
    <w:rsid w:val="00E67794"/>
    <w:rsid w:val="00E72EED"/>
    <w:rsid w:val="00E73B31"/>
    <w:rsid w:val="00E752E9"/>
    <w:rsid w:val="00E75EB0"/>
    <w:rsid w:val="00E760AA"/>
    <w:rsid w:val="00E76202"/>
    <w:rsid w:val="00E77AA6"/>
    <w:rsid w:val="00E77D05"/>
    <w:rsid w:val="00E77D47"/>
    <w:rsid w:val="00E8116E"/>
    <w:rsid w:val="00E81B64"/>
    <w:rsid w:val="00E81F9E"/>
    <w:rsid w:val="00E827A9"/>
    <w:rsid w:val="00E82C79"/>
    <w:rsid w:val="00E854EF"/>
    <w:rsid w:val="00E87554"/>
    <w:rsid w:val="00E87BF0"/>
    <w:rsid w:val="00E90C70"/>
    <w:rsid w:val="00E941AB"/>
    <w:rsid w:val="00E979C4"/>
    <w:rsid w:val="00E97E29"/>
    <w:rsid w:val="00EA0AA6"/>
    <w:rsid w:val="00EA0CD3"/>
    <w:rsid w:val="00EA298D"/>
    <w:rsid w:val="00EA2A6F"/>
    <w:rsid w:val="00EA3550"/>
    <w:rsid w:val="00EA493D"/>
    <w:rsid w:val="00EA5367"/>
    <w:rsid w:val="00EA5D0F"/>
    <w:rsid w:val="00EA7314"/>
    <w:rsid w:val="00EB03D8"/>
    <w:rsid w:val="00EB0A30"/>
    <w:rsid w:val="00EB151A"/>
    <w:rsid w:val="00EB2499"/>
    <w:rsid w:val="00EB425F"/>
    <w:rsid w:val="00EB4954"/>
    <w:rsid w:val="00EB5948"/>
    <w:rsid w:val="00EB5962"/>
    <w:rsid w:val="00EB6D5B"/>
    <w:rsid w:val="00EC0087"/>
    <w:rsid w:val="00EC0607"/>
    <w:rsid w:val="00EC26F9"/>
    <w:rsid w:val="00EC3569"/>
    <w:rsid w:val="00EC35F4"/>
    <w:rsid w:val="00EC543F"/>
    <w:rsid w:val="00EC5A2C"/>
    <w:rsid w:val="00EC5ABA"/>
    <w:rsid w:val="00EC5B17"/>
    <w:rsid w:val="00EC5C1B"/>
    <w:rsid w:val="00EC6432"/>
    <w:rsid w:val="00EC6E05"/>
    <w:rsid w:val="00ED02C2"/>
    <w:rsid w:val="00ED03E2"/>
    <w:rsid w:val="00ED1184"/>
    <w:rsid w:val="00ED19AA"/>
    <w:rsid w:val="00ED1E35"/>
    <w:rsid w:val="00ED43AF"/>
    <w:rsid w:val="00ED48F8"/>
    <w:rsid w:val="00ED4C17"/>
    <w:rsid w:val="00EE0790"/>
    <w:rsid w:val="00EE0897"/>
    <w:rsid w:val="00EE0BBF"/>
    <w:rsid w:val="00EE3DB4"/>
    <w:rsid w:val="00EE4636"/>
    <w:rsid w:val="00EE6A29"/>
    <w:rsid w:val="00EE6A46"/>
    <w:rsid w:val="00EE6FAD"/>
    <w:rsid w:val="00EE7678"/>
    <w:rsid w:val="00EE77A6"/>
    <w:rsid w:val="00EE7A53"/>
    <w:rsid w:val="00EF4C56"/>
    <w:rsid w:val="00EF513B"/>
    <w:rsid w:val="00EF5DC9"/>
    <w:rsid w:val="00EF6FC4"/>
    <w:rsid w:val="00EF7C8D"/>
    <w:rsid w:val="00F00A7E"/>
    <w:rsid w:val="00F01FFC"/>
    <w:rsid w:val="00F022A1"/>
    <w:rsid w:val="00F04356"/>
    <w:rsid w:val="00F06E72"/>
    <w:rsid w:val="00F1022F"/>
    <w:rsid w:val="00F1026B"/>
    <w:rsid w:val="00F116EB"/>
    <w:rsid w:val="00F11706"/>
    <w:rsid w:val="00F1191B"/>
    <w:rsid w:val="00F124B3"/>
    <w:rsid w:val="00F168C3"/>
    <w:rsid w:val="00F16C7E"/>
    <w:rsid w:val="00F17DAE"/>
    <w:rsid w:val="00F22162"/>
    <w:rsid w:val="00F235A4"/>
    <w:rsid w:val="00F240A6"/>
    <w:rsid w:val="00F24CEB"/>
    <w:rsid w:val="00F24E1C"/>
    <w:rsid w:val="00F25838"/>
    <w:rsid w:val="00F2621E"/>
    <w:rsid w:val="00F26622"/>
    <w:rsid w:val="00F26C2A"/>
    <w:rsid w:val="00F27D09"/>
    <w:rsid w:val="00F30B75"/>
    <w:rsid w:val="00F31AD8"/>
    <w:rsid w:val="00F32ED1"/>
    <w:rsid w:val="00F331B7"/>
    <w:rsid w:val="00F34477"/>
    <w:rsid w:val="00F347FF"/>
    <w:rsid w:val="00F34AC3"/>
    <w:rsid w:val="00F40133"/>
    <w:rsid w:val="00F40805"/>
    <w:rsid w:val="00F4087E"/>
    <w:rsid w:val="00F4142A"/>
    <w:rsid w:val="00F41BB0"/>
    <w:rsid w:val="00F42191"/>
    <w:rsid w:val="00F42480"/>
    <w:rsid w:val="00F43B8D"/>
    <w:rsid w:val="00F43BE4"/>
    <w:rsid w:val="00F44062"/>
    <w:rsid w:val="00F4422F"/>
    <w:rsid w:val="00F444BA"/>
    <w:rsid w:val="00F456D0"/>
    <w:rsid w:val="00F45AD3"/>
    <w:rsid w:val="00F45B1E"/>
    <w:rsid w:val="00F465D7"/>
    <w:rsid w:val="00F475E7"/>
    <w:rsid w:val="00F504C2"/>
    <w:rsid w:val="00F5152D"/>
    <w:rsid w:val="00F51AF4"/>
    <w:rsid w:val="00F5365A"/>
    <w:rsid w:val="00F53956"/>
    <w:rsid w:val="00F543FA"/>
    <w:rsid w:val="00F55919"/>
    <w:rsid w:val="00F55AED"/>
    <w:rsid w:val="00F55CEB"/>
    <w:rsid w:val="00F55F8D"/>
    <w:rsid w:val="00F572E9"/>
    <w:rsid w:val="00F57B0A"/>
    <w:rsid w:val="00F6027A"/>
    <w:rsid w:val="00F60580"/>
    <w:rsid w:val="00F62EA1"/>
    <w:rsid w:val="00F62F85"/>
    <w:rsid w:val="00F631B0"/>
    <w:rsid w:val="00F6436A"/>
    <w:rsid w:val="00F643FE"/>
    <w:rsid w:val="00F65852"/>
    <w:rsid w:val="00F6692F"/>
    <w:rsid w:val="00F674E8"/>
    <w:rsid w:val="00F67B29"/>
    <w:rsid w:val="00F7026C"/>
    <w:rsid w:val="00F713BB"/>
    <w:rsid w:val="00F718F6"/>
    <w:rsid w:val="00F72CF0"/>
    <w:rsid w:val="00F72E0E"/>
    <w:rsid w:val="00F73791"/>
    <w:rsid w:val="00F75A51"/>
    <w:rsid w:val="00F75CFF"/>
    <w:rsid w:val="00F76243"/>
    <w:rsid w:val="00F80044"/>
    <w:rsid w:val="00F80220"/>
    <w:rsid w:val="00F80F77"/>
    <w:rsid w:val="00F8154D"/>
    <w:rsid w:val="00F81695"/>
    <w:rsid w:val="00F8194E"/>
    <w:rsid w:val="00F81A0E"/>
    <w:rsid w:val="00F82020"/>
    <w:rsid w:val="00F82568"/>
    <w:rsid w:val="00F837F8"/>
    <w:rsid w:val="00F83BD3"/>
    <w:rsid w:val="00F83E6B"/>
    <w:rsid w:val="00F84AE8"/>
    <w:rsid w:val="00F866CA"/>
    <w:rsid w:val="00F86A66"/>
    <w:rsid w:val="00F87CF2"/>
    <w:rsid w:val="00F90041"/>
    <w:rsid w:val="00F91DD8"/>
    <w:rsid w:val="00F93B91"/>
    <w:rsid w:val="00F955B7"/>
    <w:rsid w:val="00F956F1"/>
    <w:rsid w:val="00F96F05"/>
    <w:rsid w:val="00F96F06"/>
    <w:rsid w:val="00F9782F"/>
    <w:rsid w:val="00FA4B45"/>
    <w:rsid w:val="00FA4D7C"/>
    <w:rsid w:val="00FA5A28"/>
    <w:rsid w:val="00FA6059"/>
    <w:rsid w:val="00FA7467"/>
    <w:rsid w:val="00FB1143"/>
    <w:rsid w:val="00FB126B"/>
    <w:rsid w:val="00FB2DB2"/>
    <w:rsid w:val="00FB3416"/>
    <w:rsid w:val="00FB3CC8"/>
    <w:rsid w:val="00FB5C3E"/>
    <w:rsid w:val="00FB6F3E"/>
    <w:rsid w:val="00FB74F3"/>
    <w:rsid w:val="00FB75B9"/>
    <w:rsid w:val="00FC1ADA"/>
    <w:rsid w:val="00FC2A94"/>
    <w:rsid w:val="00FC4BC4"/>
    <w:rsid w:val="00FC5E3F"/>
    <w:rsid w:val="00FC63A3"/>
    <w:rsid w:val="00FC78D2"/>
    <w:rsid w:val="00FD089D"/>
    <w:rsid w:val="00FD1207"/>
    <w:rsid w:val="00FD2193"/>
    <w:rsid w:val="00FD2885"/>
    <w:rsid w:val="00FD2907"/>
    <w:rsid w:val="00FD2D3F"/>
    <w:rsid w:val="00FD4FAD"/>
    <w:rsid w:val="00FD509D"/>
    <w:rsid w:val="00FD6EE0"/>
    <w:rsid w:val="00FD72B7"/>
    <w:rsid w:val="00FE1A22"/>
    <w:rsid w:val="00FE2452"/>
    <w:rsid w:val="00FE27C3"/>
    <w:rsid w:val="00FE28DF"/>
    <w:rsid w:val="00FE2B9B"/>
    <w:rsid w:val="00FE2C6B"/>
    <w:rsid w:val="00FE4B13"/>
    <w:rsid w:val="00FE7E5F"/>
    <w:rsid w:val="00FF0D8F"/>
    <w:rsid w:val="00FF133B"/>
    <w:rsid w:val="00FF13D2"/>
    <w:rsid w:val="00FF2D8D"/>
    <w:rsid w:val="00FF4592"/>
    <w:rsid w:val="00FF517E"/>
    <w:rsid w:val="00FF613C"/>
    <w:rsid w:val="00FF6878"/>
    <w:rsid w:val="00FF6A91"/>
    <w:rsid w:val="00FF6DC4"/>
    <w:rsid w:val="00FF7362"/>
    <w:rsid w:val="07739E49"/>
    <w:rsid w:val="24385933"/>
    <w:rsid w:val="4BEB951E"/>
    <w:rsid w:val="5D409A01"/>
    <w:rsid w:val="72C0F621"/>
    <w:rsid w:val="750091B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D92FDE3F-73AE-416B-9395-56C50AE3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97"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
    <w:lsdException w:name="Quote" w:semiHidden="1" w:uiPriority="15"/>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02F"/>
    <w:pPr>
      <w:widowControl w:val="0"/>
      <w:spacing w:before="160" w:after="160" w:line="360" w:lineRule="atLeast"/>
    </w:pPr>
    <w:rPr>
      <w:rFonts w:ascii="Montserrat" w:hAnsi="Montserrat" w:cs="Poppins"/>
      <w:sz w:val="24"/>
      <w:szCs w:val="24"/>
    </w:rPr>
  </w:style>
  <w:style w:type="paragraph" w:styleId="Heading1">
    <w:name w:val="heading 1"/>
    <w:basedOn w:val="Normal"/>
    <w:next w:val="Normal"/>
    <w:link w:val="Heading1Char"/>
    <w:uiPriority w:val="1"/>
    <w:qFormat/>
    <w:rsid w:val="00D0002F"/>
    <w:pPr>
      <w:widowControl/>
      <w:spacing w:before="0" w:after="100" w:line="520" w:lineRule="atLeast"/>
      <w:outlineLvl w:val="0"/>
    </w:pPr>
    <w:rPr>
      <w:rFonts w:eastAsiaTheme="majorEastAsia" w:cstheme="majorBidi"/>
      <w:b/>
      <w:color w:val="65328F" w:themeColor="accent1"/>
      <w:sz w:val="44"/>
      <w:szCs w:val="32"/>
    </w:rPr>
  </w:style>
  <w:style w:type="paragraph" w:styleId="Heading2">
    <w:name w:val="heading 2"/>
    <w:basedOn w:val="Normal"/>
    <w:next w:val="Normal"/>
    <w:link w:val="Heading2Char"/>
    <w:uiPriority w:val="1"/>
    <w:qFormat/>
    <w:rsid w:val="00D0002F"/>
    <w:pPr>
      <w:widowControl/>
      <w:spacing w:before="100" w:after="100" w:line="480" w:lineRule="atLeast"/>
      <w:outlineLvl w:val="1"/>
    </w:pPr>
    <w:rPr>
      <w:rFonts w:eastAsiaTheme="majorEastAsia" w:cstheme="majorBidi"/>
      <w:b/>
      <w:color w:val="65328F" w:themeColor="accent1"/>
      <w:sz w:val="36"/>
      <w:szCs w:val="26"/>
    </w:rPr>
  </w:style>
  <w:style w:type="paragraph" w:styleId="Heading3">
    <w:name w:val="heading 3"/>
    <w:basedOn w:val="Normal"/>
    <w:next w:val="Normal"/>
    <w:link w:val="Heading3Char"/>
    <w:uiPriority w:val="1"/>
    <w:qFormat/>
    <w:rsid w:val="00D0002F"/>
    <w:pPr>
      <w:keepNext/>
      <w:keepLines/>
      <w:spacing w:before="100" w:after="100" w:line="440" w:lineRule="atLeast"/>
      <w:outlineLvl w:val="2"/>
    </w:pPr>
    <w:rPr>
      <w:rFonts w:eastAsiaTheme="majorEastAsia" w:cstheme="majorBidi"/>
      <w:b/>
      <w:color w:val="65328F" w:themeColor="accent1"/>
      <w:sz w:val="32"/>
    </w:rPr>
  </w:style>
  <w:style w:type="paragraph" w:styleId="Heading4">
    <w:name w:val="heading 4"/>
    <w:basedOn w:val="Normal"/>
    <w:next w:val="Normal"/>
    <w:link w:val="Heading4Char"/>
    <w:uiPriority w:val="1"/>
    <w:qFormat/>
    <w:rsid w:val="00D0002F"/>
    <w:pPr>
      <w:widowControl/>
      <w:spacing w:before="100" w:after="100" w:line="400" w:lineRule="atLeast"/>
      <w:outlineLvl w:val="3"/>
    </w:pPr>
    <w:rPr>
      <w:rFonts w:eastAsiaTheme="majorEastAsia" w:cstheme="majorBidi"/>
      <w:b/>
      <w:iCs/>
      <w:color w:val="65328F" w:themeColor="accent1"/>
      <w:sz w:val="28"/>
    </w:rPr>
  </w:style>
  <w:style w:type="paragraph" w:styleId="Heading5">
    <w:name w:val="heading 5"/>
    <w:basedOn w:val="Normal"/>
    <w:next w:val="Normal"/>
    <w:link w:val="Heading5Char"/>
    <w:uiPriority w:val="1"/>
    <w:qFormat/>
    <w:rsid w:val="00D0002F"/>
    <w:pPr>
      <w:keepNext/>
      <w:keepLines/>
      <w:spacing w:before="100" w:after="100"/>
      <w:outlineLvl w:val="4"/>
    </w:pPr>
    <w:rPr>
      <w:rFonts w:eastAsiaTheme="majorEastAsia" w:cstheme="majorBidi"/>
      <w:b/>
      <w:color w:val="65328F" w:themeColor="accent1"/>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color w:val="65328F" w:themeColor="accent1"/>
    </w:rPr>
  </w:style>
  <w:style w:type="paragraph" w:styleId="Heading7">
    <w:name w:val="heading 7"/>
    <w:basedOn w:val="Normal"/>
    <w:next w:val="Normal"/>
    <w:link w:val="Heading7Char"/>
    <w:uiPriority w:val="2"/>
    <w:semiHidden/>
    <w:qFormat/>
    <w:rsid w:val="00492B9D"/>
    <w:pPr>
      <w:keepNext/>
      <w:keepLines/>
      <w:spacing w:before="0"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914935"/>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pPr>
      <w:spacing w:before="0" w:after="0"/>
    </w:pPr>
    <w:rPr>
      <w:rFonts w:cs="Arial"/>
      <w:lang w:val="en-US"/>
    </w:rPr>
  </w:style>
  <w:style w:type="paragraph" w:styleId="TOC1">
    <w:name w:val="toc 1"/>
    <w:basedOn w:val="Normal"/>
    <w:next w:val="Normal"/>
    <w:uiPriority w:val="39"/>
    <w:rsid w:val="008D03E0"/>
    <w:pPr>
      <w:tabs>
        <w:tab w:val="right" w:leader="dot" w:pos="9866"/>
      </w:tabs>
      <w:ind w:left="737" w:hanging="737"/>
    </w:pPr>
    <w:rPr>
      <w:b/>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2"/>
      </w:numPr>
    </w:pPr>
  </w:style>
  <w:style w:type="numbering" w:styleId="1ai">
    <w:name w:val="Outline List 1"/>
    <w:basedOn w:val="NoList"/>
    <w:uiPriority w:val="99"/>
    <w:semiHidden/>
    <w:unhideWhenUsed/>
    <w:rsid w:val="00914935"/>
    <w:pPr>
      <w:numPr>
        <w:numId w:val="1"/>
      </w:numPr>
    </w:pPr>
  </w:style>
  <w:style w:type="numbering" w:styleId="ArticleSection">
    <w:name w:val="Outline List 3"/>
    <w:basedOn w:val="NoList"/>
    <w:uiPriority w:val="99"/>
    <w:semiHidden/>
    <w:unhideWhenUsed/>
    <w:rsid w:val="00914935"/>
    <w:pPr>
      <w:numPr>
        <w:numId w:val="3"/>
      </w:numPr>
    </w:pPr>
  </w:style>
  <w:style w:type="paragraph" w:styleId="BalloonText">
    <w:name w:val="Balloon Text"/>
    <w:basedOn w:val="Normal"/>
    <w:link w:val="BalloonTextChar"/>
    <w:uiPriority w:val="99"/>
    <w:semiHidden/>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semiHidden/>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914935"/>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semiHidden/>
    <w:rsid w:val="00914935"/>
    <w:rPr>
      <w:b/>
      <w:bCs/>
      <w:smallCaps/>
      <w:spacing w:val="5"/>
    </w:rPr>
  </w:style>
  <w:style w:type="paragraph" w:styleId="Caption">
    <w:name w:val="caption"/>
    <w:basedOn w:val="Normal"/>
    <w:next w:val="Normal"/>
    <w:uiPriority w:val="35"/>
    <w:qFormat/>
    <w:rsid w:val="009E71B6"/>
    <w:pPr>
      <w:widowControl/>
      <w:spacing w:before="240" w:after="120" w:line="280" w:lineRule="atLeast"/>
    </w:pPr>
    <w:rPr>
      <w:b/>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u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u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u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u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u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u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u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u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u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u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u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u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u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u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unhideWhenUsed/>
    <w:rsid w:val="00914935"/>
  </w:style>
  <w:style w:type="character" w:customStyle="1" w:styleId="CommentTextChar">
    <w:name w:val="Comment Text Char"/>
    <w:basedOn w:val="DefaultParagraphFont"/>
    <w:link w:val="CommentText"/>
    <w:uiPriority w:val="99"/>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semiHidden/>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semiHidden/>
    <w:unhideWhenUsed/>
    <w:rsid w:val="00914935"/>
  </w:style>
  <w:style w:type="character" w:customStyle="1" w:styleId="EndnoteTextChar">
    <w:name w:val="Endnote Text Char"/>
    <w:basedOn w:val="DefaultParagraphFont"/>
    <w:link w:val="EndnoteText"/>
    <w:uiPriority w:val="99"/>
    <w:semiHidden/>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uiPriority w:val="37"/>
    <w:rsid w:val="00F347FF"/>
    <w:pPr>
      <w:spacing w:before="0" w:after="0" w:line="240" w:lineRule="atLeast"/>
    </w:pPr>
    <w:rPr>
      <w:color w:val="65328F" w:themeColor="accent1"/>
      <w:sz w:val="20"/>
    </w:rPr>
  </w:style>
  <w:style w:type="character" w:customStyle="1" w:styleId="FooterChar">
    <w:name w:val="Footer Char"/>
    <w:basedOn w:val="DefaultParagraphFont"/>
    <w:link w:val="Footer"/>
    <w:uiPriority w:val="37"/>
    <w:rsid w:val="00F347FF"/>
    <w:rPr>
      <w:color w:val="65328F" w:themeColor="accent1"/>
      <w:sz w:val="20"/>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927FA1"/>
    <w:rPr>
      <w:rFonts w:asciiTheme="minorHAnsi" w:hAnsiTheme="minorHAnsi"/>
      <w:color w:val="65328F" w:themeColor="accent1"/>
      <w:sz w:val="20"/>
      <w:u w:val="none"/>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bCs/>
    </w:rPr>
  </w:style>
  <w:style w:type="character" w:styleId="IntenseEmphasis">
    <w:name w:val="Intense Emphasis"/>
    <w:basedOn w:val="DefaultParagraphFont"/>
    <w:uiPriority w:val="21"/>
    <w:semiHidden/>
    <w:rsid w:val="00914935"/>
    <w:rPr>
      <w:b/>
      <w:bCs/>
      <w:i/>
      <w:iCs/>
      <w:color w:val="65328F" w:themeColor="accent1"/>
    </w:rPr>
  </w:style>
  <w:style w:type="paragraph" w:styleId="IntenseQuote">
    <w:name w:val="Intense Quote"/>
    <w:basedOn w:val="Normal"/>
    <w:next w:val="Normal"/>
    <w:link w:val="IntenseQuoteChar"/>
    <w:uiPriority w:val="30"/>
    <w:semiHidden/>
    <w:rsid w:val="00914935"/>
    <w:pPr>
      <w:pBdr>
        <w:bottom w:val="single" w:sz="4" w:space="4" w:color="65328F" w:themeColor="accent1"/>
      </w:pBdr>
      <w:spacing w:before="200" w:after="280"/>
      <w:ind w:left="936" w:right="936"/>
    </w:pPr>
    <w:rPr>
      <w:b/>
      <w:bCs/>
      <w:i/>
      <w:iCs/>
      <w:color w:val="65328F" w:themeColor="accent1"/>
    </w:rPr>
  </w:style>
  <w:style w:type="character" w:customStyle="1" w:styleId="IntenseQuoteChar">
    <w:name w:val="Intense Quote Char"/>
    <w:basedOn w:val="DefaultParagraphFont"/>
    <w:link w:val="IntenseQuote"/>
    <w:uiPriority w:val="30"/>
    <w:semiHidden/>
    <w:rsid w:val="00914935"/>
    <w:rPr>
      <w:b/>
      <w:bCs/>
      <w:i/>
      <w:iCs/>
      <w:color w:val="65328F" w:themeColor="accent1"/>
      <w:sz w:val="20"/>
    </w:rPr>
  </w:style>
  <w:style w:type="character" w:styleId="IntenseReference">
    <w:name w:val="Intense Reference"/>
    <w:basedOn w:val="DefaultParagraphFont"/>
    <w:uiPriority w:val="32"/>
    <w:semiHidden/>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semiHidden/>
    <w:unhideWhenUsed/>
    <w:rsid w:val="00914935"/>
    <w:pPr>
      <w:numPr>
        <w:numId w:val="17"/>
      </w:numPr>
      <w:tabs>
        <w:tab w:val="num" w:pos="1492"/>
      </w:tabs>
      <w:ind w:left="1492"/>
      <w:contextualSpacing/>
    </w:pPr>
  </w:style>
  <w:style w:type="paragraph" w:styleId="ListBullet5">
    <w:name w:val="List Bullet 5"/>
    <w:basedOn w:val="Normal"/>
    <w:uiPriority w:val="99"/>
    <w:semiHidden/>
    <w:unhideWhenUsed/>
    <w:rsid w:val="00914935"/>
    <w:pPr>
      <w:numPr>
        <w:numId w:val="18"/>
      </w:numPr>
      <w:tabs>
        <w:tab w:val="clear" w:pos="1209"/>
      </w:tabs>
      <w:ind w:left="360"/>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9E71B6"/>
    <w:pPr>
      <w:widowControl/>
      <w:numPr>
        <w:numId w:val="29"/>
      </w:numPr>
      <w:spacing w:before="120" w:after="120"/>
      <w:ind w:left="340" w:hanging="340"/>
    </w:pPr>
    <w:rPr>
      <w:szCs w:val="20"/>
    </w:rPr>
  </w:style>
  <w:style w:type="paragraph" w:styleId="ListNumber2">
    <w:name w:val="List Number 2"/>
    <w:basedOn w:val="Normal"/>
    <w:uiPriority w:val="1"/>
    <w:qFormat/>
    <w:rsid w:val="00096185"/>
    <w:pPr>
      <w:widowControl/>
      <w:numPr>
        <w:numId w:val="34"/>
      </w:numPr>
      <w:spacing w:before="120" w:after="120"/>
      <w:ind w:left="697" w:hanging="357"/>
    </w:pPr>
    <w:rPr>
      <w:szCs w:val="20"/>
    </w:rPr>
  </w:style>
  <w:style w:type="paragraph" w:styleId="ListNumber3">
    <w:name w:val="List Number 3"/>
    <w:basedOn w:val="Normal"/>
    <w:uiPriority w:val="1"/>
    <w:qFormat/>
    <w:rsid w:val="00096185"/>
    <w:pPr>
      <w:widowControl/>
      <w:numPr>
        <w:numId w:val="36"/>
      </w:numPr>
      <w:spacing w:before="120" w:after="120"/>
      <w:ind w:left="1134" w:hanging="283"/>
    </w:pPr>
    <w:rPr>
      <w:szCs w:val="20"/>
    </w:rPr>
  </w:style>
  <w:style w:type="paragraph" w:styleId="ListNumber4">
    <w:name w:val="List Number 4"/>
    <w:basedOn w:val="Normal"/>
    <w:uiPriority w:val="99"/>
    <w:semiHidden/>
    <w:unhideWhenUsed/>
    <w:rsid w:val="00914935"/>
    <w:pPr>
      <w:numPr>
        <w:numId w:val="19"/>
      </w:numPr>
      <w:tabs>
        <w:tab w:val="clear" w:pos="1492"/>
        <w:tab w:val="num" w:pos="1209"/>
      </w:tabs>
      <w:ind w:left="1209"/>
      <w:contextualSpacing/>
    </w:pPr>
  </w:style>
  <w:style w:type="paragraph" w:styleId="ListNumber5">
    <w:name w:val="List Number 5"/>
    <w:basedOn w:val="Normal"/>
    <w:uiPriority w:val="99"/>
    <w:semiHidden/>
    <w:unhideWhenUsed/>
    <w:rsid w:val="00914935"/>
    <w:pPr>
      <w:numPr>
        <w:numId w:val="20"/>
      </w:numPr>
      <w:tabs>
        <w:tab w:val="num" w:pos="1492"/>
      </w:tabs>
      <w:ind w:left="1492" w:hanging="360"/>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Numberedheading1">
    <w:name w:val="Numbered heading 1"/>
    <w:basedOn w:val="Heading1"/>
    <w:autoRedefine/>
    <w:uiPriority w:val="1"/>
    <w:qFormat/>
    <w:rsid w:val="003F5076"/>
    <w:pPr>
      <w:numPr>
        <w:numId w:val="54"/>
      </w:numPr>
      <w:tabs>
        <w:tab w:val="left" w:pos="709"/>
      </w:tabs>
    </w:pPr>
    <w:rPr>
      <w:rFonts w:asciiTheme="minorHAnsi" w:hAnsiTheme="minorHAnsi"/>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qFormat/>
    <w:rsid w:val="00914935"/>
    <w:rPr>
      <w:b/>
      <w:bCs/>
    </w:rPr>
  </w:style>
  <w:style w:type="paragraph" w:styleId="Subtitle">
    <w:name w:val="Subtitle"/>
    <w:basedOn w:val="Normal"/>
    <w:next w:val="Normal"/>
    <w:link w:val="SubtitleChar"/>
    <w:uiPriority w:val="1"/>
    <w:rsid w:val="00D0002F"/>
    <w:pPr>
      <w:numPr>
        <w:ilvl w:val="1"/>
      </w:numPr>
      <w:spacing w:after="120" w:line="400" w:lineRule="atLeast"/>
    </w:pPr>
    <w:rPr>
      <w:rFonts w:eastAsiaTheme="majorEastAsia" w:cstheme="majorBidi"/>
      <w:b/>
      <w:iCs/>
      <w:color w:val="58595B"/>
      <w:spacing w:val="4"/>
      <w:sz w:val="44"/>
      <w:szCs w:val="44"/>
    </w:rPr>
  </w:style>
  <w:style w:type="character" w:customStyle="1" w:styleId="SubtitleChar">
    <w:name w:val="Subtitle Char"/>
    <w:basedOn w:val="DefaultParagraphFont"/>
    <w:link w:val="Subtitle"/>
    <w:uiPriority w:val="1"/>
    <w:rsid w:val="00D0002F"/>
    <w:rPr>
      <w:rFonts w:ascii="Montserrat" w:eastAsiaTheme="majorEastAsia" w:hAnsi="Montserrat" w:cstheme="majorBidi"/>
      <w:b/>
      <w:iCs/>
      <w:color w:val="58595B"/>
      <w:spacing w:val="4"/>
      <w:sz w:val="44"/>
      <w:szCs w:val="44"/>
    </w:rPr>
  </w:style>
  <w:style w:type="character" w:styleId="SubtleEmphasis">
    <w:name w:val="Subtle Emphasis"/>
    <w:basedOn w:val="DefaultParagraphFont"/>
    <w:uiPriority w:val="19"/>
    <w:semiHidden/>
    <w:rsid w:val="00914935"/>
    <w:rPr>
      <w:i/>
      <w:iCs/>
      <w:color w:val="808080" w:themeColor="text1" w:themeTint="7F"/>
    </w:rPr>
  </w:style>
  <w:style w:type="character" w:styleId="SubtleReference">
    <w:name w:val="Subtle Reference"/>
    <w:basedOn w:val="DefaultParagraphFont"/>
    <w:uiPriority w:val="31"/>
    <w:semiHidden/>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semiHidden/>
    <w:rsid w:val="00914935"/>
    <w:pPr>
      <w:widowControl/>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
    <w:qFormat/>
    <w:rsid w:val="00D0002F"/>
    <w:pPr>
      <w:widowControl/>
      <w:spacing w:before="0" w:after="100" w:line="760" w:lineRule="atLeast"/>
    </w:pPr>
    <w:rPr>
      <w:rFonts w:eastAsiaTheme="majorEastAsia" w:cstheme="majorBidi"/>
      <w:b/>
      <w:color w:val="65328F" w:themeColor="accent1"/>
      <w:kern w:val="28"/>
      <w:sz w:val="80"/>
      <w:szCs w:val="80"/>
    </w:rPr>
  </w:style>
  <w:style w:type="character" w:customStyle="1" w:styleId="TitleChar">
    <w:name w:val="Title Char"/>
    <w:basedOn w:val="DefaultParagraphFont"/>
    <w:link w:val="Title"/>
    <w:uiPriority w:val="1"/>
    <w:rsid w:val="00D0002F"/>
    <w:rPr>
      <w:rFonts w:ascii="Montserrat" w:eastAsiaTheme="majorEastAsia" w:hAnsi="Montserrat" w:cstheme="majorBidi"/>
      <w:b/>
      <w:color w:val="65328F" w:themeColor="accent1"/>
      <w:kern w:val="28"/>
      <w:sz w:val="80"/>
      <w:szCs w:val="80"/>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bCs/>
    </w:rPr>
  </w:style>
  <w:style w:type="paragraph" w:styleId="TOC2">
    <w:name w:val="toc 2"/>
    <w:basedOn w:val="Normal"/>
    <w:next w:val="Normal"/>
    <w:uiPriority w:val="39"/>
    <w:rsid w:val="002C79AC"/>
    <w:pPr>
      <w:tabs>
        <w:tab w:val="right" w:leader="dot" w:pos="9866"/>
      </w:tabs>
      <w:ind w:left="567" w:hanging="567"/>
    </w:pPr>
  </w:style>
  <w:style w:type="paragraph" w:styleId="TOC3">
    <w:name w:val="toc 3"/>
    <w:basedOn w:val="Normal"/>
    <w:next w:val="Normal"/>
    <w:uiPriority w:val="39"/>
    <w:rsid w:val="002C79AC"/>
    <w:pPr>
      <w:tabs>
        <w:tab w:val="right" w:leader="dot" w:pos="9866"/>
      </w:tabs>
      <w:ind w:left="170"/>
    </w:pPr>
  </w:style>
  <w:style w:type="paragraph" w:styleId="TOC4">
    <w:name w:val="toc 4"/>
    <w:basedOn w:val="Normal"/>
    <w:next w:val="Normal"/>
    <w:uiPriority w:val="39"/>
    <w:rsid w:val="00914935"/>
    <w:pPr>
      <w:ind w:left="1134" w:hanging="964"/>
    </w:pPr>
    <w:rPr>
      <w:b/>
      <w:color w:val="7F7F7F" w:themeColor="text1" w:themeTint="80"/>
    </w:rPr>
  </w:style>
  <w:style w:type="paragraph" w:styleId="TOC5">
    <w:name w:val="toc 5"/>
    <w:basedOn w:val="Normal"/>
    <w:next w:val="Normal"/>
    <w:uiPriority w:val="39"/>
    <w:rsid w:val="00914935"/>
    <w:pPr>
      <w:ind w:left="340"/>
    </w:pPr>
    <w:rPr>
      <w:b/>
      <w:color w:val="7F7F7F" w:themeColor="text1" w:themeTint="80"/>
    </w:rPr>
  </w:style>
  <w:style w:type="paragraph" w:styleId="TOC6">
    <w:name w:val="toc 6"/>
    <w:basedOn w:val="Normal"/>
    <w:next w:val="Normal"/>
    <w:uiPriority w:val="39"/>
    <w:rsid w:val="00914935"/>
    <w:pPr>
      <w:ind w:left="1304" w:hanging="964"/>
    </w:pPr>
    <w:rPr>
      <w:b/>
      <w:color w:val="7F7F7F" w:themeColor="text1" w:themeTint="80"/>
    </w:rPr>
  </w:style>
  <w:style w:type="paragraph" w:styleId="TOC7">
    <w:name w:val="toc 7"/>
    <w:basedOn w:val="Normal"/>
    <w:next w:val="Normal"/>
    <w:autoRedefine/>
    <w:uiPriority w:val="39"/>
    <w:rsid w:val="00914935"/>
    <w:rPr>
      <w:b/>
      <w:color w:val="7F7F7F" w:themeColor="text1" w:themeTint="80"/>
    </w:rPr>
  </w:style>
  <w:style w:type="paragraph" w:styleId="TOC8">
    <w:name w:val="toc 8"/>
    <w:basedOn w:val="Normal"/>
    <w:next w:val="Normal"/>
    <w:autoRedefine/>
    <w:uiPriority w:val="39"/>
    <w:rsid w:val="00914935"/>
    <w:pPr>
      <w:spacing w:after="100"/>
      <w:ind w:left="1680"/>
    </w:pPr>
  </w:style>
  <w:style w:type="paragraph" w:styleId="TOC9">
    <w:name w:val="toc 9"/>
    <w:basedOn w:val="Normal"/>
    <w:next w:val="Normal"/>
    <w:autoRedefine/>
    <w:uiPriority w:val="39"/>
    <w:rsid w:val="00914935"/>
    <w:pPr>
      <w:spacing w:after="100"/>
      <w:ind w:left="1920"/>
    </w:pPr>
  </w:style>
  <w:style w:type="paragraph" w:styleId="TOCHeading">
    <w:name w:val="TOC Heading"/>
    <w:basedOn w:val="Normal"/>
    <w:next w:val="Normal"/>
    <w:uiPriority w:val="39"/>
    <w:qFormat/>
    <w:rsid w:val="00927FA1"/>
    <w:pPr>
      <w:pageBreakBefore/>
      <w:spacing w:before="0" w:after="480" w:line="400" w:lineRule="atLeast"/>
    </w:pPr>
    <w:rPr>
      <w:rFonts w:asciiTheme="majorHAnsi" w:hAnsiTheme="majorHAnsi"/>
      <w:color w:val="FFFFFF" w:themeColor="background2"/>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uiPriority w:val="2"/>
    <w:qFormat/>
    <w:rsid w:val="00927FA1"/>
    <w:pPr>
      <w:widowControl/>
      <w:spacing w:before="60" w:after="60" w:line="280" w:lineRule="atLeast"/>
    </w:pPr>
    <w:rPr>
      <w:b/>
      <w:sz w:val="20"/>
    </w:rPr>
  </w:style>
  <w:style w:type="paragraph" w:customStyle="1" w:styleId="TableText">
    <w:name w:val="Table Text"/>
    <w:basedOn w:val="TableHeading"/>
    <w:uiPriority w:val="2"/>
    <w:qFormat/>
    <w:rsid w:val="001F3913"/>
    <w:rPr>
      <w:b w:val="0"/>
    </w:rPr>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D0002F"/>
    <w:rPr>
      <w:rFonts w:ascii="Montserrat" w:eastAsiaTheme="majorEastAsia" w:hAnsi="Montserrat" w:cstheme="majorBidi"/>
      <w:b/>
      <w:iCs/>
      <w:color w:val="65328F" w:themeColor="accent1"/>
      <w:sz w:val="28"/>
      <w:szCs w:val="24"/>
    </w:rPr>
  </w:style>
  <w:style w:type="character" w:customStyle="1" w:styleId="Heading5Char">
    <w:name w:val="Heading 5 Char"/>
    <w:basedOn w:val="DefaultParagraphFont"/>
    <w:link w:val="Heading5"/>
    <w:uiPriority w:val="1"/>
    <w:rsid w:val="00D0002F"/>
    <w:rPr>
      <w:rFonts w:ascii="Montserrat" w:eastAsiaTheme="majorEastAsia" w:hAnsi="Montserrat" w:cstheme="majorBidi"/>
      <w:b/>
      <w:color w:val="65328F" w:themeColor="accent1"/>
      <w:sz w:val="24"/>
      <w:szCs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1"/>
    <w:rsid w:val="00D0002F"/>
    <w:rPr>
      <w:rFonts w:ascii="Montserrat" w:eastAsiaTheme="majorEastAsia" w:hAnsi="Montserrat" w:cstheme="majorBidi"/>
      <w:b/>
      <w:color w:val="65328F" w:themeColor="accent1"/>
      <w:sz w:val="44"/>
      <w:szCs w:val="32"/>
    </w:rPr>
  </w:style>
  <w:style w:type="character" w:customStyle="1" w:styleId="Heading2Char">
    <w:name w:val="Heading 2 Char"/>
    <w:basedOn w:val="DefaultParagraphFont"/>
    <w:link w:val="Heading2"/>
    <w:uiPriority w:val="1"/>
    <w:rsid w:val="00D0002F"/>
    <w:rPr>
      <w:rFonts w:ascii="Montserrat" w:eastAsiaTheme="majorEastAsia" w:hAnsi="Montserrat" w:cstheme="majorBidi"/>
      <w:b/>
      <w:color w:val="65328F" w:themeColor="accent1"/>
      <w:sz w:val="36"/>
      <w:szCs w:val="26"/>
    </w:rPr>
  </w:style>
  <w:style w:type="character" w:customStyle="1" w:styleId="Heading3Char">
    <w:name w:val="Heading 3 Char"/>
    <w:basedOn w:val="DefaultParagraphFont"/>
    <w:link w:val="Heading3"/>
    <w:uiPriority w:val="1"/>
    <w:rsid w:val="00D0002F"/>
    <w:rPr>
      <w:rFonts w:ascii="Montserrat" w:eastAsiaTheme="majorEastAsia" w:hAnsi="Montserrat" w:cstheme="majorBidi"/>
      <w:b/>
      <w:color w:val="65328F" w:themeColor="accent1"/>
      <w:sz w:val="32"/>
      <w:szCs w:val="24"/>
    </w:rPr>
  </w:style>
  <w:style w:type="paragraph" w:customStyle="1" w:styleId="TableBullet1">
    <w:name w:val="Table Bullet 1"/>
    <w:basedOn w:val="TableText"/>
    <w:uiPriority w:val="3"/>
    <w:semiHidden/>
    <w:qFormat/>
    <w:rsid w:val="00914935"/>
    <w:pPr>
      <w:numPr>
        <w:numId w:val="21"/>
      </w:numPr>
      <w:adjustRightInd w:val="0"/>
      <w:snapToGrid w:val="0"/>
      <w:ind w:left="340" w:hanging="340"/>
    </w:pPr>
    <w:rPr>
      <w:rFonts w:eastAsia="MS Mincho"/>
      <w:szCs w:val="20"/>
    </w:rPr>
  </w:style>
  <w:style w:type="numbering" w:customStyle="1" w:styleId="HeadingList">
    <w:name w:val="Heading List"/>
    <w:uiPriority w:val="99"/>
    <w:rsid w:val="00914935"/>
    <w:pPr>
      <w:numPr>
        <w:numId w:val="4"/>
      </w:numPr>
    </w:pPr>
  </w:style>
  <w:style w:type="paragraph" w:customStyle="1" w:styleId="TableBullet">
    <w:name w:val="Table Bullet"/>
    <w:basedOn w:val="TableText"/>
    <w:autoRedefine/>
    <w:uiPriority w:val="2"/>
    <w:qFormat/>
    <w:rsid w:val="000310F0"/>
    <w:pPr>
      <w:numPr>
        <w:numId w:val="22"/>
      </w:numPr>
      <w:spacing w:line="200" w:lineRule="atLeast"/>
      <w:ind w:left="227" w:hanging="227"/>
    </w:pPr>
    <w:rPr>
      <w:bCs/>
    </w:rPr>
  </w:style>
  <w:style w:type="character" w:styleId="Mention">
    <w:name w:val="Mention"/>
    <w:basedOn w:val="DefaultParagraphFont"/>
    <w:uiPriority w:val="99"/>
    <w:semiHidden/>
    <w:unhideWhenUsed/>
    <w:rsid w:val="00914935"/>
    <w:rPr>
      <w:color w:val="2B579A"/>
      <w:shd w:val="clear" w:color="auto" w:fill="E6E6E6"/>
    </w:rPr>
  </w:style>
  <w:style w:type="numbering" w:customStyle="1" w:styleId="BulletLists">
    <w:name w:val="Bullet Lists"/>
    <w:uiPriority w:val="99"/>
    <w:rsid w:val="00914935"/>
    <w:pPr>
      <w:numPr>
        <w:numId w:val="5"/>
      </w:numPr>
    </w:pPr>
  </w:style>
  <w:style w:type="paragraph" w:styleId="ListBullet">
    <w:name w:val="List Bullet"/>
    <w:basedOn w:val="Normal"/>
    <w:uiPriority w:val="1"/>
    <w:qFormat/>
    <w:rsid w:val="006876C5"/>
    <w:pPr>
      <w:numPr>
        <w:numId w:val="32"/>
      </w:numPr>
      <w:tabs>
        <w:tab w:val="num" w:pos="720"/>
      </w:tabs>
      <w:spacing w:before="120" w:after="120"/>
    </w:pPr>
  </w:style>
  <w:style w:type="paragraph" w:styleId="ListBullet2">
    <w:name w:val="List Bullet 2"/>
    <w:basedOn w:val="Normal"/>
    <w:uiPriority w:val="1"/>
    <w:qFormat/>
    <w:rsid w:val="00096185"/>
    <w:pPr>
      <w:numPr>
        <w:numId w:val="30"/>
      </w:numPr>
      <w:tabs>
        <w:tab w:val="num" w:pos="1440"/>
      </w:tabs>
      <w:spacing w:before="120" w:after="120"/>
      <w:ind w:left="697" w:hanging="357"/>
    </w:pPr>
  </w:style>
  <w:style w:type="paragraph" w:styleId="ListBullet3">
    <w:name w:val="List Bullet 3"/>
    <w:basedOn w:val="Normal"/>
    <w:uiPriority w:val="1"/>
    <w:qFormat/>
    <w:rsid w:val="00096185"/>
    <w:pPr>
      <w:numPr>
        <w:numId w:val="31"/>
      </w:numPr>
      <w:tabs>
        <w:tab w:val="num" w:pos="2160"/>
      </w:tabs>
      <w:spacing w:before="120" w:after="120"/>
      <w:ind w:left="1037" w:hanging="357"/>
    </w:pPr>
  </w:style>
  <w:style w:type="numbering" w:customStyle="1" w:styleId="Bullets">
    <w:name w:val="Bullets"/>
    <w:uiPriority w:val="99"/>
    <w:rsid w:val="00914935"/>
    <w:pPr>
      <w:numPr>
        <w:numId w:val="6"/>
      </w:numPr>
    </w:pPr>
  </w:style>
  <w:style w:type="numbering" w:customStyle="1" w:styleId="Numbers">
    <w:name w:val="Numbers"/>
    <w:uiPriority w:val="99"/>
    <w:rsid w:val="00927FA1"/>
    <w:pPr>
      <w:numPr>
        <w:numId w:val="7"/>
      </w:numPr>
    </w:pPr>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Numberedheading2">
    <w:name w:val="Numbered heading 2"/>
    <w:basedOn w:val="Heading2"/>
    <w:autoRedefine/>
    <w:uiPriority w:val="1"/>
    <w:qFormat/>
    <w:rsid w:val="00807628"/>
    <w:pPr>
      <w:numPr>
        <w:ilvl w:val="1"/>
        <w:numId w:val="54"/>
      </w:numPr>
    </w:p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
    <w:name w:val="Numbered Headings"/>
    <w:uiPriority w:val="99"/>
    <w:rsid w:val="00914935"/>
    <w:pPr>
      <w:numPr>
        <w:numId w:val="8"/>
      </w:numPr>
    </w:pPr>
  </w:style>
  <w:style w:type="paragraph" w:customStyle="1" w:styleId="DocType">
    <w:name w:val="Doc Type"/>
    <w:basedOn w:val="Title"/>
    <w:semiHidden/>
    <w:qFormat/>
    <w:rsid w:val="00914935"/>
    <w:rPr>
      <w:b w:val="0"/>
    </w:rPr>
  </w:style>
  <w:style w:type="paragraph" w:customStyle="1" w:styleId="Numberedheading3">
    <w:name w:val="Numbered heading 3"/>
    <w:basedOn w:val="Heading3"/>
    <w:autoRedefine/>
    <w:qFormat/>
    <w:rsid w:val="00EC543F"/>
    <w:pPr>
      <w:numPr>
        <w:ilvl w:val="2"/>
        <w:numId w:val="54"/>
      </w:numPr>
    </w:pPr>
  </w:style>
  <w:style w:type="numbering" w:customStyle="1" w:styleId="NumberedHeadings0">
    <w:name w:val="NumberedHeadings"/>
    <w:uiPriority w:val="99"/>
    <w:rsid w:val="00914935"/>
    <w:pPr>
      <w:numPr>
        <w:numId w:val="9"/>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914935"/>
  </w:style>
  <w:style w:type="paragraph" w:customStyle="1" w:styleId="TableCaption">
    <w:name w:val="Table Caption"/>
    <w:basedOn w:val="FigureCaption"/>
    <w:uiPriority w:val="3"/>
    <w:qFormat/>
    <w:rsid w:val="00914935"/>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15"/>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before="0"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10"/>
      </w:numPr>
    </w:pPr>
  </w:style>
  <w:style w:type="paragraph" w:customStyle="1" w:styleId="AppendixSubheading2">
    <w:name w:val="Appendix Subheading 2"/>
    <w:basedOn w:val="Normal"/>
    <w:uiPriority w:val="2"/>
    <w:semiHidden/>
    <w:qFormat/>
    <w:rsid w:val="00914935"/>
    <w:pPr>
      <w:spacing w:before="40" w:after="0"/>
    </w:pPr>
    <w:rPr>
      <w:rFonts w:asciiTheme="majorHAnsi" w:hAnsiTheme="majorHAnsi"/>
      <w:color w:val="65328F" w:themeColor="accent1"/>
      <w:sz w:val="28"/>
      <w:lang w:eastAsia="en-GB"/>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914935"/>
    <w:pPr>
      <w:keepLines/>
      <w:widowControl/>
      <w:adjustRightInd w:val="0"/>
      <w:snapToGrid w:val="0"/>
      <w:spacing w:before="40" w:after="0"/>
    </w:pPr>
    <w:rPr>
      <w:rFonts w:ascii="Calibri" w:eastAsia="SimSun" w:hAnsi="Calibri"/>
      <w:color w:val="D83D0E" w:themeColor="accent2"/>
      <w:sz w:val="32"/>
      <w:lang w:eastAsia="en-GB"/>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2"/>
      </w:numPr>
    </w:pPr>
  </w:style>
  <w:style w:type="paragraph" w:customStyle="1" w:styleId="BoxHeading1">
    <w:name w:val="Box Heading 1"/>
    <w:basedOn w:val="TableText"/>
    <w:uiPriority w:val="4"/>
    <w:semiHidden/>
    <w:qFormat/>
    <w:rsid w:val="00914935"/>
    <w:rPr>
      <w:b/>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numPr>
        <w:numId w:val="23"/>
      </w:numPr>
      <w:spacing w:line="200" w:lineRule="atLeast"/>
      <w:ind w:left="720" w:hanging="360"/>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numPr>
        <w:numId w:val="24"/>
      </w:numPr>
      <w:spacing w:line="200" w:lineRule="atLeast"/>
      <w:ind w:left="644" w:hanging="360"/>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spacing w:line="200" w:lineRule="atLeast"/>
      <w:ind w:left="284" w:hanging="284"/>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3"/>
      </w:numPr>
    </w:pPr>
  </w:style>
  <w:style w:type="numbering" w:customStyle="1" w:styleId="BoxListNumbers">
    <w:name w:val="Box List Numbers"/>
    <w:uiPriority w:val="99"/>
    <w:rsid w:val="00914935"/>
    <w:pPr>
      <w:numPr>
        <w:numId w:val="14"/>
      </w:numPr>
    </w:pPr>
  </w:style>
  <w:style w:type="paragraph" w:styleId="BodyText">
    <w:name w:val="Body Text"/>
    <w:basedOn w:val="Normal"/>
    <w:link w:val="BodyTextChar"/>
    <w:semiHidden/>
    <w:qFormat/>
    <w:rsid w:val="00914935"/>
  </w:style>
  <w:style w:type="character" w:customStyle="1" w:styleId="BodyTextChar">
    <w:name w:val="Body Text Char"/>
    <w:basedOn w:val="DefaultParagraphFont"/>
    <w:link w:val="BodyText"/>
    <w:semiHidden/>
    <w:rsid w:val="00914935"/>
    <w:rPr>
      <w:color w:val="404040" w:themeColor="text2"/>
      <w:sz w:val="20"/>
    </w:rPr>
  </w:style>
  <w:style w:type="paragraph" w:customStyle="1" w:styleId="NumberedBullet">
    <w:name w:val="Numbered Bullet"/>
    <w:basedOn w:val="Normal"/>
    <w:uiPriority w:val="2"/>
    <w:semiHidden/>
    <w:qFormat/>
    <w:rsid w:val="00914935"/>
    <w:pPr>
      <w:numPr>
        <w:numId w:val="25"/>
      </w:numPr>
      <w:ind w:left="425" w:hanging="425"/>
    </w:pPr>
  </w:style>
  <w:style w:type="paragraph" w:customStyle="1" w:styleId="NumberedBullet2">
    <w:name w:val="Numbered Bullet 2"/>
    <w:basedOn w:val="Normal"/>
    <w:uiPriority w:val="2"/>
    <w:semiHidden/>
    <w:qFormat/>
    <w:rsid w:val="00914935"/>
    <w:pPr>
      <w:numPr>
        <w:ilvl w:val="1"/>
        <w:numId w:val="25"/>
      </w:numPr>
      <w:ind w:left="851" w:hanging="426"/>
    </w:pPr>
  </w:style>
  <w:style w:type="paragraph" w:customStyle="1" w:styleId="NumberedBullet3">
    <w:name w:val="Numbered Bullet 3"/>
    <w:basedOn w:val="Normal"/>
    <w:uiPriority w:val="2"/>
    <w:semiHidden/>
    <w:qFormat/>
    <w:rsid w:val="00914935"/>
    <w:pPr>
      <w:numPr>
        <w:ilvl w:val="2"/>
        <w:numId w:val="25"/>
      </w:numPr>
      <w:ind w:left="1276" w:hanging="425"/>
    </w:pPr>
  </w:style>
  <w:style w:type="numbering" w:customStyle="1" w:styleId="NumberedBulletStyle">
    <w:name w:val="Numbered Bullet Style"/>
    <w:uiPriority w:val="99"/>
    <w:rsid w:val="00914935"/>
    <w:pPr>
      <w:numPr>
        <w:numId w:val="15"/>
      </w:numPr>
    </w:pPr>
  </w:style>
  <w:style w:type="paragraph" w:customStyle="1" w:styleId="BodyTextNumbered">
    <w:name w:val="Body Text Numbered"/>
    <w:basedOn w:val="Normal"/>
    <w:uiPriority w:val="2"/>
    <w:semiHidden/>
    <w:qFormat/>
    <w:rsid w:val="00914935"/>
    <w:pPr>
      <w:numPr>
        <w:numId w:val="26"/>
      </w:numPr>
      <w:ind w:left="425" w:hanging="425"/>
    </w:pPr>
  </w:style>
  <w:style w:type="paragraph" w:customStyle="1" w:styleId="BodyTextNumbered2">
    <w:name w:val="Body Text Numbered 2"/>
    <w:basedOn w:val="Normal"/>
    <w:uiPriority w:val="2"/>
    <w:semiHidden/>
    <w:qFormat/>
    <w:rsid w:val="00914935"/>
    <w:pPr>
      <w:numPr>
        <w:ilvl w:val="1"/>
        <w:numId w:val="26"/>
      </w:numPr>
      <w:ind w:left="851" w:hanging="426"/>
    </w:pPr>
  </w:style>
  <w:style w:type="paragraph" w:customStyle="1" w:styleId="BodyTextNumbered3">
    <w:name w:val="Body Text Numbered 3"/>
    <w:basedOn w:val="Normal"/>
    <w:uiPriority w:val="2"/>
    <w:semiHidden/>
    <w:qFormat/>
    <w:rsid w:val="00914935"/>
    <w:pPr>
      <w:numPr>
        <w:ilvl w:val="2"/>
        <w:numId w:val="26"/>
      </w:numPr>
      <w:ind w:left="1276" w:hanging="425"/>
    </w:pPr>
  </w:style>
  <w:style w:type="numbering" w:customStyle="1" w:styleId="BodyTextnumberedStyles">
    <w:name w:val="Body Text numbered Styles"/>
    <w:uiPriority w:val="99"/>
    <w:rsid w:val="00914935"/>
    <w:pPr>
      <w:numPr>
        <w:numId w:val="16"/>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rPr>
      <w:lang w:eastAsia="en-GB"/>
    </w:rPr>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before="0" w:after="0" w:line="440" w:lineRule="atLeast"/>
    </w:pPr>
    <w:rPr>
      <w:rFonts w:asciiTheme="majorHAnsi" w:hAnsiTheme="majorHAnsi"/>
      <w:b/>
      <w:caps/>
      <w:color w:val="FFFFFF" w:themeColor="background2"/>
      <w:sz w:val="40"/>
    </w:rPr>
  </w:style>
  <w:style w:type="paragraph" w:customStyle="1" w:styleId="ChapterSubheading">
    <w:name w:val="Chapter Subheading"/>
    <w:basedOn w:val="Normal"/>
    <w:semiHidden/>
    <w:qFormat/>
    <w:rsid w:val="00914935"/>
    <w:pPr>
      <w:spacing w:before="0"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tabs>
        <w:tab w:val="num" w:pos="720"/>
      </w:tabs>
      <w:spacing w:after="0" w:line="360" w:lineRule="atLeast"/>
      <w:ind w:left="567" w:hanging="567"/>
    </w:pPr>
    <w:rPr>
      <w:rFonts w:ascii="Univers" w:hAnsi="Univers"/>
      <w:caps/>
      <w:sz w:val="36"/>
    </w:rPr>
  </w:style>
  <w:style w:type="paragraph" w:customStyle="1" w:styleId="AppendixHeading">
    <w:name w:val="Appendix Heading"/>
    <w:basedOn w:val="Normal"/>
    <w:next w:val="Normal"/>
    <w:uiPriority w:val="49"/>
    <w:semiHidden/>
    <w:qFormat/>
    <w:rsid w:val="00927FA1"/>
    <w:pPr>
      <w:widowControl/>
      <w:numPr>
        <w:numId w:val="27"/>
      </w:numPr>
      <w:spacing w:before="0" w:line="400" w:lineRule="atLeast"/>
      <w:ind w:left="851" w:hanging="851"/>
    </w:pPr>
    <w:rPr>
      <w:rFonts w:asciiTheme="majorHAnsi" w:hAnsiTheme="majorHAnsi"/>
      <w:b/>
      <w:color w:val="FFFFFF" w:themeColor="background2"/>
      <w:sz w:val="36"/>
    </w:rPr>
  </w:style>
  <w:style w:type="numbering" w:customStyle="1" w:styleId="ObjectiveHeading">
    <w:name w:val="ObjectiveHeading"/>
    <w:uiPriority w:val="99"/>
    <w:rsid w:val="00CF1403"/>
    <w:pPr>
      <w:numPr>
        <w:numId w:val="24"/>
      </w:numPr>
    </w:pPr>
  </w:style>
  <w:style w:type="paragraph" w:customStyle="1" w:styleId="IntroParagraph">
    <w:name w:val="Intro Paragraph"/>
    <w:basedOn w:val="Normal"/>
    <w:uiPriority w:val="4"/>
    <w:qFormat/>
    <w:rsid w:val="00B06254"/>
    <w:pPr>
      <w:spacing w:before="120" w:line="400" w:lineRule="atLeast"/>
    </w:pPr>
    <w:rPr>
      <w:color w:val="58595B"/>
      <w:sz w:val="28"/>
    </w:rPr>
  </w:style>
  <w:style w:type="numbering" w:customStyle="1" w:styleId="Heading1numbered">
    <w:name w:val="Heading 1 numbered"/>
    <w:uiPriority w:val="99"/>
    <w:rsid w:val="00CD0681"/>
    <w:pPr>
      <w:numPr>
        <w:numId w:val="27"/>
      </w:numPr>
    </w:pPr>
  </w:style>
  <w:style w:type="numbering" w:customStyle="1" w:styleId="Style1">
    <w:name w:val="Style1"/>
    <w:uiPriority w:val="99"/>
    <w:rsid w:val="005F0193"/>
    <w:pPr>
      <w:numPr>
        <w:numId w:val="28"/>
      </w:numPr>
    </w:pPr>
  </w:style>
  <w:style w:type="paragraph" w:styleId="ListParagraph">
    <w:name w:val="List Paragraph"/>
    <w:basedOn w:val="Normal"/>
    <w:uiPriority w:val="7"/>
    <w:rsid w:val="00E22EF9"/>
    <w:pPr>
      <w:ind w:left="720"/>
      <w:contextualSpacing/>
    </w:pPr>
  </w:style>
  <w:style w:type="numbering" w:customStyle="1" w:styleId="CurrentList1">
    <w:name w:val="Current List1"/>
    <w:uiPriority w:val="99"/>
    <w:rsid w:val="00096185"/>
    <w:pPr>
      <w:numPr>
        <w:numId w:val="33"/>
      </w:numPr>
    </w:pPr>
  </w:style>
  <w:style w:type="numbering" w:customStyle="1" w:styleId="CurrentList2">
    <w:name w:val="Current List2"/>
    <w:uiPriority w:val="99"/>
    <w:rsid w:val="00096185"/>
    <w:pPr>
      <w:numPr>
        <w:numId w:val="35"/>
      </w:numPr>
    </w:pPr>
  </w:style>
  <w:style w:type="paragraph" w:customStyle="1" w:styleId="Heading1NoNumber">
    <w:name w:val="Heading 1 No Number"/>
    <w:basedOn w:val="Heading1"/>
    <w:next w:val="Normal"/>
    <w:uiPriority w:val="1"/>
    <w:semiHidden/>
    <w:qFormat/>
    <w:rsid w:val="00D0002F"/>
    <w:pPr>
      <w:keepNext/>
      <w:keepLines/>
      <w:numPr>
        <w:numId w:val="43"/>
      </w:numPr>
      <w:adjustRightInd w:val="0"/>
      <w:snapToGrid w:val="0"/>
    </w:pPr>
    <w:rPr>
      <w:rFonts w:eastAsia="SimSun" w:cstheme="majorHAnsi"/>
      <w:bCs/>
      <w:kern w:val="32"/>
      <w:lang w:eastAsia="en-GB"/>
    </w:rPr>
  </w:style>
  <w:style w:type="paragraph" w:customStyle="1" w:styleId="Heading2NoNumber">
    <w:name w:val="Heading 2 No Number"/>
    <w:basedOn w:val="Heading2"/>
    <w:next w:val="Normal"/>
    <w:autoRedefine/>
    <w:uiPriority w:val="1"/>
    <w:semiHidden/>
    <w:qFormat/>
    <w:rsid w:val="00D0002F"/>
    <w:pPr>
      <w:keepNext/>
      <w:keepLines/>
      <w:numPr>
        <w:ilvl w:val="1"/>
        <w:numId w:val="43"/>
      </w:numPr>
      <w:adjustRightInd w:val="0"/>
      <w:snapToGrid w:val="0"/>
    </w:pPr>
    <w:rPr>
      <w:rFonts w:eastAsia="SimSun" w:cstheme="majorHAnsi"/>
      <w:iCs/>
      <w:szCs w:val="28"/>
      <w:lang w:eastAsia="en-GB"/>
    </w:rPr>
  </w:style>
  <w:style w:type="paragraph" w:customStyle="1" w:styleId="Heading3NoNumber">
    <w:name w:val="Heading 3 No Number"/>
    <w:basedOn w:val="Heading3"/>
    <w:next w:val="Normal"/>
    <w:uiPriority w:val="1"/>
    <w:semiHidden/>
    <w:qFormat/>
    <w:rsid w:val="00D0002F"/>
    <w:pPr>
      <w:widowControl/>
      <w:numPr>
        <w:ilvl w:val="2"/>
        <w:numId w:val="43"/>
      </w:numPr>
      <w:adjustRightInd w:val="0"/>
      <w:snapToGrid w:val="0"/>
    </w:pPr>
    <w:rPr>
      <w:rFonts w:eastAsia="SimSun" w:cstheme="majorHAnsi"/>
      <w:bCs/>
      <w:szCs w:val="26"/>
      <w:lang w:eastAsia="en-GB"/>
    </w:rPr>
  </w:style>
  <w:style w:type="character" w:styleId="PageNumber">
    <w:name w:val="page number"/>
    <w:basedOn w:val="DefaultParagraphFont"/>
    <w:uiPriority w:val="99"/>
    <w:semiHidden/>
    <w:unhideWhenUsed/>
    <w:rsid w:val="00D0002F"/>
  </w:style>
  <w:style w:type="character" w:customStyle="1" w:styleId="cf01">
    <w:name w:val="cf01"/>
    <w:basedOn w:val="DefaultParagraphFont"/>
    <w:rsid w:val="00D0002F"/>
    <w:rPr>
      <w:rFonts w:ascii="Segoe UI" w:hAnsi="Segoe UI" w:cs="Segoe UI" w:hint="default"/>
      <w:sz w:val="18"/>
      <w:szCs w:val="18"/>
    </w:rPr>
  </w:style>
  <w:style w:type="table" w:styleId="PlainTable1">
    <w:name w:val="Plain Table 1"/>
    <w:basedOn w:val="TableNormal"/>
    <w:uiPriority w:val="41"/>
    <w:rsid w:val="00D0002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numbered">
    <w:name w:val="Heading 2 numbered"/>
    <w:basedOn w:val="Heading2"/>
    <w:link w:val="Heading2numberedChar"/>
    <w:autoRedefine/>
    <w:qFormat/>
    <w:rsid w:val="00D0002F"/>
    <w:pPr>
      <w:spacing w:before="360" w:after="0"/>
    </w:pPr>
    <w:rPr>
      <w:rFonts w:cs="Times New Roman (Headings CS)"/>
    </w:rPr>
  </w:style>
  <w:style w:type="paragraph" w:customStyle="1" w:styleId="Heading3numbered">
    <w:name w:val="Heading 3 numbered"/>
    <w:basedOn w:val="Heading3"/>
    <w:qFormat/>
    <w:rsid w:val="00D0002F"/>
    <w:pPr>
      <w:spacing w:before="120" w:after="0"/>
    </w:pPr>
  </w:style>
  <w:style w:type="numbering" w:customStyle="1" w:styleId="CurrentList3">
    <w:name w:val="Current List3"/>
    <w:uiPriority w:val="99"/>
    <w:rsid w:val="00D0002F"/>
    <w:pPr>
      <w:numPr>
        <w:numId w:val="39"/>
      </w:numPr>
    </w:pPr>
  </w:style>
  <w:style w:type="numbering" w:customStyle="1" w:styleId="CurrentList4">
    <w:name w:val="Current List4"/>
    <w:uiPriority w:val="99"/>
    <w:rsid w:val="00D0002F"/>
    <w:pPr>
      <w:numPr>
        <w:numId w:val="40"/>
      </w:numPr>
    </w:pPr>
  </w:style>
  <w:style w:type="character" w:customStyle="1" w:styleId="Heading2numberedChar">
    <w:name w:val="Heading 2 numbered Char"/>
    <w:basedOn w:val="Heading2Char"/>
    <w:link w:val="Heading2numbered"/>
    <w:rsid w:val="00D0002F"/>
    <w:rPr>
      <w:rFonts w:ascii="Montserrat" w:eastAsiaTheme="majorEastAsia" w:hAnsi="Montserrat" w:cs="Times New Roman (Headings CS)"/>
      <w:b/>
      <w:color w:val="65328F" w:themeColor="accent1"/>
      <w:sz w:val="36"/>
      <w:szCs w:val="26"/>
    </w:rPr>
  </w:style>
  <w:style w:type="numbering" w:customStyle="1" w:styleId="CurrentList5">
    <w:name w:val="Current List5"/>
    <w:uiPriority w:val="99"/>
    <w:rsid w:val="00D0002F"/>
    <w:pPr>
      <w:numPr>
        <w:numId w:val="41"/>
      </w:numPr>
    </w:pPr>
  </w:style>
  <w:style w:type="numbering" w:customStyle="1" w:styleId="CurrentList6">
    <w:name w:val="Current List6"/>
    <w:uiPriority w:val="99"/>
    <w:rsid w:val="00D0002F"/>
    <w:pPr>
      <w:numPr>
        <w:numId w:val="42"/>
      </w:numPr>
    </w:pPr>
  </w:style>
  <w:style w:type="paragraph" w:styleId="BlockText">
    <w:name w:val="Block Text"/>
    <w:basedOn w:val="Normal"/>
    <w:autoRedefine/>
    <w:uiPriority w:val="99"/>
    <w:unhideWhenUsed/>
    <w:qFormat/>
    <w:rsid w:val="00522B8E"/>
    <w:pPr>
      <w:pBdr>
        <w:top w:val="single" w:sz="2" w:space="10" w:color="65328F"/>
        <w:left w:val="single" w:sz="2" w:space="10" w:color="65328F"/>
        <w:bottom w:val="single" w:sz="2" w:space="10" w:color="65328F"/>
        <w:right w:val="single" w:sz="2" w:space="10" w:color="65328F"/>
      </w:pBdr>
      <w:ind w:left="284" w:right="425"/>
    </w:pPr>
    <w:rPr>
      <w:rFonts w:eastAsia="MS Mincho" w:cs="Times New Roman"/>
      <w:i/>
      <w:iCs/>
      <w:color w:val="000000"/>
    </w:rPr>
  </w:style>
  <w:style w:type="numbering" w:customStyle="1" w:styleId="CurrentList7">
    <w:name w:val="Current List7"/>
    <w:uiPriority w:val="99"/>
    <w:rsid w:val="0044206C"/>
    <w:pPr>
      <w:numPr>
        <w:numId w:val="50"/>
      </w:numPr>
    </w:pPr>
  </w:style>
  <w:style w:type="numbering" w:customStyle="1" w:styleId="CurrentList8">
    <w:name w:val="Current List8"/>
    <w:uiPriority w:val="99"/>
    <w:rsid w:val="00056256"/>
    <w:pPr>
      <w:numPr>
        <w:numId w:val="53"/>
      </w:numPr>
    </w:pPr>
  </w:style>
  <w:style w:type="numbering" w:customStyle="1" w:styleId="CurrentList9">
    <w:name w:val="Current List9"/>
    <w:uiPriority w:val="99"/>
    <w:rsid w:val="00056256"/>
    <w:pPr>
      <w:numPr>
        <w:numId w:val="55"/>
      </w:numPr>
    </w:pPr>
  </w:style>
  <w:style w:type="numbering" w:customStyle="1" w:styleId="CurrentList10">
    <w:name w:val="Current List10"/>
    <w:uiPriority w:val="99"/>
    <w:rsid w:val="00056256"/>
    <w:pPr>
      <w:numPr>
        <w:numId w:val="56"/>
      </w:numPr>
    </w:pPr>
  </w:style>
  <w:style w:type="numbering" w:customStyle="1" w:styleId="CurrentList11">
    <w:name w:val="Current List11"/>
    <w:uiPriority w:val="99"/>
    <w:rsid w:val="00B11031"/>
    <w:pPr>
      <w:numPr>
        <w:numId w:val="57"/>
      </w:numPr>
    </w:pPr>
  </w:style>
  <w:style w:type="numbering" w:customStyle="1" w:styleId="CurrentList12">
    <w:name w:val="Current List12"/>
    <w:uiPriority w:val="99"/>
    <w:rsid w:val="00B11031"/>
    <w:pPr>
      <w:numPr>
        <w:numId w:val="58"/>
      </w:numPr>
    </w:pPr>
  </w:style>
  <w:style w:type="numbering" w:customStyle="1" w:styleId="CurrentList13">
    <w:name w:val="Current List13"/>
    <w:uiPriority w:val="99"/>
    <w:rsid w:val="00B11031"/>
    <w:pPr>
      <w:numPr>
        <w:numId w:val="59"/>
      </w:numPr>
    </w:pPr>
  </w:style>
  <w:style w:type="numbering" w:customStyle="1" w:styleId="CurrentList14">
    <w:name w:val="Current List14"/>
    <w:uiPriority w:val="99"/>
    <w:rsid w:val="00B11031"/>
    <w:pPr>
      <w:numPr>
        <w:numId w:val="60"/>
      </w:numPr>
    </w:pPr>
  </w:style>
  <w:style w:type="numbering" w:customStyle="1" w:styleId="CurrentList15">
    <w:name w:val="Current List15"/>
    <w:uiPriority w:val="99"/>
    <w:rsid w:val="00B11031"/>
    <w:pPr>
      <w:numPr>
        <w:numId w:val="61"/>
      </w:numPr>
    </w:pPr>
  </w:style>
  <w:style w:type="numbering" w:customStyle="1" w:styleId="CurrentList16">
    <w:name w:val="Current List16"/>
    <w:uiPriority w:val="99"/>
    <w:rsid w:val="00B11031"/>
    <w:pPr>
      <w:numPr>
        <w:numId w:val="62"/>
      </w:numPr>
    </w:pPr>
  </w:style>
  <w:style w:type="numbering" w:customStyle="1" w:styleId="CurrentList17">
    <w:name w:val="Current List17"/>
    <w:uiPriority w:val="99"/>
    <w:rsid w:val="00B11031"/>
    <w:pPr>
      <w:numPr>
        <w:numId w:val="63"/>
      </w:numPr>
    </w:pPr>
  </w:style>
  <w:style w:type="numbering" w:customStyle="1" w:styleId="CurrentList18">
    <w:name w:val="Current List18"/>
    <w:uiPriority w:val="99"/>
    <w:rsid w:val="00B11031"/>
    <w:pPr>
      <w:numPr>
        <w:numId w:val="64"/>
      </w:numPr>
    </w:pPr>
  </w:style>
  <w:style w:type="numbering" w:customStyle="1" w:styleId="CurrentList19">
    <w:name w:val="Current List19"/>
    <w:uiPriority w:val="99"/>
    <w:rsid w:val="00E332F2"/>
    <w:pPr>
      <w:numPr>
        <w:numId w:val="65"/>
      </w:numPr>
    </w:pPr>
  </w:style>
  <w:style w:type="numbering" w:customStyle="1" w:styleId="CurrentList20">
    <w:name w:val="Current List20"/>
    <w:uiPriority w:val="99"/>
    <w:rsid w:val="00E332F2"/>
    <w:pPr>
      <w:numPr>
        <w:numId w:val="66"/>
      </w:numPr>
    </w:pPr>
  </w:style>
  <w:style w:type="numbering" w:customStyle="1" w:styleId="CurrentList21">
    <w:name w:val="Current List21"/>
    <w:uiPriority w:val="99"/>
    <w:rsid w:val="00652DB6"/>
    <w:pPr>
      <w:numPr>
        <w:numId w:val="67"/>
      </w:numPr>
    </w:pPr>
  </w:style>
  <w:style w:type="numbering" w:customStyle="1" w:styleId="CurrentList22">
    <w:name w:val="Current List22"/>
    <w:uiPriority w:val="99"/>
    <w:rsid w:val="00652DB6"/>
    <w:pPr>
      <w:numPr>
        <w:numId w:val="68"/>
      </w:numPr>
    </w:pPr>
  </w:style>
  <w:style w:type="numbering" w:customStyle="1" w:styleId="CurrentList23">
    <w:name w:val="Current List23"/>
    <w:uiPriority w:val="99"/>
    <w:rsid w:val="00BF25E7"/>
    <w:pPr>
      <w:numPr>
        <w:numId w:val="69"/>
      </w:numPr>
    </w:pPr>
  </w:style>
  <w:style w:type="numbering" w:customStyle="1" w:styleId="CurrentList24">
    <w:name w:val="Current List24"/>
    <w:uiPriority w:val="99"/>
    <w:rsid w:val="00BF25E7"/>
    <w:pPr>
      <w:numPr>
        <w:numId w:val="70"/>
      </w:numPr>
    </w:pPr>
  </w:style>
  <w:style w:type="numbering" w:customStyle="1" w:styleId="CurrentList25">
    <w:name w:val="Current List25"/>
    <w:uiPriority w:val="99"/>
    <w:rsid w:val="00AD31ED"/>
    <w:pPr>
      <w:numPr>
        <w:numId w:val="71"/>
      </w:numPr>
    </w:pPr>
  </w:style>
  <w:style w:type="numbering" w:customStyle="1" w:styleId="CurrentList26">
    <w:name w:val="Current List26"/>
    <w:uiPriority w:val="99"/>
    <w:rsid w:val="00AD31ED"/>
    <w:pPr>
      <w:numPr>
        <w:numId w:val="72"/>
      </w:numPr>
    </w:pPr>
  </w:style>
  <w:style w:type="numbering" w:customStyle="1" w:styleId="CurrentList27">
    <w:name w:val="Current List27"/>
    <w:uiPriority w:val="99"/>
    <w:rsid w:val="00AD31ED"/>
    <w:pPr>
      <w:numPr>
        <w:numId w:val="73"/>
      </w:numPr>
    </w:pPr>
  </w:style>
  <w:style w:type="numbering" w:customStyle="1" w:styleId="CurrentList28">
    <w:name w:val="Current List28"/>
    <w:uiPriority w:val="99"/>
    <w:rsid w:val="00BD012B"/>
    <w:pPr>
      <w:numPr>
        <w:numId w:val="74"/>
      </w:numPr>
    </w:pPr>
  </w:style>
  <w:style w:type="numbering" w:customStyle="1" w:styleId="CurrentList29">
    <w:name w:val="Current List29"/>
    <w:uiPriority w:val="99"/>
    <w:rsid w:val="00B5179C"/>
    <w:pPr>
      <w:numPr>
        <w:numId w:val="75"/>
      </w:numPr>
    </w:pPr>
  </w:style>
  <w:style w:type="numbering" w:customStyle="1" w:styleId="CurrentList30">
    <w:name w:val="Current List30"/>
    <w:uiPriority w:val="99"/>
    <w:rsid w:val="00B5179C"/>
    <w:pPr>
      <w:numPr>
        <w:numId w:val="76"/>
      </w:numPr>
    </w:pPr>
  </w:style>
  <w:style w:type="numbering" w:customStyle="1" w:styleId="CurrentList31">
    <w:name w:val="Current List31"/>
    <w:uiPriority w:val="99"/>
    <w:rsid w:val="007D2A2D"/>
    <w:pPr>
      <w:numPr>
        <w:numId w:val="77"/>
      </w:numPr>
    </w:pPr>
  </w:style>
  <w:style w:type="numbering" w:customStyle="1" w:styleId="CurrentList32">
    <w:name w:val="Current List32"/>
    <w:uiPriority w:val="99"/>
    <w:rsid w:val="007D2A2D"/>
    <w:pPr>
      <w:numPr>
        <w:numId w:val="78"/>
      </w:numPr>
    </w:pPr>
  </w:style>
  <w:style w:type="numbering" w:customStyle="1" w:styleId="CurrentList33">
    <w:name w:val="Current List33"/>
    <w:uiPriority w:val="99"/>
    <w:rsid w:val="007A4A15"/>
    <w:pPr>
      <w:numPr>
        <w:numId w:val="79"/>
      </w:numPr>
    </w:pPr>
  </w:style>
  <w:style w:type="numbering" w:customStyle="1" w:styleId="CurrentList34">
    <w:name w:val="Current List34"/>
    <w:uiPriority w:val="99"/>
    <w:rsid w:val="00807628"/>
    <w:pPr>
      <w:numPr>
        <w:numId w:val="80"/>
      </w:numPr>
    </w:pPr>
  </w:style>
  <w:style w:type="numbering" w:customStyle="1" w:styleId="CurrentList35">
    <w:name w:val="Current List35"/>
    <w:uiPriority w:val="99"/>
    <w:rsid w:val="00807628"/>
    <w:pPr>
      <w:numPr>
        <w:numId w:val="8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hyperlink" Target="https://www.aihw.gov.au/reports/disability/people-with-disability-in-australia" TargetMode="External"/><Relationship Id="rId39" Type="http://schemas.openxmlformats.org/officeDocument/2006/relationships/hyperlink" Target="https://doi.org/10.3233/wor-246003" TargetMode="External"/><Relationship Id="rId21" Type="http://schemas.openxmlformats.org/officeDocument/2006/relationships/hyperlink" Target="mailto:june.alexander@flinders.edu.au" TargetMode="External"/><Relationship Id="rId34" Type="http://schemas.openxmlformats.org/officeDocument/2006/relationships/hyperlink" Target="https://www.dss.gov.au/system/files/documents/2024-12/commonwealth-state-and-territory-supported-employment-plan_0.pdf" TargetMode="External"/><Relationship Id="rId42" Type="http://schemas.openxmlformats.org/officeDocument/2006/relationships/hyperlink" Target="https://www.legislation.gov.au/Details/C2013A00020" TargetMode="External"/><Relationship Id="rId47" Type="http://schemas.openxmlformats.org/officeDocument/2006/relationships/hyperlink" Target="https://doi.org/https://doi.org/10.1177/1540796914566714" TargetMode="External"/><Relationship Id="rId50" Type="http://schemas.openxmlformats.org/officeDocument/2006/relationships/hyperlink" Target="https://doi.org/10.1111/jar.12974" TargetMode="External"/><Relationship Id="rId55"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doi.org/10.1136/bmj.l6890" TargetMode="External"/><Relationship Id="rId11" Type="http://schemas.openxmlformats.org/officeDocument/2006/relationships/comments" Target="comments.xml"/><Relationship Id="rId24" Type="http://schemas.openxmlformats.org/officeDocument/2006/relationships/hyperlink" Target="https://doi.org/10.3109/13668250.2023.2256075" TargetMode="External"/><Relationship Id="rId32" Type="http://schemas.openxmlformats.org/officeDocument/2006/relationships/hyperlink" Target="https://doi.org/10.1080/20473869.2018.1439819" TargetMode="External"/><Relationship Id="rId37" Type="http://schemas.openxmlformats.org/officeDocument/2006/relationships/hyperlink" Target="https://www.legislation.gov.au/C2004A04426/2018-04-12/text" TargetMode="External"/><Relationship Id="rId40" Type="http://schemas.openxmlformats.org/officeDocument/2006/relationships/hyperlink" Target="https://doi.org/10.1136/oemed-2018-105454" TargetMode="External"/><Relationship Id="rId45" Type="http://schemas.openxmlformats.org/officeDocument/2006/relationships/hyperlink" Target="https://doi.org/https://doi.org/10.1352/1934-9556-58.4.288" TargetMode="External"/><Relationship Id="rId53" Type="http://schemas.openxmlformats.org/officeDocument/2006/relationships/hyperlink" Target="https://www.dol.gov/agencies/odep/program-areas/wioa"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file:///C:\Users\alex0037\AppData\Local\Microsoft\Windows\INetCache\Content.Outlook\1QUBE6L1\www.covidence.org" TargetMode="External"/><Relationship Id="rId44" Type="http://schemas.openxmlformats.org/officeDocument/2006/relationships/hyperlink" Target="https://doi.org/10.1007/s10926-019-09837-2" TargetMode="External"/><Relationship Id="rId52" Type="http://schemas.openxmlformats.org/officeDocument/2006/relationships/hyperlink" Target="https://social.desa.un.org/issues/disability/crpd/article-27-work-and-employ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mailto:june.alexander@flinders.edu.au" TargetMode="External"/><Relationship Id="rId27" Type="http://schemas.openxmlformats.org/officeDocument/2006/relationships/hyperlink" Target="https://doi.org/10.3233/jvr-211132" TargetMode="External"/><Relationship Id="rId30" Type="http://schemas.openxmlformats.org/officeDocument/2006/relationships/hyperlink" Target="https://doi.org/10.3233/jvr-201075" TargetMode="External"/><Relationship Id="rId35" Type="http://schemas.openxmlformats.org/officeDocument/2006/relationships/hyperlink" Target="https://www.dss.gov.au/disability-and-carers-programmes-services-for-people-with-disability-inclusive-employment-australia" TargetMode="External"/><Relationship Id="rId43" Type="http://schemas.openxmlformats.org/officeDocument/2006/relationships/hyperlink" Target="https://www.ndis.gov.au/participants/finding-keeping-and-changing-jobs/employment-readiness-programs" TargetMode="External"/><Relationship Id="rId48" Type="http://schemas.openxmlformats.org/officeDocument/2006/relationships/hyperlink" Target="https://doi.org/10.3233/jvr-230042"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oi.org/10.3233/jvr-221225"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hyperlink" Target="https://www.abs.gov.au/statistics/health/disability/disability-ageing-and-carers-australia-summary-findings/latest-release" TargetMode="External"/><Relationship Id="rId33" Type="http://schemas.openxmlformats.org/officeDocument/2006/relationships/hyperlink" Target="https://doi.org/10.1186/1748-5908-4-50" TargetMode="External"/><Relationship Id="rId38" Type="http://schemas.openxmlformats.org/officeDocument/2006/relationships/hyperlink" Target="https://doi.org/https://doi.org/10.1111/jppi.12144" TargetMode="External"/><Relationship Id="rId46" Type="http://schemas.openxmlformats.org/officeDocument/2006/relationships/hyperlink" Target="https://doi.org/10.1007/s10488-010-0319-7" TargetMode="External"/><Relationship Id="rId20" Type="http://schemas.openxmlformats.org/officeDocument/2006/relationships/footer" Target="footer3.xml"/><Relationship Id="rId41" Type="http://schemas.openxmlformats.org/officeDocument/2006/relationships/hyperlink" Target="https://doi.org/10.1111/j.1744-6570.2005.00672.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hyperlink" Target="https://doi.org/10.3233/jvr-201096" TargetMode="External"/><Relationship Id="rId36" Type="http://schemas.openxmlformats.org/officeDocument/2006/relationships/hyperlink" Target="https://www.legislation.gov.au/Details/C2023C00258" TargetMode="External"/><Relationship Id="rId49" Type="http://schemas.openxmlformats.org/officeDocument/2006/relationships/hyperlink" Target="https://doi.org/10.1007/s10926-021-10020-9"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B4CEBC3EFB64D8776CBB478333CB8" ma:contentTypeVersion="12" ma:contentTypeDescription="Create a new document." ma:contentTypeScope="" ma:versionID="97877900e3c65e7ec21ea73c693d32e0">
  <xsd:schema xmlns:xsd="http://www.w3.org/2001/XMLSchema" xmlns:xs="http://www.w3.org/2001/XMLSchema" xmlns:p="http://schemas.microsoft.com/office/2006/metadata/properties" xmlns:ns2="b6b76d2c-2ce0-4b29-9774-d911e4cdae52" xmlns:ns3="21b01f07-3cac-47ba-bcbc-afa91b3a6d9c" targetNamespace="http://schemas.microsoft.com/office/2006/metadata/properties" ma:root="true" ma:fieldsID="700ea0ac7cedce344d4ec0ae1f23b98d" ns2:_="" ns3:_="">
    <xsd:import namespace="b6b76d2c-2ce0-4b29-9774-d911e4cdae52"/>
    <xsd:import namespace="21b01f07-3cac-47ba-bcbc-afa91b3a6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76d2c-2ce0-4b29-9774-d911e4cda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4b2f4e7-b333-4133-9696-cdcd9b8dc4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01f07-3cac-47ba-bcbc-afa91b3a6d9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f1a7f-43e4-44a0-95bf-e02566dc988c}" ma:internalName="TaxCatchAll" ma:showField="CatchAllData" ma:web="21b01f07-3cac-47ba-bcbc-afa91b3a6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b01f07-3cac-47ba-bcbc-afa91b3a6d9c" xsi:nil="true"/>
    <lcf76f155ced4ddcb4097134ff3c332f xmlns="b6b76d2c-2ce0-4b29-9774-d911e4cda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8760E1-B137-40BE-8DE1-4E40C9B03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76d2c-2ce0-4b29-9774-d911e4cdae52"/>
    <ds:schemaRef ds:uri="21b01f07-3cac-47ba-bcbc-afa91b3a6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60889-53BE-4204-8E75-BFE9D86EB9F6}">
  <ds:schemaRefs>
    <ds:schemaRef ds:uri="http://schemas.openxmlformats.org/officeDocument/2006/bibliography"/>
  </ds:schemaRefs>
</ds:datastoreItem>
</file>

<file path=customXml/itemProps3.xml><?xml version="1.0" encoding="utf-8"?>
<ds:datastoreItem xmlns:ds="http://schemas.openxmlformats.org/officeDocument/2006/customXml" ds:itemID="{F6F7A929-B099-4667-B995-3C81F5059F76}">
  <ds:schemaRefs>
    <ds:schemaRef ds:uri="http://schemas.microsoft.com/sharepoint/v3/contenttype/forms"/>
  </ds:schemaRefs>
</ds:datastoreItem>
</file>

<file path=customXml/itemProps4.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21b01f07-3cac-47ba-bcbc-afa91b3a6d9c"/>
    <ds:schemaRef ds:uri="b6b76d2c-2ce0-4b29-9774-d911e4cdae52"/>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C:\Users\ZY0002\OneDrive - Social Services\Desktop\PlainPage_CIE (1).dotx</Template>
  <TotalTime>77</TotalTime>
  <Pages>92</Pages>
  <Words>26565</Words>
  <Characters>168691</Characters>
  <Application>Microsoft Office Word</Application>
  <DocSecurity>0</DocSecurity>
  <Lines>3442</Lines>
  <Paragraphs>1155</Paragraphs>
  <ScaleCrop>false</ScaleCrop>
  <Company>Centre for Inclusive Employment</Company>
  <LinksUpToDate>false</LinksUpToDate>
  <CharactersWithSpaces>194101</CharactersWithSpaces>
  <SharedDoc>false</SharedDoc>
  <HLinks>
    <vt:vector size="684" baseType="variant">
      <vt:variant>
        <vt:i4>1179663</vt:i4>
      </vt:variant>
      <vt:variant>
        <vt:i4>709</vt:i4>
      </vt:variant>
      <vt:variant>
        <vt:i4>0</vt:i4>
      </vt:variant>
      <vt:variant>
        <vt:i4>5</vt:i4>
      </vt:variant>
      <vt:variant>
        <vt:lpwstr>https://www.dol.gov/agencies/odep/program-areas/wioa</vt:lpwstr>
      </vt:variant>
      <vt:variant>
        <vt:lpwstr/>
      </vt:variant>
      <vt:variant>
        <vt:i4>5636168</vt:i4>
      </vt:variant>
      <vt:variant>
        <vt:i4>706</vt:i4>
      </vt:variant>
      <vt:variant>
        <vt:i4>0</vt:i4>
      </vt:variant>
      <vt:variant>
        <vt:i4>5</vt:i4>
      </vt:variant>
      <vt:variant>
        <vt:lpwstr>https://social.desa.un.org/issues/disability/crpd/article-27-work-and-employment</vt:lpwstr>
      </vt:variant>
      <vt:variant>
        <vt:lpwstr/>
      </vt:variant>
      <vt:variant>
        <vt:i4>8126578</vt:i4>
      </vt:variant>
      <vt:variant>
        <vt:i4>703</vt:i4>
      </vt:variant>
      <vt:variant>
        <vt:i4>0</vt:i4>
      </vt:variant>
      <vt:variant>
        <vt:i4>5</vt:i4>
      </vt:variant>
      <vt:variant>
        <vt:lpwstr>https://doi.org/10.3233/jvr-221225</vt:lpwstr>
      </vt:variant>
      <vt:variant>
        <vt:lpwstr/>
      </vt:variant>
      <vt:variant>
        <vt:i4>5767242</vt:i4>
      </vt:variant>
      <vt:variant>
        <vt:i4>700</vt:i4>
      </vt:variant>
      <vt:variant>
        <vt:i4>0</vt:i4>
      </vt:variant>
      <vt:variant>
        <vt:i4>5</vt:i4>
      </vt:variant>
      <vt:variant>
        <vt:lpwstr>https://doi.org/10.1111/jar.12974</vt:lpwstr>
      </vt:variant>
      <vt:variant>
        <vt:lpwstr/>
      </vt:variant>
      <vt:variant>
        <vt:i4>2359345</vt:i4>
      </vt:variant>
      <vt:variant>
        <vt:i4>697</vt:i4>
      </vt:variant>
      <vt:variant>
        <vt:i4>0</vt:i4>
      </vt:variant>
      <vt:variant>
        <vt:i4>5</vt:i4>
      </vt:variant>
      <vt:variant>
        <vt:lpwstr>https://doi.org/10.1007/s10926-021-10020-9</vt:lpwstr>
      </vt:variant>
      <vt:variant>
        <vt:lpwstr/>
      </vt:variant>
      <vt:variant>
        <vt:i4>7864437</vt:i4>
      </vt:variant>
      <vt:variant>
        <vt:i4>694</vt:i4>
      </vt:variant>
      <vt:variant>
        <vt:i4>0</vt:i4>
      </vt:variant>
      <vt:variant>
        <vt:i4>5</vt:i4>
      </vt:variant>
      <vt:variant>
        <vt:lpwstr>https://doi.org/10.3233/jvr-230042</vt:lpwstr>
      </vt:variant>
      <vt:variant>
        <vt:lpwstr/>
      </vt:variant>
      <vt:variant>
        <vt:i4>1900574</vt:i4>
      </vt:variant>
      <vt:variant>
        <vt:i4>691</vt:i4>
      </vt:variant>
      <vt:variant>
        <vt:i4>0</vt:i4>
      </vt:variant>
      <vt:variant>
        <vt:i4>5</vt:i4>
      </vt:variant>
      <vt:variant>
        <vt:lpwstr>https://doi.org/https://doi.org/10.1177/1540796914566714</vt:lpwstr>
      </vt:variant>
      <vt:variant>
        <vt:lpwstr/>
      </vt:variant>
      <vt:variant>
        <vt:i4>131101</vt:i4>
      </vt:variant>
      <vt:variant>
        <vt:i4>688</vt:i4>
      </vt:variant>
      <vt:variant>
        <vt:i4>0</vt:i4>
      </vt:variant>
      <vt:variant>
        <vt:i4>5</vt:i4>
      </vt:variant>
      <vt:variant>
        <vt:lpwstr>https://doi.org/10.1007/s10488-010-0319-7</vt:lpwstr>
      </vt:variant>
      <vt:variant>
        <vt:lpwstr/>
      </vt:variant>
      <vt:variant>
        <vt:i4>3211327</vt:i4>
      </vt:variant>
      <vt:variant>
        <vt:i4>685</vt:i4>
      </vt:variant>
      <vt:variant>
        <vt:i4>0</vt:i4>
      </vt:variant>
      <vt:variant>
        <vt:i4>5</vt:i4>
      </vt:variant>
      <vt:variant>
        <vt:lpwstr>https://doi.org/https://doi.org/10.1352/1934-9556-58.4.288</vt:lpwstr>
      </vt:variant>
      <vt:variant>
        <vt:lpwstr/>
      </vt:variant>
      <vt:variant>
        <vt:i4>2687034</vt:i4>
      </vt:variant>
      <vt:variant>
        <vt:i4>682</vt:i4>
      </vt:variant>
      <vt:variant>
        <vt:i4>0</vt:i4>
      </vt:variant>
      <vt:variant>
        <vt:i4>5</vt:i4>
      </vt:variant>
      <vt:variant>
        <vt:lpwstr>https://doi.org/10.1007/s10926-019-09837-2</vt:lpwstr>
      </vt:variant>
      <vt:variant>
        <vt:lpwstr/>
      </vt:variant>
      <vt:variant>
        <vt:i4>4194324</vt:i4>
      </vt:variant>
      <vt:variant>
        <vt:i4>679</vt:i4>
      </vt:variant>
      <vt:variant>
        <vt:i4>0</vt:i4>
      </vt:variant>
      <vt:variant>
        <vt:i4>5</vt:i4>
      </vt:variant>
      <vt:variant>
        <vt:lpwstr>https://www.ndis.gov.au/participants/finding-keeping-and-changing-jobs/employment-readiness-programs</vt:lpwstr>
      </vt:variant>
      <vt:variant>
        <vt:lpwstr/>
      </vt:variant>
      <vt:variant>
        <vt:i4>7536678</vt:i4>
      </vt:variant>
      <vt:variant>
        <vt:i4>676</vt:i4>
      </vt:variant>
      <vt:variant>
        <vt:i4>0</vt:i4>
      </vt:variant>
      <vt:variant>
        <vt:i4>5</vt:i4>
      </vt:variant>
      <vt:variant>
        <vt:lpwstr>https://www.legislation.gov.au/Details/C2013A00020</vt:lpwstr>
      </vt:variant>
      <vt:variant>
        <vt:lpwstr/>
      </vt:variant>
      <vt:variant>
        <vt:i4>5832728</vt:i4>
      </vt:variant>
      <vt:variant>
        <vt:i4>673</vt:i4>
      </vt:variant>
      <vt:variant>
        <vt:i4>0</vt:i4>
      </vt:variant>
      <vt:variant>
        <vt:i4>5</vt:i4>
      </vt:variant>
      <vt:variant>
        <vt:lpwstr>https://doi.org/10.1111/j.1744-6570.2005.00672.x</vt:lpwstr>
      </vt:variant>
      <vt:variant>
        <vt:lpwstr/>
      </vt:variant>
      <vt:variant>
        <vt:i4>262161</vt:i4>
      </vt:variant>
      <vt:variant>
        <vt:i4>670</vt:i4>
      </vt:variant>
      <vt:variant>
        <vt:i4>0</vt:i4>
      </vt:variant>
      <vt:variant>
        <vt:i4>5</vt:i4>
      </vt:variant>
      <vt:variant>
        <vt:lpwstr>https://doi.org/10.1136/oemed-2018-105454</vt:lpwstr>
      </vt:variant>
      <vt:variant>
        <vt:lpwstr/>
      </vt:variant>
      <vt:variant>
        <vt:i4>6750314</vt:i4>
      </vt:variant>
      <vt:variant>
        <vt:i4>667</vt:i4>
      </vt:variant>
      <vt:variant>
        <vt:i4>0</vt:i4>
      </vt:variant>
      <vt:variant>
        <vt:i4>5</vt:i4>
      </vt:variant>
      <vt:variant>
        <vt:lpwstr>https://doi.org/10.3233/wor-246003</vt:lpwstr>
      </vt:variant>
      <vt:variant>
        <vt:lpwstr/>
      </vt:variant>
      <vt:variant>
        <vt:i4>3276845</vt:i4>
      </vt:variant>
      <vt:variant>
        <vt:i4>664</vt:i4>
      </vt:variant>
      <vt:variant>
        <vt:i4>0</vt:i4>
      </vt:variant>
      <vt:variant>
        <vt:i4>5</vt:i4>
      </vt:variant>
      <vt:variant>
        <vt:lpwstr>https://doi.org/https://doi.org/10.1111/jppi.12144</vt:lpwstr>
      </vt:variant>
      <vt:variant>
        <vt:lpwstr/>
      </vt:variant>
      <vt:variant>
        <vt:i4>6881376</vt:i4>
      </vt:variant>
      <vt:variant>
        <vt:i4>661</vt:i4>
      </vt:variant>
      <vt:variant>
        <vt:i4>0</vt:i4>
      </vt:variant>
      <vt:variant>
        <vt:i4>5</vt:i4>
      </vt:variant>
      <vt:variant>
        <vt:lpwstr>https://www.legislation.gov.au/C2004A04426/2018-04-12/text</vt:lpwstr>
      </vt:variant>
      <vt:variant>
        <vt:lpwstr/>
      </vt:variant>
      <vt:variant>
        <vt:i4>7929888</vt:i4>
      </vt:variant>
      <vt:variant>
        <vt:i4>658</vt:i4>
      </vt:variant>
      <vt:variant>
        <vt:i4>0</vt:i4>
      </vt:variant>
      <vt:variant>
        <vt:i4>5</vt:i4>
      </vt:variant>
      <vt:variant>
        <vt:lpwstr>https://www.legislation.gov.au/Details/C2023C00258</vt:lpwstr>
      </vt:variant>
      <vt:variant>
        <vt:lpwstr/>
      </vt:variant>
      <vt:variant>
        <vt:i4>3866683</vt:i4>
      </vt:variant>
      <vt:variant>
        <vt:i4>655</vt:i4>
      </vt:variant>
      <vt:variant>
        <vt:i4>0</vt:i4>
      </vt:variant>
      <vt:variant>
        <vt:i4>5</vt:i4>
      </vt:variant>
      <vt:variant>
        <vt:lpwstr>https://www.dss.gov.au/disability-and-carers-programmes-services-for-people-with-disability-inclusive-employment-australia</vt:lpwstr>
      </vt:variant>
      <vt:variant>
        <vt:lpwstr/>
      </vt:variant>
      <vt:variant>
        <vt:i4>8126551</vt:i4>
      </vt:variant>
      <vt:variant>
        <vt:i4>652</vt:i4>
      </vt:variant>
      <vt:variant>
        <vt:i4>0</vt:i4>
      </vt:variant>
      <vt:variant>
        <vt:i4>5</vt:i4>
      </vt:variant>
      <vt:variant>
        <vt:lpwstr>https://www.dss.gov.au/system/files/documents/2024-12/commonwealth-state-and-territory-supported-employment-plan_0.pdf</vt:lpwstr>
      </vt:variant>
      <vt:variant>
        <vt:lpwstr/>
      </vt:variant>
      <vt:variant>
        <vt:i4>2162805</vt:i4>
      </vt:variant>
      <vt:variant>
        <vt:i4>649</vt:i4>
      </vt:variant>
      <vt:variant>
        <vt:i4>0</vt:i4>
      </vt:variant>
      <vt:variant>
        <vt:i4>5</vt:i4>
      </vt:variant>
      <vt:variant>
        <vt:lpwstr>https://doi.org/10.1186/1748-5908-4-50</vt:lpwstr>
      </vt:variant>
      <vt:variant>
        <vt:lpwstr/>
      </vt:variant>
      <vt:variant>
        <vt:i4>786501</vt:i4>
      </vt:variant>
      <vt:variant>
        <vt:i4>646</vt:i4>
      </vt:variant>
      <vt:variant>
        <vt:i4>0</vt:i4>
      </vt:variant>
      <vt:variant>
        <vt:i4>5</vt:i4>
      </vt:variant>
      <vt:variant>
        <vt:lpwstr>https://doi.org/10.1080/20473869.2018.1439819</vt:lpwstr>
      </vt:variant>
      <vt:variant>
        <vt:lpwstr/>
      </vt:variant>
      <vt:variant>
        <vt:i4>4128878</vt:i4>
      </vt:variant>
      <vt:variant>
        <vt:i4>643</vt:i4>
      </vt:variant>
      <vt:variant>
        <vt:i4>0</vt:i4>
      </vt:variant>
      <vt:variant>
        <vt:i4>5</vt:i4>
      </vt:variant>
      <vt:variant>
        <vt:lpwstr>file:///C:/Users/alex0037/AppData/Local/Microsoft/Windows/INetCache/Content.Outlook/1QUBE6L1/www.covidence.org</vt:lpwstr>
      </vt:variant>
      <vt:variant>
        <vt:lpwstr/>
      </vt:variant>
      <vt:variant>
        <vt:i4>8126583</vt:i4>
      </vt:variant>
      <vt:variant>
        <vt:i4>640</vt:i4>
      </vt:variant>
      <vt:variant>
        <vt:i4>0</vt:i4>
      </vt:variant>
      <vt:variant>
        <vt:i4>5</vt:i4>
      </vt:variant>
      <vt:variant>
        <vt:lpwstr>https://doi.org/10.3233/jvr-201075</vt:lpwstr>
      </vt:variant>
      <vt:variant>
        <vt:lpwstr/>
      </vt:variant>
      <vt:variant>
        <vt:i4>6029313</vt:i4>
      </vt:variant>
      <vt:variant>
        <vt:i4>637</vt:i4>
      </vt:variant>
      <vt:variant>
        <vt:i4>0</vt:i4>
      </vt:variant>
      <vt:variant>
        <vt:i4>5</vt:i4>
      </vt:variant>
      <vt:variant>
        <vt:lpwstr>https://doi.org/10.1136/bmj.l6890</vt:lpwstr>
      </vt:variant>
      <vt:variant>
        <vt:lpwstr/>
      </vt:variant>
      <vt:variant>
        <vt:i4>8323193</vt:i4>
      </vt:variant>
      <vt:variant>
        <vt:i4>634</vt:i4>
      </vt:variant>
      <vt:variant>
        <vt:i4>0</vt:i4>
      </vt:variant>
      <vt:variant>
        <vt:i4>5</vt:i4>
      </vt:variant>
      <vt:variant>
        <vt:lpwstr>https://doi.org/10.3233/jvr-201096</vt:lpwstr>
      </vt:variant>
      <vt:variant>
        <vt:lpwstr/>
      </vt:variant>
      <vt:variant>
        <vt:i4>8061043</vt:i4>
      </vt:variant>
      <vt:variant>
        <vt:i4>631</vt:i4>
      </vt:variant>
      <vt:variant>
        <vt:i4>0</vt:i4>
      </vt:variant>
      <vt:variant>
        <vt:i4>5</vt:i4>
      </vt:variant>
      <vt:variant>
        <vt:lpwstr>https://doi.org/10.3233/jvr-211132</vt:lpwstr>
      </vt:variant>
      <vt:variant>
        <vt:lpwstr/>
      </vt:variant>
      <vt:variant>
        <vt:i4>3473520</vt:i4>
      </vt:variant>
      <vt:variant>
        <vt:i4>628</vt:i4>
      </vt:variant>
      <vt:variant>
        <vt:i4>0</vt:i4>
      </vt:variant>
      <vt:variant>
        <vt:i4>5</vt:i4>
      </vt:variant>
      <vt:variant>
        <vt:lpwstr>https://www.aihw.gov.au/reports/disability/people-with-disability-in-australia</vt:lpwstr>
      </vt:variant>
      <vt:variant>
        <vt:lpwstr/>
      </vt:variant>
      <vt:variant>
        <vt:i4>7995491</vt:i4>
      </vt:variant>
      <vt:variant>
        <vt:i4>623</vt:i4>
      </vt:variant>
      <vt:variant>
        <vt:i4>0</vt:i4>
      </vt:variant>
      <vt:variant>
        <vt:i4>5</vt:i4>
      </vt:variant>
      <vt:variant>
        <vt:lpwstr>https://www.abs.gov.au/statistics/health/disability/disability-ageing-and-carers-australia-summary-findings/latest-release</vt:lpwstr>
      </vt:variant>
      <vt:variant>
        <vt:lpwstr/>
      </vt:variant>
      <vt:variant>
        <vt:i4>720962</vt:i4>
      </vt:variant>
      <vt:variant>
        <vt:i4>620</vt:i4>
      </vt:variant>
      <vt:variant>
        <vt:i4>0</vt:i4>
      </vt:variant>
      <vt:variant>
        <vt:i4>5</vt:i4>
      </vt:variant>
      <vt:variant>
        <vt:lpwstr>https://doi.org/10.3109/13668250.2023.2256075</vt:lpwstr>
      </vt:variant>
      <vt:variant>
        <vt:lpwstr/>
      </vt:variant>
      <vt:variant>
        <vt:i4>7471188</vt:i4>
      </vt:variant>
      <vt:variant>
        <vt:i4>605</vt:i4>
      </vt:variant>
      <vt:variant>
        <vt:i4>0</vt:i4>
      </vt:variant>
      <vt:variant>
        <vt:i4>5</vt:i4>
      </vt:variant>
      <vt:variant>
        <vt:lpwstr>mailto:june.alexander@flinders.edu.au</vt:lpwstr>
      </vt:variant>
      <vt:variant>
        <vt:lpwstr/>
      </vt:variant>
      <vt:variant>
        <vt:i4>7471188</vt:i4>
      </vt:variant>
      <vt:variant>
        <vt:i4>602</vt:i4>
      </vt:variant>
      <vt:variant>
        <vt:i4>0</vt:i4>
      </vt:variant>
      <vt:variant>
        <vt:i4>5</vt:i4>
      </vt:variant>
      <vt:variant>
        <vt:lpwstr>mailto:june.alexander@flinders.edu.au</vt:lpwstr>
      </vt:variant>
      <vt:variant>
        <vt:lpwstr/>
      </vt:variant>
      <vt:variant>
        <vt:i4>1703999</vt:i4>
      </vt:variant>
      <vt:variant>
        <vt:i4>490</vt:i4>
      </vt:variant>
      <vt:variant>
        <vt:i4>0</vt:i4>
      </vt:variant>
      <vt:variant>
        <vt:i4>5</vt:i4>
      </vt:variant>
      <vt:variant>
        <vt:lpwstr/>
      </vt:variant>
      <vt:variant>
        <vt:lpwstr>_Toc229049063</vt:lpwstr>
      </vt:variant>
      <vt:variant>
        <vt:i4>1703999</vt:i4>
      </vt:variant>
      <vt:variant>
        <vt:i4>484</vt:i4>
      </vt:variant>
      <vt:variant>
        <vt:i4>0</vt:i4>
      </vt:variant>
      <vt:variant>
        <vt:i4>5</vt:i4>
      </vt:variant>
      <vt:variant>
        <vt:lpwstr/>
      </vt:variant>
      <vt:variant>
        <vt:lpwstr>_Toc229049062</vt:lpwstr>
      </vt:variant>
      <vt:variant>
        <vt:i4>1703999</vt:i4>
      </vt:variant>
      <vt:variant>
        <vt:i4>478</vt:i4>
      </vt:variant>
      <vt:variant>
        <vt:i4>0</vt:i4>
      </vt:variant>
      <vt:variant>
        <vt:i4>5</vt:i4>
      </vt:variant>
      <vt:variant>
        <vt:lpwstr/>
      </vt:variant>
      <vt:variant>
        <vt:lpwstr>_Toc229049061</vt:lpwstr>
      </vt:variant>
      <vt:variant>
        <vt:i4>1703999</vt:i4>
      </vt:variant>
      <vt:variant>
        <vt:i4>472</vt:i4>
      </vt:variant>
      <vt:variant>
        <vt:i4>0</vt:i4>
      </vt:variant>
      <vt:variant>
        <vt:i4>5</vt:i4>
      </vt:variant>
      <vt:variant>
        <vt:lpwstr/>
      </vt:variant>
      <vt:variant>
        <vt:lpwstr>_Toc229049060</vt:lpwstr>
      </vt:variant>
      <vt:variant>
        <vt:i4>1638463</vt:i4>
      </vt:variant>
      <vt:variant>
        <vt:i4>466</vt:i4>
      </vt:variant>
      <vt:variant>
        <vt:i4>0</vt:i4>
      </vt:variant>
      <vt:variant>
        <vt:i4>5</vt:i4>
      </vt:variant>
      <vt:variant>
        <vt:lpwstr/>
      </vt:variant>
      <vt:variant>
        <vt:lpwstr>_Toc229049059</vt:lpwstr>
      </vt:variant>
      <vt:variant>
        <vt:i4>1638463</vt:i4>
      </vt:variant>
      <vt:variant>
        <vt:i4>460</vt:i4>
      </vt:variant>
      <vt:variant>
        <vt:i4>0</vt:i4>
      </vt:variant>
      <vt:variant>
        <vt:i4>5</vt:i4>
      </vt:variant>
      <vt:variant>
        <vt:lpwstr/>
      </vt:variant>
      <vt:variant>
        <vt:lpwstr>_Toc229049058</vt:lpwstr>
      </vt:variant>
      <vt:variant>
        <vt:i4>1638463</vt:i4>
      </vt:variant>
      <vt:variant>
        <vt:i4>454</vt:i4>
      </vt:variant>
      <vt:variant>
        <vt:i4>0</vt:i4>
      </vt:variant>
      <vt:variant>
        <vt:i4>5</vt:i4>
      </vt:variant>
      <vt:variant>
        <vt:lpwstr/>
      </vt:variant>
      <vt:variant>
        <vt:lpwstr>_Toc229049057</vt:lpwstr>
      </vt:variant>
      <vt:variant>
        <vt:i4>1638463</vt:i4>
      </vt:variant>
      <vt:variant>
        <vt:i4>448</vt:i4>
      </vt:variant>
      <vt:variant>
        <vt:i4>0</vt:i4>
      </vt:variant>
      <vt:variant>
        <vt:i4>5</vt:i4>
      </vt:variant>
      <vt:variant>
        <vt:lpwstr/>
      </vt:variant>
      <vt:variant>
        <vt:lpwstr>_Toc229049056</vt:lpwstr>
      </vt:variant>
      <vt:variant>
        <vt:i4>1638463</vt:i4>
      </vt:variant>
      <vt:variant>
        <vt:i4>442</vt:i4>
      </vt:variant>
      <vt:variant>
        <vt:i4>0</vt:i4>
      </vt:variant>
      <vt:variant>
        <vt:i4>5</vt:i4>
      </vt:variant>
      <vt:variant>
        <vt:lpwstr/>
      </vt:variant>
      <vt:variant>
        <vt:lpwstr>_Toc229049055</vt:lpwstr>
      </vt:variant>
      <vt:variant>
        <vt:i4>1638463</vt:i4>
      </vt:variant>
      <vt:variant>
        <vt:i4>436</vt:i4>
      </vt:variant>
      <vt:variant>
        <vt:i4>0</vt:i4>
      </vt:variant>
      <vt:variant>
        <vt:i4>5</vt:i4>
      </vt:variant>
      <vt:variant>
        <vt:lpwstr/>
      </vt:variant>
      <vt:variant>
        <vt:lpwstr>_Toc229049054</vt:lpwstr>
      </vt:variant>
      <vt:variant>
        <vt:i4>1638463</vt:i4>
      </vt:variant>
      <vt:variant>
        <vt:i4>430</vt:i4>
      </vt:variant>
      <vt:variant>
        <vt:i4>0</vt:i4>
      </vt:variant>
      <vt:variant>
        <vt:i4>5</vt:i4>
      </vt:variant>
      <vt:variant>
        <vt:lpwstr/>
      </vt:variant>
      <vt:variant>
        <vt:lpwstr>_Toc229049053</vt:lpwstr>
      </vt:variant>
      <vt:variant>
        <vt:i4>1638463</vt:i4>
      </vt:variant>
      <vt:variant>
        <vt:i4>424</vt:i4>
      </vt:variant>
      <vt:variant>
        <vt:i4>0</vt:i4>
      </vt:variant>
      <vt:variant>
        <vt:i4>5</vt:i4>
      </vt:variant>
      <vt:variant>
        <vt:lpwstr/>
      </vt:variant>
      <vt:variant>
        <vt:lpwstr>_Toc229049052</vt:lpwstr>
      </vt:variant>
      <vt:variant>
        <vt:i4>1638463</vt:i4>
      </vt:variant>
      <vt:variant>
        <vt:i4>418</vt:i4>
      </vt:variant>
      <vt:variant>
        <vt:i4>0</vt:i4>
      </vt:variant>
      <vt:variant>
        <vt:i4>5</vt:i4>
      </vt:variant>
      <vt:variant>
        <vt:lpwstr/>
      </vt:variant>
      <vt:variant>
        <vt:lpwstr>_Toc229049051</vt:lpwstr>
      </vt:variant>
      <vt:variant>
        <vt:i4>1638463</vt:i4>
      </vt:variant>
      <vt:variant>
        <vt:i4>412</vt:i4>
      </vt:variant>
      <vt:variant>
        <vt:i4>0</vt:i4>
      </vt:variant>
      <vt:variant>
        <vt:i4>5</vt:i4>
      </vt:variant>
      <vt:variant>
        <vt:lpwstr/>
      </vt:variant>
      <vt:variant>
        <vt:lpwstr>_Toc229049050</vt:lpwstr>
      </vt:variant>
      <vt:variant>
        <vt:i4>1572927</vt:i4>
      </vt:variant>
      <vt:variant>
        <vt:i4>406</vt:i4>
      </vt:variant>
      <vt:variant>
        <vt:i4>0</vt:i4>
      </vt:variant>
      <vt:variant>
        <vt:i4>5</vt:i4>
      </vt:variant>
      <vt:variant>
        <vt:lpwstr/>
      </vt:variant>
      <vt:variant>
        <vt:lpwstr>_Toc229049049</vt:lpwstr>
      </vt:variant>
      <vt:variant>
        <vt:i4>1572927</vt:i4>
      </vt:variant>
      <vt:variant>
        <vt:i4>400</vt:i4>
      </vt:variant>
      <vt:variant>
        <vt:i4>0</vt:i4>
      </vt:variant>
      <vt:variant>
        <vt:i4>5</vt:i4>
      </vt:variant>
      <vt:variant>
        <vt:lpwstr/>
      </vt:variant>
      <vt:variant>
        <vt:lpwstr>_Toc229049048</vt:lpwstr>
      </vt:variant>
      <vt:variant>
        <vt:i4>1572927</vt:i4>
      </vt:variant>
      <vt:variant>
        <vt:i4>394</vt:i4>
      </vt:variant>
      <vt:variant>
        <vt:i4>0</vt:i4>
      </vt:variant>
      <vt:variant>
        <vt:i4>5</vt:i4>
      </vt:variant>
      <vt:variant>
        <vt:lpwstr/>
      </vt:variant>
      <vt:variant>
        <vt:lpwstr>_Toc229049047</vt:lpwstr>
      </vt:variant>
      <vt:variant>
        <vt:i4>1572927</vt:i4>
      </vt:variant>
      <vt:variant>
        <vt:i4>388</vt:i4>
      </vt:variant>
      <vt:variant>
        <vt:i4>0</vt:i4>
      </vt:variant>
      <vt:variant>
        <vt:i4>5</vt:i4>
      </vt:variant>
      <vt:variant>
        <vt:lpwstr/>
      </vt:variant>
      <vt:variant>
        <vt:lpwstr>_Toc229049046</vt:lpwstr>
      </vt:variant>
      <vt:variant>
        <vt:i4>1572927</vt:i4>
      </vt:variant>
      <vt:variant>
        <vt:i4>382</vt:i4>
      </vt:variant>
      <vt:variant>
        <vt:i4>0</vt:i4>
      </vt:variant>
      <vt:variant>
        <vt:i4>5</vt:i4>
      </vt:variant>
      <vt:variant>
        <vt:lpwstr/>
      </vt:variant>
      <vt:variant>
        <vt:lpwstr>_Toc229049045</vt:lpwstr>
      </vt:variant>
      <vt:variant>
        <vt:i4>1572927</vt:i4>
      </vt:variant>
      <vt:variant>
        <vt:i4>376</vt:i4>
      </vt:variant>
      <vt:variant>
        <vt:i4>0</vt:i4>
      </vt:variant>
      <vt:variant>
        <vt:i4>5</vt:i4>
      </vt:variant>
      <vt:variant>
        <vt:lpwstr/>
      </vt:variant>
      <vt:variant>
        <vt:lpwstr>_Toc229049044</vt:lpwstr>
      </vt:variant>
      <vt:variant>
        <vt:i4>1572927</vt:i4>
      </vt:variant>
      <vt:variant>
        <vt:i4>370</vt:i4>
      </vt:variant>
      <vt:variant>
        <vt:i4>0</vt:i4>
      </vt:variant>
      <vt:variant>
        <vt:i4>5</vt:i4>
      </vt:variant>
      <vt:variant>
        <vt:lpwstr/>
      </vt:variant>
      <vt:variant>
        <vt:lpwstr>_Toc229049043</vt:lpwstr>
      </vt:variant>
      <vt:variant>
        <vt:i4>1572927</vt:i4>
      </vt:variant>
      <vt:variant>
        <vt:i4>364</vt:i4>
      </vt:variant>
      <vt:variant>
        <vt:i4>0</vt:i4>
      </vt:variant>
      <vt:variant>
        <vt:i4>5</vt:i4>
      </vt:variant>
      <vt:variant>
        <vt:lpwstr/>
      </vt:variant>
      <vt:variant>
        <vt:lpwstr>_Toc229049042</vt:lpwstr>
      </vt:variant>
      <vt:variant>
        <vt:i4>1572927</vt:i4>
      </vt:variant>
      <vt:variant>
        <vt:i4>358</vt:i4>
      </vt:variant>
      <vt:variant>
        <vt:i4>0</vt:i4>
      </vt:variant>
      <vt:variant>
        <vt:i4>5</vt:i4>
      </vt:variant>
      <vt:variant>
        <vt:lpwstr/>
      </vt:variant>
      <vt:variant>
        <vt:lpwstr>_Toc229049041</vt:lpwstr>
      </vt:variant>
      <vt:variant>
        <vt:i4>1572927</vt:i4>
      </vt:variant>
      <vt:variant>
        <vt:i4>352</vt:i4>
      </vt:variant>
      <vt:variant>
        <vt:i4>0</vt:i4>
      </vt:variant>
      <vt:variant>
        <vt:i4>5</vt:i4>
      </vt:variant>
      <vt:variant>
        <vt:lpwstr/>
      </vt:variant>
      <vt:variant>
        <vt:lpwstr>_Toc229049040</vt:lpwstr>
      </vt:variant>
      <vt:variant>
        <vt:i4>2031679</vt:i4>
      </vt:variant>
      <vt:variant>
        <vt:i4>346</vt:i4>
      </vt:variant>
      <vt:variant>
        <vt:i4>0</vt:i4>
      </vt:variant>
      <vt:variant>
        <vt:i4>5</vt:i4>
      </vt:variant>
      <vt:variant>
        <vt:lpwstr/>
      </vt:variant>
      <vt:variant>
        <vt:lpwstr>_Toc229049039</vt:lpwstr>
      </vt:variant>
      <vt:variant>
        <vt:i4>2031679</vt:i4>
      </vt:variant>
      <vt:variant>
        <vt:i4>340</vt:i4>
      </vt:variant>
      <vt:variant>
        <vt:i4>0</vt:i4>
      </vt:variant>
      <vt:variant>
        <vt:i4>5</vt:i4>
      </vt:variant>
      <vt:variant>
        <vt:lpwstr/>
      </vt:variant>
      <vt:variant>
        <vt:lpwstr>_Toc229049038</vt:lpwstr>
      </vt:variant>
      <vt:variant>
        <vt:i4>2031679</vt:i4>
      </vt:variant>
      <vt:variant>
        <vt:i4>334</vt:i4>
      </vt:variant>
      <vt:variant>
        <vt:i4>0</vt:i4>
      </vt:variant>
      <vt:variant>
        <vt:i4>5</vt:i4>
      </vt:variant>
      <vt:variant>
        <vt:lpwstr/>
      </vt:variant>
      <vt:variant>
        <vt:lpwstr>_Toc229049037</vt:lpwstr>
      </vt:variant>
      <vt:variant>
        <vt:i4>2031679</vt:i4>
      </vt:variant>
      <vt:variant>
        <vt:i4>328</vt:i4>
      </vt:variant>
      <vt:variant>
        <vt:i4>0</vt:i4>
      </vt:variant>
      <vt:variant>
        <vt:i4>5</vt:i4>
      </vt:variant>
      <vt:variant>
        <vt:lpwstr/>
      </vt:variant>
      <vt:variant>
        <vt:lpwstr>_Toc229049036</vt:lpwstr>
      </vt:variant>
      <vt:variant>
        <vt:i4>2031679</vt:i4>
      </vt:variant>
      <vt:variant>
        <vt:i4>322</vt:i4>
      </vt:variant>
      <vt:variant>
        <vt:i4>0</vt:i4>
      </vt:variant>
      <vt:variant>
        <vt:i4>5</vt:i4>
      </vt:variant>
      <vt:variant>
        <vt:lpwstr/>
      </vt:variant>
      <vt:variant>
        <vt:lpwstr>_Toc229049035</vt:lpwstr>
      </vt:variant>
      <vt:variant>
        <vt:i4>2031679</vt:i4>
      </vt:variant>
      <vt:variant>
        <vt:i4>316</vt:i4>
      </vt:variant>
      <vt:variant>
        <vt:i4>0</vt:i4>
      </vt:variant>
      <vt:variant>
        <vt:i4>5</vt:i4>
      </vt:variant>
      <vt:variant>
        <vt:lpwstr/>
      </vt:variant>
      <vt:variant>
        <vt:lpwstr>_Toc229049034</vt:lpwstr>
      </vt:variant>
      <vt:variant>
        <vt:i4>2031679</vt:i4>
      </vt:variant>
      <vt:variant>
        <vt:i4>310</vt:i4>
      </vt:variant>
      <vt:variant>
        <vt:i4>0</vt:i4>
      </vt:variant>
      <vt:variant>
        <vt:i4>5</vt:i4>
      </vt:variant>
      <vt:variant>
        <vt:lpwstr/>
      </vt:variant>
      <vt:variant>
        <vt:lpwstr>_Toc229049033</vt:lpwstr>
      </vt:variant>
      <vt:variant>
        <vt:i4>2031679</vt:i4>
      </vt:variant>
      <vt:variant>
        <vt:i4>304</vt:i4>
      </vt:variant>
      <vt:variant>
        <vt:i4>0</vt:i4>
      </vt:variant>
      <vt:variant>
        <vt:i4>5</vt:i4>
      </vt:variant>
      <vt:variant>
        <vt:lpwstr/>
      </vt:variant>
      <vt:variant>
        <vt:lpwstr>_Toc229049032</vt:lpwstr>
      </vt:variant>
      <vt:variant>
        <vt:i4>2031679</vt:i4>
      </vt:variant>
      <vt:variant>
        <vt:i4>298</vt:i4>
      </vt:variant>
      <vt:variant>
        <vt:i4>0</vt:i4>
      </vt:variant>
      <vt:variant>
        <vt:i4>5</vt:i4>
      </vt:variant>
      <vt:variant>
        <vt:lpwstr/>
      </vt:variant>
      <vt:variant>
        <vt:lpwstr>_Toc229049031</vt:lpwstr>
      </vt:variant>
      <vt:variant>
        <vt:i4>2031679</vt:i4>
      </vt:variant>
      <vt:variant>
        <vt:i4>292</vt:i4>
      </vt:variant>
      <vt:variant>
        <vt:i4>0</vt:i4>
      </vt:variant>
      <vt:variant>
        <vt:i4>5</vt:i4>
      </vt:variant>
      <vt:variant>
        <vt:lpwstr/>
      </vt:variant>
      <vt:variant>
        <vt:lpwstr>_Toc229049030</vt:lpwstr>
      </vt:variant>
      <vt:variant>
        <vt:i4>1966143</vt:i4>
      </vt:variant>
      <vt:variant>
        <vt:i4>286</vt:i4>
      </vt:variant>
      <vt:variant>
        <vt:i4>0</vt:i4>
      </vt:variant>
      <vt:variant>
        <vt:i4>5</vt:i4>
      </vt:variant>
      <vt:variant>
        <vt:lpwstr/>
      </vt:variant>
      <vt:variant>
        <vt:lpwstr>_Toc229049029</vt:lpwstr>
      </vt:variant>
      <vt:variant>
        <vt:i4>1966143</vt:i4>
      </vt:variant>
      <vt:variant>
        <vt:i4>280</vt:i4>
      </vt:variant>
      <vt:variant>
        <vt:i4>0</vt:i4>
      </vt:variant>
      <vt:variant>
        <vt:i4>5</vt:i4>
      </vt:variant>
      <vt:variant>
        <vt:lpwstr/>
      </vt:variant>
      <vt:variant>
        <vt:lpwstr>_Toc229049028</vt:lpwstr>
      </vt:variant>
      <vt:variant>
        <vt:i4>1966143</vt:i4>
      </vt:variant>
      <vt:variant>
        <vt:i4>274</vt:i4>
      </vt:variant>
      <vt:variant>
        <vt:i4>0</vt:i4>
      </vt:variant>
      <vt:variant>
        <vt:i4>5</vt:i4>
      </vt:variant>
      <vt:variant>
        <vt:lpwstr/>
      </vt:variant>
      <vt:variant>
        <vt:lpwstr>_Toc229049027</vt:lpwstr>
      </vt:variant>
      <vt:variant>
        <vt:i4>1966143</vt:i4>
      </vt:variant>
      <vt:variant>
        <vt:i4>268</vt:i4>
      </vt:variant>
      <vt:variant>
        <vt:i4>0</vt:i4>
      </vt:variant>
      <vt:variant>
        <vt:i4>5</vt:i4>
      </vt:variant>
      <vt:variant>
        <vt:lpwstr/>
      </vt:variant>
      <vt:variant>
        <vt:lpwstr>_Toc229049026</vt:lpwstr>
      </vt:variant>
      <vt:variant>
        <vt:i4>1966143</vt:i4>
      </vt:variant>
      <vt:variant>
        <vt:i4>262</vt:i4>
      </vt:variant>
      <vt:variant>
        <vt:i4>0</vt:i4>
      </vt:variant>
      <vt:variant>
        <vt:i4>5</vt:i4>
      </vt:variant>
      <vt:variant>
        <vt:lpwstr/>
      </vt:variant>
      <vt:variant>
        <vt:lpwstr>_Toc229049025</vt:lpwstr>
      </vt:variant>
      <vt:variant>
        <vt:i4>1966143</vt:i4>
      </vt:variant>
      <vt:variant>
        <vt:i4>256</vt:i4>
      </vt:variant>
      <vt:variant>
        <vt:i4>0</vt:i4>
      </vt:variant>
      <vt:variant>
        <vt:i4>5</vt:i4>
      </vt:variant>
      <vt:variant>
        <vt:lpwstr/>
      </vt:variant>
      <vt:variant>
        <vt:lpwstr>_Toc229049024</vt:lpwstr>
      </vt:variant>
      <vt:variant>
        <vt:i4>1966143</vt:i4>
      </vt:variant>
      <vt:variant>
        <vt:i4>250</vt:i4>
      </vt:variant>
      <vt:variant>
        <vt:i4>0</vt:i4>
      </vt:variant>
      <vt:variant>
        <vt:i4>5</vt:i4>
      </vt:variant>
      <vt:variant>
        <vt:lpwstr/>
      </vt:variant>
      <vt:variant>
        <vt:lpwstr>_Toc229049023</vt:lpwstr>
      </vt:variant>
      <vt:variant>
        <vt:i4>1966143</vt:i4>
      </vt:variant>
      <vt:variant>
        <vt:i4>244</vt:i4>
      </vt:variant>
      <vt:variant>
        <vt:i4>0</vt:i4>
      </vt:variant>
      <vt:variant>
        <vt:i4>5</vt:i4>
      </vt:variant>
      <vt:variant>
        <vt:lpwstr/>
      </vt:variant>
      <vt:variant>
        <vt:lpwstr>_Toc229049022</vt:lpwstr>
      </vt:variant>
      <vt:variant>
        <vt:i4>1966143</vt:i4>
      </vt:variant>
      <vt:variant>
        <vt:i4>238</vt:i4>
      </vt:variant>
      <vt:variant>
        <vt:i4>0</vt:i4>
      </vt:variant>
      <vt:variant>
        <vt:i4>5</vt:i4>
      </vt:variant>
      <vt:variant>
        <vt:lpwstr/>
      </vt:variant>
      <vt:variant>
        <vt:lpwstr>_Toc229049021</vt:lpwstr>
      </vt:variant>
      <vt:variant>
        <vt:i4>1966143</vt:i4>
      </vt:variant>
      <vt:variant>
        <vt:i4>232</vt:i4>
      </vt:variant>
      <vt:variant>
        <vt:i4>0</vt:i4>
      </vt:variant>
      <vt:variant>
        <vt:i4>5</vt:i4>
      </vt:variant>
      <vt:variant>
        <vt:lpwstr/>
      </vt:variant>
      <vt:variant>
        <vt:lpwstr>_Toc229049020</vt:lpwstr>
      </vt:variant>
      <vt:variant>
        <vt:i4>1900607</vt:i4>
      </vt:variant>
      <vt:variant>
        <vt:i4>226</vt:i4>
      </vt:variant>
      <vt:variant>
        <vt:i4>0</vt:i4>
      </vt:variant>
      <vt:variant>
        <vt:i4>5</vt:i4>
      </vt:variant>
      <vt:variant>
        <vt:lpwstr/>
      </vt:variant>
      <vt:variant>
        <vt:lpwstr>_Toc229049019</vt:lpwstr>
      </vt:variant>
      <vt:variant>
        <vt:i4>1900607</vt:i4>
      </vt:variant>
      <vt:variant>
        <vt:i4>220</vt:i4>
      </vt:variant>
      <vt:variant>
        <vt:i4>0</vt:i4>
      </vt:variant>
      <vt:variant>
        <vt:i4>5</vt:i4>
      </vt:variant>
      <vt:variant>
        <vt:lpwstr/>
      </vt:variant>
      <vt:variant>
        <vt:lpwstr>_Toc229049018</vt:lpwstr>
      </vt:variant>
      <vt:variant>
        <vt:i4>1900607</vt:i4>
      </vt:variant>
      <vt:variant>
        <vt:i4>214</vt:i4>
      </vt:variant>
      <vt:variant>
        <vt:i4>0</vt:i4>
      </vt:variant>
      <vt:variant>
        <vt:i4>5</vt:i4>
      </vt:variant>
      <vt:variant>
        <vt:lpwstr/>
      </vt:variant>
      <vt:variant>
        <vt:lpwstr>_Toc229049017</vt:lpwstr>
      </vt:variant>
      <vt:variant>
        <vt:i4>1900607</vt:i4>
      </vt:variant>
      <vt:variant>
        <vt:i4>208</vt:i4>
      </vt:variant>
      <vt:variant>
        <vt:i4>0</vt:i4>
      </vt:variant>
      <vt:variant>
        <vt:i4>5</vt:i4>
      </vt:variant>
      <vt:variant>
        <vt:lpwstr/>
      </vt:variant>
      <vt:variant>
        <vt:lpwstr>_Toc229049016</vt:lpwstr>
      </vt:variant>
      <vt:variant>
        <vt:i4>1900607</vt:i4>
      </vt:variant>
      <vt:variant>
        <vt:i4>202</vt:i4>
      </vt:variant>
      <vt:variant>
        <vt:i4>0</vt:i4>
      </vt:variant>
      <vt:variant>
        <vt:i4>5</vt:i4>
      </vt:variant>
      <vt:variant>
        <vt:lpwstr/>
      </vt:variant>
      <vt:variant>
        <vt:lpwstr>_Toc229049015</vt:lpwstr>
      </vt:variant>
      <vt:variant>
        <vt:i4>1900607</vt:i4>
      </vt:variant>
      <vt:variant>
        <vt:i4>196</vt:i4>
      </vt:variant>
      <vt:variant>
        <vt:i4>0</vt:i4>
      </vt:variant>
      <vt:variant>
        <vt:i4>5</vt:i4>
      </vt:variant>
      <vt:variant>
        <vt:lpwstr/>
      </vt:variant>
      <vt:variant>
        <vt:lpwstr>_Toc229049014</vt:lpwstr>
      </vt:variant>
      <vt:variant>
        <vt:i4>1900607</vt:i4>
      </vt:variant>
      <vt:variant>
        <vt:i4>190</vt:i4>
      </vt:variant>
      <vt:variant>
        <vt:i4>0</vt:i4>
      </vt:variant>
      <vt:variant>
        <vt:i4>5</vt:i4>
      </vt:variant>
      <vt:variant>
        <vt:lpwstr/>
      </vt:variant>
      <vt:variant>
        <vt:lpwstr>_Toc229049013</vt:lpwstr>
      </vt:variant>
      <vt:variant>
        <vt:i4>1900607</vt:i4>
      </vt:variant>
      <vt:variant>
        <vt:i4>184</vt:i4>
      </vt:variant>
      <vt:variant>
        <vt:i4>0</vt:i4>
      </vt:variant>
      <vt:variant>
        <vt:i4>5</vt:i4>
      </vt:variant>
      <vt:variant>
        <vt:lpwstr/>
      </vt:variant>
      <vt:variant>
        <vt:lpwstr>_Toc229049012</vt:lpwstr>
      </vt:variant>
      <vt:variant>
        <vt:i4>1900607</vt:i4>
      </vt:variant>
      <vt:variant>
        <vt:i4>178</vt:i4>
      </vt:variant>
      <vt:variant>
        <vt:i4>0</vt:i4>
      </vt:variant>
      <vt:variant>
        <vt:i4>5</vt:i4>
      </vt:variant>
      <vt:variant>
        <vt:lpwstr/>
      </vt:variant>
      <vt:variant>
        <vt:lpwstr>_Toc229049011</vt:lpwstr>
      </vt:variant>
      <vt:variant>
        <vt:i4>1900607</vt:i4>
      </vt:variant>
      <vt:variant>
        <vt:i4>172</vt:i4>
      </vt:variant>
      <vt:variant>
        <vt:i4>0</vt:i4>
      </vt:variant>
      <vt:variant>
        <vt:i4>5</vt:i4>
      </vt:variant>
      <vt:variant>
        <vt:lpwstr/>
      </vt:variant>
      <vt:variant>
        <vt:lpwstr>_Toc229049010</vt:lpwstr>
      </vt:variant>
      <vt:variant>
        <vt:i4>1835071</vt:i4>
      </vt:variant>
      <vt:variant>
        <vt:i4>166</vt:i4>
      </vt:variant>
      <vt:variant>
        <vt:i4>0</vt:i4>
      </vt:variant>
      <vt:variant>
        <vt:i4>5</vt:i4>
      </vt:variant>
      <vt:variant>
        <vt:lpwstr/>
      </vt:variant>
      <vt:variant>
        <vt:lpwstr>_Toc229049009</vt:lpwstr>
      </vt:variant>
      <vt:variant>
        <vt:i4>1835071</vt:i4>
      </vt:variant>
      <vt:variant>
        <vt:i4>160</vt:i4>
      </vt:variant>
      <vt:variant>
        <vt:i4>0</vt:i4>
      </vt:variant>
      <vt:variant>
        <vt:i4>5</vt:i4>
      </vt:variant>
      <vt:variant>
        <vt:lpwstr/>
      </vt:variant>
      <vt:variant>
        <vt:lpwstr>_Toc229049008</vt:lpwstr>
      </vt:variant>
      <vt:variant>
        <vt:i4>1835071</vt:i4>
      </vt:variant>
      <vt:variant>
        <vt:i4>154</vt:i4>
      </vt:variant>
      <vt:variant>
        <vt:i4>0</vt:i4>
      </vt:variant>
      <vt:variant>
        <vt:i4>5</vt:i4>
      </vt:variant>
      <vt:variant>
        <vt:lpwstr/>
      </vt:variant>
      <vt:variant>
        <vt:lpwstr>_Toc229049007</vt:lpwstr>
      </vt:variant>
      <vt:variant>
        <vt:i4>1835071</vt:i4>
      </vt:variant>
      <vt:variant>
        <vt:i4>148</vt:i4>
      </vt:variant>
      <vt:variant>
        <vt:i4>0</vt:i4>
      </vt:variant>
      <vt:variant>
        <vt:i4>5</vt:i4>
      </vt:variant>
      <vt:variant>
        <vt:lpwstr/>
      </vt:variant>
      <vt:variant>
        <vt:lpwstr>_Toc229049006</vt:lpwstr>
      </vt:variant>
      <vt:variant>
        <vt:i4>1835071</vt:i4>
      </vt:variant>
      <vt:variant>
        <vt:i4>142</vt:i4>
      </vt:variant>
      <vt:variant>
        <vt:i4>0</vt:i4>
      </vt:variant>
      <vt:variant>
        <vt:i4>5</vt:i4>
      </vt:variant>
      <vt:variant>
        <vt:lpwstr/>
      </vt:variant>
      <vt:variant>
        <vt:lpwstr>_Toc229049005</vt:lpwstr>
      </vt:variant>
      <vt:variant>
        <vt:i4>1835071</vt:i4>
      </vt:variant>
      <vt:variant>
        <vt:i4>136</vt:i4>
      </vt:variant>
      <vt:variant>
        <vt:i4>0</vt:i4>
      </vt:variant>
      <vt:variant>
        <vt:i4>5</vt:i4>
      </vt:variant>
      <vt:variant>
        <vt:lpwstr/>
      </vt:variant>
      <vt:variant>
        <vt:lpwstr>_Toc229049004</vt:lpwstr>
      </vt:variant>
      <vt:variant>
        <vt:i4>1835071</vt:i4>
      </vt:variant>
      <vt:variant>
        <vt:i4>130</vt:i4>
      </vt:variant>
      <vt:variant>
        <vt:i4>0</vt:i4>
      </vt:variant>
      <vt:variant>
        <vt:i4>5</vt:i4>
      </vt:variant>
      <vt:variant>
        <vt:lpwstr/>
      </vt:variant>
      <vt:variant>
        <vt:lpwstr>_Toc229049003</vt:lpwstr>
      </vt:variant>
      <vt:variant>
        <vt:i4>1835071</vt:i4>
      </vt:variant>
      <vt:variant>
        <vt:i4>124</vt:i4>
      </vt:variant>
      <vt:variant>
        <vt:i4>0</vt:i4>
      </vt:variant>
      <vt:variant>
        <vt:i4>5</vt:i4>
      </vt:variant>
      <vt:variant>
        <vt:lpwstr/>
      </vt:variant>
      <vt:variant>
        <vt:lpwstr>_Toc229049002</vt:lpwstr>
      </vt:variant>
      <vt:variant>
        <vt:i4>1835071</vt:i4>
      </vt:variant>
      <vt:variant>
        <vt:i4>118</vt:i4>
      </vt:variant>
      <vt:variant>
        <vt:i4>0</vt:i4>
      </vt:variant>
      <vt:variant>
        <vt:i4>5</vt:i4>
      </vt:variant>
      <vt:variant>
        <vt:lpwstr/>
      </vt:variant>
      <vt:variant>
        <vt:lpwstr>_Toc229049001</vt:lpwstr>
      </vt:variant>
      <vt:variant>
        <vt:i4>1835071</vt:i4>
      </vt:variant>
      <vt:variant>
        <vt:i4>112</vt:i4>
      </vt:variant>
      <vt:variant>
        <vt:i4>0</vt:i4>
      </vt:variant>
      <vt:variant>
        <vt:i4>5</vt:i4>
      </vt:variant>
      <vt:variant>
        <vt:lpwstr/>
      </vt:variant>
      <vt:variant>
        <vt:lpwstr>_Toc229049000</vt:lpwstr>
      </vt:variant>
      <vt:variant>
        <vt:i4>1310774</vt:i4>
      </vt:variant>
      <vt:variant>
        <vt:i4>106</vt:i4>
      </vt:variant>
      <vt:variant>
        <vt:i4>0</vt:i4>
      </vt:variant>
      <vt:variant>
        <vt:i4>5</vt:i4>
      </vt:variant>
      <vt:variant>
        <vt:lpwstr/>
      </vt:variant>
      <vt:variant>
        <vt:lpwstr>_Toc229048999</vt:lpwstr>
      </vt:variant>
      <vt:variant>
        <vt:i4>1310774</vt:i4>
      </vt:variant>
      <vt:variant>
        <vt:i4>100</vt:i4>
      </vt:variant>
      <vt:variant>
        <vt:i4>0</vt:i4>
      </vt:variant>
      <vt:variant>
        <vt:i4>5</vt:i4>
      </vt:variant>
      <vt:variant>
        <vt:lpwstr/>
      </vt:variant>
      <vt:variant>
        <vt:lpwstr>_Toc229048998</vt:lpwstr>
      </vt:variant>
      <vt:variant>
        <vt:i4>1310774</vt:i4>
      </vt:variant>
      <vt:variant>
        <vt:i4>94</vt:i4>
      </vt:variant>
      <vt:variant>
        <vt:i4>0</vt:i4>
      </vt:variant>
      <vt:variant>
        <vt:i4>5</vt:i4>
      </vt:variant>
      <vt:variant>
        <vt:lpwstr/>
      </vt:variant>
      <vt:variant>
        <vt:lpwstr>_Toc229048997</vt:lpwstr>
      </vt:variant>
      <vt:variant>
        <vt:i4>1310774</vt:i4>
      </vt:variant>
      <vt:variant>
        <vt:i4>88</vt:i4>
      </vt:variant>
      <vt:variant>
        <vt:i4>0</vt:i4>
      </vt:variant>
      <vt:variant>
        <vt:i4>5</vt:i4>
      </vt:variant>
      <vt:variant>
        <vt:lpwstr/>
      </vt:variant>
      <vt:variant>
        <vt:lpwstr>_Toc229048996</vt:lpwstr>
      </vt:variant>
      <vt:variant>
        <vt:i4>1310774</vt:i4>
      </vt:variant>
      <vt:variant>
        <vt:i4>82</vt:i4>
      </vt:variant>
      <vt:variant>
        <vt:i4>0</vt:i4>
      </vt:variant>
      <vt:variant>
        <vt:i4>5</vt:i4>
      </vt:variant>
      <vt:variant>
        <vt:lpwstr/>
      </vt:variant>
      <vt:variant>
        <vt:lpwstr>_Toc229048995</vt:lpwstr>
      </vt:variant>
      <vt:variant>
        <vt:i4>1310774</vt:i4>
      </vt:variant>
      <vt:variant>
        <vt:i4>76</vt:i4>
      </vt:variant>
      <vt:variant>
        <vt:i4>0</vt:i4>
      </vt:variant>
      <vt:variant>
        <vt:i4>5</vt:i4>
      </vt:variant>
      <vt:variant>
        <vt:lpwstr/>
      </vt:variant>
      <vt:variant>
        <vt:lpwstr>_Toc229048994</vt:lpwstr>
      </vt:variant>
      <vt:variant>
        <vt:i4>1310774</vt:i4>
      </vt:variant>
      <vt:variant>
        <vt:i4>70</vt:i4>
      </vt:variant>
      <vt:variant>
        <vt:i4>0</vt:i4>
      </vt:variant>
      <vt:variant>
        <vt:i4>5</vt:i4>
      </vt:variant>
      <vt:variant>
        <vt:lpwstr/>
      </vt:variant>
      <vt:variant>
        <vt:lpwstr>_Toc229048993</vt:lpwstr>
      </vt:variant>
      <vt:variant>
        <vt:i4>1310774</vt:i4>
      </vt:variant>
      <vt:variant>
        <vt:i4>64</vt:i4>
      </vt:variant>
      <vt:variant>
        <vt:i4>0</vt:i4>
      </vt:variant>
      <vt:variant>
        <vt:i4>5</vt:i4>
      </vt:variant>
      <vt:variant>
        <vt:lpwstr/>
      </vt:variant>
      <vt:variant>
        <vt:lpwstr>_Toc229048992</vt:lpwstr>
      </vt:variant>
      <vt:variant>
        <vt:i4>1310774</vt:i4>
      </vt:variant>
      <vt:variant>
        <vt:i4>58</vt:i4>
      </vt:variant>
      <vt:variant>
        <vt:i4>0</vt:i4>
      </vt:variant>
      <vt:variant>
        <vt:i4>5</vt:i4>
      </vt:variant>
      <vt:variant>
        <vt:lpwstr/>
      </vt:variant>
      <vt:variant>
        <vt:lpwstr>_Toc229048991</vt:lpwstr>
      </vt:variant>
      <vt:variant>
        <vt:i4>1310774</vt:i4>
      </vt:variant>
      <vt:variant>
        <vt:i4>52</vt:i4>
      </vt:variant>
      <vt:variant>
        <vt:i4>0</vt:i4>
      </vt:variant>
      <vt:variant>
        <vt:i4>5</vt:i4>
      </vt:variant>
      <vt:variant>
        <vt:lpwstr/>
      </vt:variant>
      <vt:variant>
        <vt:lpwstr>_Toc229048990</vt:lpwstr>
      </vt:variant>
      <vt:variant>
        <vt:i4>1376310</vt:i4>
      </vt:variant>
      <vt:variant>
        <vt:i4>46</vt:i4>
      </vt:variant>
      <vt:variant>
        <vt:i4>0</vt:i4>
      </vt:variant>
      <vt:variant>
        <vt:i4>5</vt:i4>
      </vt:variant>
      <vt:variant>
        <vt:lpwstr/>
      </vt:variant>
      <vt:variant>
        <vt:lpwstr>_Toc229048989</vt:lpwstr>
      </vt:variant>
      <vt:variant>
        <vt:i4>1376310</vt:i4>
      </vt:variant>
      <vt:variant>
        <vt:i4>40</vt:i4>
      </vt:variant>
      <vt:variant>
        <vt:i4>0</vt:i4>
      </vt:variant>
      <vt:variant>
        <vt:i4>5</vt:i4>
      </vt:variant>
      <vt:variant>
        <vt:lpwstr/>
      </vt:variant>
      <vt:variant>
        <vt:lpwstr>_Toc229048988</vt:lpwstr>
      </vt:variant>
      <vt:variant>
        <vt:i4>1376310</vt:i4>
      </vt:variant>
      <vt:variant>
        <vt:i4>34</vt:i4>
      </vt:variant>
      <vt:variant>
        <vt:i4>0</vt:i4>
      </vt:variant>
      <vt:variant>
        <vt:i4>5</vt:i4>
      </vt:variant>
      <vt:variant>
        <vt:lpwstr/>
      </vt:variant>
      <vt:variant>
        <vt:lpwstr>_Toc229048987</vt:lpwstr>
      </vt:variant>
      <vt:variant>
        <vt:i4>1376310</vt:i4>
      </vt:variant>
      <vt:variant>
        <vt:i4>28</vt:i4>
      </vt:variant>
      <vt:variant>
        <vt:i4>0</vt:i4>
      </vt:variant>
      <vt:variant>
        <vt:i4>5</vt:i4>
      </vt:variant>
      <vt:variant>
        <vt:lpwstr/>
      </vt:variant>
      <vt:variant>
        <vt:lpwstr>_Toc229048986</vt:lpwstr>
      </vt:variant>
      <vt:variant>
        <vt:i4>1376310</vt:i4>
      </vt:variant>
      <vt:variant>
        <vt:i4>22</vt:i4>
      </vt:variant>
      <vt:variant>
        <vt:i4>0</vt:i4>
      </vt:variant>
      <vt:variant>
        <vt:i4>5</vt:i4>
      </vt:variant>
      <vt:variant>
        <vt:lpwstr/>
      </vt:variant>
      <vt:variant>
        <vt:lpwstr>_Toc229048985</vt:lpwstr>
      </vt:variant>
      <vt:variant>
        <vt:i4>1376310</vt:i4>
      </vt:variant>
      <vt:variant>
        <vt:i4>16</vt:i4>
      </vt:variant>
      <vt:variant>
        <vt:i4>0</vt:i4>
      </vt:variant>
      <vt:variant>
        <vt:i4>5</vt:i4>
      </vt:variant>
      <vt:variant>
        <vt:lpwstr/>
      </vt:variant>
      <vt:variant>
        <vt:lpwstr>_Toc229048984</vt:lpwstr>
      </vt:variant>
      <vt:variant>
        <vt:i4>1376310</vt:i4>
      </vt:variant>
      <vt:variant>
        <vt:i4>10</vt:i4>
      </vt:variant>
      <vt:variant>
        <vt:i4>0</vt:i4>
      </vt:variant>
      <vt:variant>
        <vt:i4>5</vt:i4>
      </vt:variant>
      <vt:variant>
        <vt:lpwstr/>
      </vt:variant>
      <vt:variant>
        <vt:lpwstr>_Toc229048983</vt:lpwstr>
      </vt:variant>
      <vt:variant>
        <vt:i4>1376310</vt:i4>
      </vt:variant>
      <vt:variant>
        <vt:i4>4</vt:i4>
      </vt:variant>
      <vt:variant>
        <vt:i4>0</vt:i4>
      </vt:variant>
      <vt:variant>
        <vt:i4>5</vt:i4>
      </vt:variant>
      <vt:variant>
        <vt:lpwstr/>
      </vt:variant>
      <vt:variant>
        <vt:lpwstr>_Toc229048982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Rebecca</dc:creator>
  <cp:keywords>[SEC=OFFICIAL]</cp:keywords>
  <dc:description/>
  <cp:lastModifiedBy>Julie Anderson</cp:lastModifiedBy>
  <cp:revision>54</cp:revision>
  <dcterms:created xsi:type="dcterms:W3CDTF">2026-05-29T05:07:00Z</dcterms:created>
  <dcterms:modified xsi:type="dcterms:W3CDTF">2026-06-02T07:02:00Z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0x010100128B4CEBC3EFB64D8776CBB478333CB8</vt:lpwstr>
  </property>
  <property fmtid="{D5CDD505-2E9C-101B-9397-08002B2CF9AE}" pid="39" name="MediaServiceImageTags">
    <vt:lpwstr/>
  </property>
  <property fmtid="{D5CDD505-2E9C-101B-9397-08002B2CF9AE}" pid="40" name="ClassificationContentMarkingHeaderShapeIds">
    <vt:lpwstr>7f8f3c86,d4b358,555ea0b9</vt:lpwstr>
  </property>
  <property fmtid="{D5CDD505-2E9C-101B-9397-08002B2CF9AE}" pid="41" name="ClassificationContentMarkingHeaderFontProps">
    <vt:lpwstr>#000000,12,Calibri</vt:lpwstr>
  </property>
  <property fmtid="{D5CDD505-2E9C-101B-9397-08002B2CF9AE}" pid="42" name="ClassificationContentMarkingHeaderText">
    <vt:lpwstr>Internal</vt:lpwstr>
  </property>
  <property fmtid="{D5CDD505-2E9C-101B-9397-08002B2CF9AE}" pid="43" name="docLang">
    <vt:lpwstr>en</vt:lpwstr>
  </property>
</Properties>
</file>