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E34D" w14:textId="77777777" w:rsidR="00DA1860" w:rsidRPr="00CC6638" w:rsidRDefault="00DA1860" w:rsidP="002726F7">
      <w:pPr>
        <w:pStyle w:val="Title"/>
      </w:pPr>
      <w:bookmarkStart w:id="1" w:name="_Toc167875311"/>
      <w:bookmarkStart w:id="2" w:name="_Toc192155912"/>
    </w:p>
    <w:p w14:paraId="3E3498E1" w14:textId="77777777" w:rsidR="00DA1860" w:rsidRPr="00CC6638" w:rsidRDefault="00DA1860" w:rsidP="002726F7">
      <w:pPr>
        <w:pStyle w:val="Title"/>
      </w:pPr>
    </w:p>
    <w:p w14:paraId="244DF0D4" w14:textId="7658DFE6" w:rsidR="001A70B7" w:rsidRPr="005F0D7F" w:rsidRDefault="001A70B7" w:rsidP="00FF0EBA">
      <w:pPr>
        <w:pStyle w:val="Title"/>
      </w:pPr>
      <w:bookmarkStart w:id="3" w:name="_Toc222554957"/>
      <w:r w:rsidRPr="005F0D7F">
        <w:t xml:space="preserve">Engaging employers to </w:t>
      </w:r>
      <w:r w:rsidR="00D3179C" w:rsidRPr="005F0D7F">
        <w:t>increase the employment of</w:t>
      </w:r>
      <w:r w:rsidRPr="005F0D7F">
        <w:t xml:space="preserve"> people with disability in Australia</w:t>
      </w:r>
    </w:p>
    <w:p w14:paraId="097EDACC" w14:textId="6F9C4E8C" w:rsidR="00883DBC" w:rsidRPr="005F0D7F" w:rsidRDefault="00D52EAB" w:rsidP="00FF0EBA">
      <w:pPr>
        <w:pStyle w:val="Subtitle"/>
      </w:pPr>
      <w:r w:rsidRPr="005F0D7F">
        <w:t xml:space="preserve">Appendices and </w:t>
      </w:r>
      <w:r w:rsidR="009130EA">
        <w:t>r</w:t>
      </w:r>
      <w:r w:rsidRPr="005F0D7F">
        <w:t>eferences</w:t>
      </w:r>
      <w:bookmarkEnd w:id="3"/>
    </w:p>
    <w:p w14:paraId="64DAC78D" w14:textId="77777777" w:rsidR="00626A6E" w:rsidRPr="00CC6638" w:rsidRDefault="00626A6E" w:rsidP="002726F7"/>
    <w:p w14:paraId="340F0F4C" w14:textId="77777777" w:rsidR="00626A6E" w:rsidRPr="00CC6638" w:rsidRDefault="00626A6E" w:rsidP="002726F7"/>
    <w:p w14:paraId="4111A3D6" w14:textId="77777777" w:rsidR="00626A6E" w:rsidRPr="00CC6638" w:rsidRDefault="00626A6E" w:rsidP="002726F7"/>
    <w:p w14:paraId="60B146D7" w14:textId="77777777" w:rsidR="00626A6E" w:rsidRPr="00CC6638" w:rsidRDefault="00626A6E" w:rsidP="002726F7"/>
    <w:p w14:paraId="326CC7A5" w14:textId="77777777" w:rsidR="00626A6E" w:rsidRPr="00CC6638" w:rsidRDefault="00626A6E" w:rsidP="002726F7"/>
    <w:p w14:paraId="6D2E25F7" w14:textId="77777777" w:rsidR="00E806DF" w:rsidRPr="00CC6638" w:rsidRDefault="00E806DF" w:rsidP="002726F7"/>
    <w:p w14:paraId="4A465571" w14:textId="77777777" w:rsidR="00E806DF" w:rsidRPr="00CC6638" w:rsidRDefault="00E806DF" w:rsidP="002726F7"/>
    <w:p w14:paraId="099082AB" w14:textId="77777777" w:rsidR="00E806DF" w:rsidRPr="00CC6638" w:rsidRDefault="00E806DF" w:rsidP="002726F7"/>
    <w:p w14:paraId="292D5F30" w14:textId="171ED0E7" w:rsidR="00813CC7" w:rsidRPr="00CC6638" w:rsidRDefault="00870D44" w:rsidP="002726F7">
      <w:r w:rsidRPr="00CC6638">
        <w:t>Dr Iresha Donmanige</w:t>
      </w:r>
      <w:r>
        <w:t xml:space="preserve">, </w:t>
      </w:r>
      <w:r w:rsidR="00813CC7" w:rsidRPr="00CC6638">
        <w:t xml:space="preserve">Dr Qian Yi Lee and </w:t>
      </w:r>
      <w:r w:rsidRPr="00CC6638">
        <w:t>Professor Jo Ingold</w:t>
      </w:r>
    </w:p>
    <w:p w14:paraId="4CA96C8F" w14:textId="1FDF5E95" w:rsidR="00813CC7" w:rsidRPr="00CC6638" w:rsidRDefault="0026459F" w:rsidP="002726F7">
      <w:r>
        <w:t>April</w:t>
      </w:r>
      <w:r w:rsidR="00813CC7" w:rsidRPr="00CC6638">
        <w:t xml:space="preserve"> 2026</w:t>
      </w:r>
    </w:p>
    <w:p w14:paraId="76456D4B" w14:textId="77777777" w:rsidR="00626A6E" w:rsidRPr="00CC6638" w:rsidRDefault="00626A6E" w:rsidP="002726F7"/>
    <w:p w14:paraId="413083D0" w14:textId="77777777" w:rsidR="00444C41" w:rsidRPr="007C1D12" w:rsidRDefault="00444C41" w:rsidP="002726F7">
      <w:pPr>
        <w:rPr>
          <w:b/>
          <w:bCs/>
        </w:rPr>
      </w:pPr>
      <w:r w:rsidRPr="007C1D12">
        <w:rPr>
          <w:b/>
          <w:bCs/>
        </w:rPr>
        <w:t xml:space="preserve">Acknowledgement of Country  </w:t>
      </w:r>
    </w:p>
    <w:p w14:paraId="7D3D9581" w14:textId="77777777" w:rsidR="00444C41" w:rsidRPr="00CC6638" w:rsidRDefault="00444C41" w:rsidP="002726F7">
      <w:r w:rsidRPr="00CC6638">
        <w:t>We respectfully acknowledge the Wurundjeri People of the Kulin Nation, who are the Traditional Owners of the land on which Centre for Inclusive Employment 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partners and visitors.</w:t>
      </w:r>
    </w:p>
    <w:p w14:paraId="3E9D78FD" w14:textId="3475BC26" w:rsidR="00444C41" w:rsidRPr="00CC6638" w:rsidRDefault="00444C41" w:rsidP="002726F7">
      <w:r w:rsidRPr="00CC6638">
        <w:t>We also acknowledge and respect the Traditional Owners of lands across Australia, their Elders, Ancestors, cultures, and heritage, and recognise the continuing sovereignties of all Aboriginal and Torres Strait Islander Nations. </w:t>
      </w:r>
    </w:p>
    <w:p w14:paraId="4E944574" w14:textId="03BF4854" w:rsidR="00857183" w:rsidRPr="00CC6638" w:rsidRDefault="00444C41" w:rsidP="002726F7">
      <w:r w:rsidRPr="00CC6638">
        <w:t xml:space="preserve">This evidence synthesis was commissioned by the Centre for Inclusive Employment on behalf of the Department of Social Services. </w:t>
      </w:r>
    </w:p>
    <w:p w14:paraId="7809EEF4" w14:textId="77777777" w:rsidR="00444C41" w:rsidRPr="007C1D12" w:rsidRDefault="00444C41" w:rsidP="002726F7">
      <w:pPr>
        <w:rPr>
          <w:b/>
          <w:bCs/>
        </w:rPr>
      </w:pPr>
      <w:r w:rsidRPr="007C1D12">
        <w:rPr>
          <w:b/>
          <w:bCs/>
        </w:rPr>
        <w:t>This report was prepared by:</w:t>
      </w:r>
    </w:p>
    <w:p w14:paraId="302109D7" w14:textId="0B7B6F50" w:rsidR="00444C41" w:rsidRPr="00CC6638" w:rsidRDefault="00870D44" w:rsidP="002726F7">
      <w:r w:rsidRPr="00CC6638">
        <w:t>Dr Iresha Donmanige</w:t>
      </w:r>
      <w:r w:rsidR="00444C41" w:rsidRPr="00CC6638">
        <w:t xml:space="preserve">, Dr Qian Yi Lee and </w:t>
      </w:r>
      <w:r w:rsidRPr="00CC6638">
        <w:t xml:space="preserve">Professor Jo Ingold </w:t>
      </w:r>
    </w:p>
    <w:p w14:paraId="161FECCC" w14:textId="6D16A012" w:rsidR="00857183" w:rsidRPr="00CC6638" w:rsidRDefault="00857183" w:rsidP="002726F7">
      <w:r>
        <w:t>April</w:t>
      </w:r>
      <w:r w:rsidR="00444C41" w:rsidRPr="00CC6638">
        <w:t xml:space="preserve"> 2026</w:t>
      </w:r>
    </w:p>
    <w:p w14:paraId="0FFBCFF8" w14:textId="77777777" w:rsidR="00444C41" w:rsidRPr="007C1D12" w:rsidRDefault="00444C41" w:rsidP="002726F7">
      <w:pPr>
        <w:rPr>
          <w:b/>
          <w:bCs/>
          <w:szCs w:val="24"/>
        </w:rPr>
      </w:pPr>
      <w:r w:rsidRPr="007C1D12">
        <w:rPr>
          <w:b/>
          <w:bCs/>
        </w:rPr>
        <w:t>Address for correspondence</w:t>
      </w:r>
    </w:p>
    <w:p w14:paraId="4A660FD2" w14:textId="77777777" w:rsidR="00444C41" w:rsidRPr="00CC6638" w:rsidRDefault="00444C41" w:rsidP="002726F7">
      <w:r w:rsidRPr="00CC6638">
        <w:t>jo.ingold@acu.edu.acu</w:t>
      </w:r>
    </w:p>
    <w:p w14:paraId="4879C401" w14:textId="77777777" w:rsidR="00444C41" w:rsidRPr="007C1D12" w:rsidRDefault="00444C41" w:rsidP="002726F7">
      <w:pPr>
        <w:rPr>
          <w:b/>
          <w:bCs/>
        </w:rPr>
      </w:pPr>
      <w:r w:rsidRPr="007C1D12">
        <w:rPr>
          <w:b/>
          <w:bCs/>
        </w:rPr>
        <w:t>Suggested citation:</w:t>
      </w:r>
    </w:p>
    <w:p w14:paraId="66787C6C" w14:textId="22877DE8" w:rsidR="00444C41" w:rsidRPr="008D289D" w:rsidRDefault="00444C41" w:rsidP="002726F7">
      <w:pPr>
        <w:rPr>
          <w:b/>
          <w:i/>
          <w:iCs/>
        </w:rPr>
      </w:pPr>
      <w:r w:rsidRPr="00CC6638">
        <w:rPr>
          <w:rFonts w:cs="Poppins"/>
        </w:rPr>
        <w:t>Donmanige, I.</w:t>
      </w:r>
      <w:r w:rsidR="00870D44">
        <w:rPr>
          <w:rFonts w:cs="Poppins"/>
        </w:rPr>
        <w:t xml:space="preserve">, </w:t>
      </w:r>
      <w:r w:rsidR="00870D44" w:rsidRPr="00CC6638">
        <w:rPr>
          <w:rFonts w:cs="Poppins"/>
        </w:rPr>
        <w:t>Lee, Q.Y. &amp; Ingold, J.</w:t>
      </w:r>
      <w:r w:rsidR="00870D44">
        <w:rPr>
          <w:rFonts w:cs="Poppins"/>
        </w:rPr>
        <w:t xml:space="preserve"> </w:t>
      </w:r>
      <w:r w:rsidRPr="00CC6638">
        <w:rPr>
          <w:rFonts w:cs="Poppins"/>
        </w:rPr>
        <w:t>(2026)</w:t>
      </w:r>
      <w:r w:rsidRPr="00CC6638">
        <w:rPr>
          <w:rFonts w:cs="Poppins"/>
          <w:i/>
          <w:iCs/>
        </w:rPr>
        <w:t xml:space="preserve"> </w:t>
      </w:r>
      <w:r w:rsidRPr="00CC6638">
        <w:t xml:space="preserve">Engaging employers to </w:t>
      </w:r>
      <w:r w:rsidR="00D3179C">
        <w:t xml:space="preserve">increase the employment of </w:t>
      </w:r>
      <w:r w:rsidRPr="00CC6638">
        <w:t xml:space="preserve">people with disability in Australia. </w:t>
      </w:r>
      <w:r w:rsidR="009130EA">
        <w:t xml:space="preserve">Appendices and references. </w:t>
      </w:r>
      <w:r w:rsidRPr="00CC6638">
        <w:t>Centre for Inclusive Employment</w:t>
      </w:r>
      <w:r w:rsidR="007C1D12">
        <w:t>.</w:t>
      </w:r>
    </w:p>
    <w:p w14:paraId="374A2A35" w14:textId="77777777" w:rsidR="00444C41" w:rsidRPr="00CC6638" w:rsidRDefault="00444C41" w:rsidP="002726F7">
      <w:r w:rsidRPr="00A83B0C">
        <w:rPr>
          <w:b/>
          <w:bCs/>
        </w:rPr>
        <w:t>Keywords:</w:t>
      </w:r>
      <w:r w:rsidRPr="00CC6638">
        <w:t xml:space="preserve"> employer engagement, employers, business, disability</w:t>
      </w:r>
    </w:p>
    <w:p w14:paraId="6CFC5154" w14:textId="1F354FA0" w:rsidR="003B0CBA" w:rsidRPr="00CC47A4" w:rsidRDefault="003B0CBA" w:rsidP="003B0CBA">
      <w:pPr>
        <w:widowControl/>
      </w:pPr>
      <w:r w:rsidRPr="00726D9F">
        <w:rPr>
          <w:b/>
          <w:bCs/>
        </w:rPr>
        <w:t xml:space="preserve">Disclaimer: </w:t>
      </w:r>
      <w:r>
        <w:t>This evidence synthesis was produced using a methodology commissioned by the Centre for Inclusive Employment.</w:t>
      </w:r>
    </w:p>
    <w:p w14:paraId="26C8ECF1" w14:textId="77777777" w:rsidR="003B0CBA" w:rsidRPr="00726D9F" w:rsidRDefault="003B0CBA" w:rsidP="003B0CBA">
      <w:pPr>
        <w:widowControl/>
      </w:pPr>
      <w:r>
        <w:t>The evidence was current at the time of production.</w:t>
      </w:r>
    </w:p>
    <w:p w14:paraId="7A07F103" w14:textId="0536A2E9" w:rsidR="00857183" w:rsidRPr="00A83B0C" w:rsidRDefault="00857183" w:rsidP="002726F7">
      <w:pPr>
        <w:rPr>
          <w:sz w:val="22"/>
          <w:szCs w:val="21"/>
        </w:rPr>
      </w:pPr>
      <w:r w:rsidRPr="00A83B0C">
        <w:rPr>
          <w:sz w:val="22"/>
          <w:szCs w:val="21"/>
        </w:rPr>
        <w:t>© Commonwealth of Australia 2026</w:t>
      </w:r>
    </w:p>
    <w:p w14:paraId="5CD078E8" w14:textId="77777777" w:rsidR="00EA2509" w:rsidRPr="00A83B0C" w:rsidRDefault="00EA2509" w:rsidP="002726F7">
      <w:pPr>
        <w:rPr>
          <w:sz w:val="22"/>
          <w:szCs w:val="21"/>
        </w:rPr>
      </w:pPr>
      <w:r w:rsidRPr="00A83B0C">
        <w:rPr>
          <w:sz w:val="22"/>
          <w:szCs w:val="21"/>
        </w:rPr>
        <w:br w:type="page"/>
      </w:r>
    </w:p>
    <w:p w14:paraId="040F2A2A" w14:textId="7B00DCD4" w:rsidR="0004015B" w:rsidRPr="00A83B0C" w:rsidRDefault="00564D60" w:rsidP="002726F7">
      <w:pPr>
        <w:rPr>
          <w:b/>
          <w:bCs/>
          <w:sz w:val="36"/>
          <w:szCs w:val="36"/>
        </w:rPr>
      </w:pPr>
      <w:r>
        <w:rPr>
          <w:b/>
          <w:bCs/>
          <w:color w:val="65328F" w:themeColor="accent1"/>
          <w:sz w:val="36"/>
          <w:szCs w:val="36"/>
        </w:rPr>
        <w:lastRenderedPageBreak/>
        <w:t>Contents</w:t>
      </w:r>
      <w:r w:rsidR="00077979" w:rsidRPr="00A83B0C">
        <w:rPr>
          <w:b/>
          <w:bCs/>
          <w:sz w:val="36"/>
          <w:szCs w:val="36"/>
        </w:rPr>
        <w:t xml:space="preserve"> </w:t>
      </w:r>
    </w:p>
    <w:p w14:paraId="34B29C90" w14:textId="24EE9A8D"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r>
        <w:rPr>
          <w:rFonts w:asciiTheme="minorHAnsi" w:hAnsiTheme="minorHAnsi"/>
          <w:b w:val="0"/>
          <w:bCs w:val="0"/>
          <w:iCs w:val="0"/>
          <w:sz w:val="20"/>
          <w:szCs w:val="20"/>
        </w:rPr>
        <w:fldChar w:fldCharType="begin"/>
      </w:r>
      <w:r>
        <w:rPr>
          <w:rFonts w:asciiTheme="minorHAnsi" w:hAnsiTheme="minorHAnsi"/>
          <w:b w:val="0"/>
          <w:bCs w:val="0"/>
          <w:iCs w:val="0"/>
          <w:sz w:val="20"/>
          <w:szCs w:val="20"/>
        </w:rPr>
        <w:instrText xml:space="preserve"> TOC \o "1-3" \h \z \u </w:instrText>
      </w:r>
      <w:r>
        <w:rPr>
          <w:rFonts w:asciiTheme="minorHAnsi" w:hAnsiTheme="minorHAnsi"/>
          <w:b w:val="0"/>
          <w:bCs w:val="0"/>
          <w:iCs w:val="0"/>
          <w:sz w:val="20"/>
          <w:szCs w:val="20"/>
        </w:rPr>
        <w:fldChar w:fldCharType="separate"/>
      </w:r>
      <w:hyperlink w:anchor="_Toc232075638" w:history="1">
        <w:r w:rsidRPr="005A796E">
          <w:rPr>
            <w:rStyle w:val="Hyperlink"/>
            <w:noProof/>
          </w:rPr>
          <w:t>Introduction to the methodology</w:t>
        </w:r>
        <w:r>
          <w:rPr>
            <w:noProof/>
            <w:webHidden/>
          </w:rPr>
          <w:tab/>
        </w:r>
        <w:r>
          <w:rPr>
            <w:noProof/>
            <w:webHidden/>
          </w:rPr>
          <w:fldChar w:fldCharType="begin"/>
        </w:r>
        <w:r>
          <w:rPr>
            <w:noProof/>
            <w:webHidden/>
          </w:rPr>
          <w:instrText xml:space="preserve"> PAGEREF _Toc232075638 \h </w:instrText>
        </w:r>
        <w:r>
          <w:rPr>
            <w:noProof/>
            <w:webHidden/>
          </w:rPr>
        </w:r>
        <w:r>
          <w:rPr>
            <w:noProof/>
            <w:webHidden/>
          </w:rPr>
          <w:fldChar w:fldCharType="separate"/>
        </w:r>
        <w:r>
          <w:rPr>
            <w:noProof/>
            <w:webHidden/>
          </w:rPr>
          <w:t>4</w:t>
        </w:r>
        <w:r>
          <w:rPr>
            <w:noProof/>
            <w:webHidden/>
          </w:rPr>
          <w:fldChar w:fldCharType="end"/>
        </w:r>
      </w:hyperlink>
    </w:p>
    <w:p w14:paraId="432D0C84" w14:textId="0D1742FB" w:rsidR="0020158A" w:rsidRDefault="0020158A">
      <w:pPr>
        <w:pStyle w:val="TOC2"/>
        <w:tabs>
          <w:tab w:val="right" w:leader="dot" w:pos="9628"/>
        </w:tabs>
        <w:rPr>
          <w:rFonts w:asciiTheme="minorHAnsi" w:eastAsiaTheme="minorEastAsia" w:hAnsiTheme="minorHAnsi" w:cstheme="minorBidi"/>
          <w:bCs w:val="0"/>
          <w:noProof/>
          <w:color w:val="auto"/>
          <w:kern w:val="2"/>
          <w:szCs w:val="24"/>
          <w:lang w:eastAsia="en-GB"/>
          <w14:ligatures w14:val="standardContextual"/>
        </w:rPr>
      </w:pPr>
      <w:hyperlink w:anchor="_Toc232075639" w:history="1">
        <w:r w:rsidRPr="005A796E">
          <w:rPr>
            <w:rStyle w:val="Hyperlink"/>
            <w:noProof/>
          </w:rPr>
          <w:t>Search strategies and identification of materials</w:t>
        </w:r>
        <w:r>
          <w:rPr>
            <w:noProof/>
            <w:webHidden/>
          </w:rPr>
          <w:tab/>
        </w:r>
        <w:r>
          <w:rPr>
            <w:noProof/>
            <w:webHidden/>
          </w:rPr>
          <w:fldChar w:fldCharType="begin"/>
        </w:r>
        <w:r>
          <w:rPr>
            <w:noProof/>
            <w:webHidden/>
          </w:rPr>
          <w:instrText xml:space="preserve"> PAGEREF _Toc232075639 \h </w:instrText>
        </w:r>
        <w:r>
          <w:rPr>
            <w:noProof/>
            <w:webHidden/>
          </w:rPr>
        </w:r>
        <w:r>
          <w:rPr>
            <w:noProof/>
            <w:webHidden/>
          </w:rPr>
          <w:fldChar w:fldCharType="separate"/>
        </w:r>
        <w:r>
          <w:rPr>
            <w:noProof/>
            <w:webHidden/>
          </w:rPr>
          <w:t>4</w:t>
        </w:r>
        <w:r>
          <w:rPr>
            <w:noProof/>
            <w:webHidden/>
          </w:rPr>
          <w:fldChar w:fldCharType="end"/>
        </w:r>
      </w:hyperlink>
    </w:p>
    <w:p w14:paraId="3245F361" w14:textId="274F6FCA" w:rsidR="0020158A" w:rsidRDefault="0020158A">
      <w:pPr>
        <w:pStyle w:val="TOC2"/>
        <w:tabs>
          <w:tab w:val="right" w:leader="dot" w:pos="9628"/>
        </w:tabs>
        <w:rPr>
          <w:rFonts w:asciiTheme="minorHAnsi" w:eastAsiaTheme="minorEastAsia" w:hAnsiTheme="minorHAnsi" w:cstheme="minorBidi"/>
          <w:bCs w:val="0"/>
          <w:noProof/>
          <w:color w:val="auto"/>
          <w:kern w:val="2"/>
          <w:szCs w:val="24"/>
          <w:lang w:eastAsia="en-GB"/>
          <w14:ligatures w14:val="standardContextual"/>
        </w:rPr>
      </w:pPr>
      <w:hyperlink w:anchor="_Toc232075640" w:history="1">
        <w:r w:rsidRPr="005A796E">
          <w:rPr>
            <w:rStyle w:val="Hyperlink"/>
            <w:noProof/>
          </w:rPr>
          <w:t>Extraction and analysis of materials</w:t>
        </w:r>
        <w:r>
          <w:rPr>
            <w:noProof/>
            <w:webHidden/>
          </w:rPr>
          <w:tab/>
        </w:r>
        <w:r>
          <w:rPr>
            <w:noProof/>
            <w:webHidden/>
          </w:rPr>
          <w:fldChar w:fldCharType="begin"/>
        </w:r>
        <w:r>
          <w:rPr>
            <w:noProof/>
            <w:webHidden/>
          </w:rPr>
          <w:instrText xml:space="preserve"> PAGEREF _Toc232075640 \h </w:instrText>
        </w:r>
        <w:r>
          <w:rPr>
            <w:noProof/>
            <w:webHidden/>
          </w:rPr>
        </w:r>
        <w:r>
          <w:rPr>
            <w:noProof/>
            <w:webHidden/>
          </w:rPr>
          <w:fldChar w:fldCharType="separate"/>
        </w:r>
        <w:r>
          <w:rPr>
            <w:noProof/>
            <w:webHidden/>
          </w:rPr>
          <w:t>6</w:t>
        </w:r>
        <w:r>
          <w:rPr>
            <w:noProof/>
            <w:webHidden/>
          </w:rPr>
          <w:fldChar w:fldCharType="end"/>
        </w:r>
      </w:hyperlink>
    </w:p>
    <w:p w14:paraId="40969865" w14:textId="31AB1D66" w:rsidR="0020158A" w:rsidRDefault="0020158A">
      <w:pPr>
        <w:pStyle w:val="TOC3"/>
        <w:tabs>
          <w:tab w:val="right" w:leader="dot" w:pos="9628"/>
        </w:tabs>
        <w:rPr>
          <w:rFonts w:asciiTheme="minorHAnsi" w:eastAsiaTheme="minorEastAsia" w:hAnsiTheme="minorHAnsi" w:cstheme="minorBidi"/>
          <w:noProof/>
          <w:color w:val="auto"/>
          <w:kern w:val="2"/>
          <w:szCs w:val="24"/>
          <w:lang w:eastAsia="en-GB"/>
          <w14:ligatures w14:val="standardContextual"/>
        </w:rPr>
      </w:pPr>
      <w:hyperlink w:anchor="_Toc232075641" w:history="1">
        <w:r w:rsidRPr="005A796E">
          <w:rPr>
            <w:rStyle w:val="Hyperlink"/>
            <w:noProof/>
          </w:rPr>
          <w:t>Assessing quality and relevance</w:t>
        </w:r>
        <w:r>
          <w:rPr>
            <w:noProof/>
            <w:webHidden/>
          </w:rPr>
          <w:tab/>
        </w:r>
        <w:r>
          <w:rPr>
            <w:noProof/>
            <w:webHidden/>
          </w:rPr>
          <w:fldChar w:fldCharType="begin"/>
        </w:r>
        <w:r>
          <w:rPr>
            <w:noProof/>
            <w:webHidden/>
          </w:rPr>
          <w:instrText xml:space="preserve"> PAGEREF _Toc232075641 \h </w:instrText>
        </w:r>
        <w:r>
          <w:rPr>
            <w:noProof/>
            <w:webHidden/>
          </w:rPr>
        </w:r>
        <w:r>
          <w:rPr>
            <w:noProof/>
            <w:webHidden/>
          </w:rPr>
          <w:fldChar w:fldCharType="separate"/>
        </w:r>
        <w:r>
          <w:rPr>
            <w:noProof/>
            <w:webHidden/>
          </w:rPr>
          <w:t>6</w:t>
        </w:r>
        <w:r>
          <w:rPr>
            <w:noProof/>
            <w:webHidden/>
          </w:rPr>
          <w:fldChar w:fldCharType="end"/>
        </w:r>
      </w:hyperlink>
    </w:p>
    <w:p w14:paraId="6C613175" w14:textId="18D73AA0" w:rsidR="0020158A" w:rsidRDefault="0020158A">
      <w:pPr>
        <w:pStyle w:val="TOC3"/>
        <w:tabs>
          <w:tab w:val="right" w:leader="dot" w:pos="9628"/>
        </w:tabs>
        <w:rPr>
          <w:rFonts w:asciiTheme="minorHAnsi" w:eastAsiaTheme="minorEastAsia" w:hAnsiTheme="minorHAnsi" w:cstheme="minorBidi"/>
          <w:noProof/>
          <w:color w:val="auto"/>
          <w:kern w:val="2"/>
          <w:szCs w:val="24"/>
          <w:lang w:eastAsia="en-GB"/>
          <w14:ligatures w14:val="standardContextual"/>
        </w:rPr>
      </w:pPr>
      <w:hyperlink w:anchor="_Toc232075642" w:history="1">
        <w:r w:rsidRPr="005A796E">
          <w:rPr>
            <w:rStyle w:val="Hyperlink"/>
            <w:noProof/>
          </w:rPr>
          <w:t>Who were the target audiences for materials examined?</w:t>
        </w:r>
        <w:r>
          <w:rPr>
            <w:noProof/>
            <w:webHidden/>
          </w:rPr>
          <w:tab/>
        </w:r>
        <w:r>
          <w:rPr>
            <w:noProof/>
            <w:webHidden/>
          </w:rPr>
          <w:fldChar w:fldCharType="begin"/>
        </w:r>
        <w:r>
          <w:rPr>
            <w:noProof/>
            <w:webHidden/>
          </w:rPr>
          <w:instrText xml:space="preserve"> PAGEREF _Toc232075642 \h </w:instrText>
        </w:r>
        <w:r>
          <w:rPr>
            <w:noProof/>
            <w:webHidden/>
          </w:rPr>
        </w:r>
        <w:r>
          <w:rPr>
            <w:noProof/>
            <w:webHidden/>
          </w:rPr>
          <w:fldChar w:fldCharType="separate"/>
        </w:r>
        <w:r>
          <w:rPr>
            <w:noProof/>
            <w:webHidden/>
          </w:rPr>
          <w:t>7</w:t>
        </w:r>
        <w:r>
          <w:rPr>
            <w:noProof/>
            <w:webHidden/>
          </w:rPr>
          <w:fldChar w:fldCharType="end"/>
        </w:r>
      </w:hyperlink>
    </w:p>
    <w:p w14:paraId="67B33C61" w14:textId="15CB0A6E" w:rsidR="0020158A" w:rsidRDefault="0020158A">
      <w:pPr>
        <w:pStyle w:val="TOC3"/>
        <w:tabs>
          <w:tab w:val="right" w:leader="dot" w:pos="9628"/>
        </w:tabs>
        <w:rPr>
          <w:rFonts w:asciiTheme="minorHAnsi" w:eastAsiaTheme="minorEastAsia" w:hAnsiTheme="minorHAnsi" w:cstheme="minorBidi"/>
          <w:noProof/>
          <w:color w:val="auto"/>
          <w:kern w:val="2"/>
          <w:szCs w:val="24"/>
          <w:lang w:eastAsia="en-GB"/>
          <w14:ligatures w14:val="standardContextual"/>
        </w:rPr>
      </w:pPr>
      <w:hyperlink w:anchor="_Toc232075643" w:history="1">
        <w:r w:rsidRPr="005A796E">
          <w:rPr>
            <w:rStyle w:val="Hyperlink"/>
            <w:noProof/>
          </w:rPr>
          <w:t>How many resources were focused on disability?</w:t>
        </w:r>
        <w:r>
          <w:rPr>
            <w:noProof/>
            <w:webHidden/>
          </w:rPr>
          <w:tab/>
        </w:r>
        <w:r>
          <w:rPr>
            <w:noProof/>
            <w:webHidden/>
          </w:rPr>
          <w:fldChar w:fldCharType="begin"/>
        </w:r>
        <w:r>
          <w:rPr>
            <w:noProof/>
            <w:webHidden/>
          </w:rPr>
          <w:instrText xml:space="preserve"> PAGEREF _Toc232075643 \h </w:instrText>
        </w:r>
        <w:r>
          <w:rPr>
            <w:noProof/>
            <w:webHidden/>
          </w:rPr>
        </w:r>
        <w:r>
          <w:rPr>
            <w:noProof/>
            <w:webHidden/>
          </w:rPr>
          <w:fldChar w:fldCharType="separate"/>
        </w:r>
        <w:r>
          <w:rPr>
            <w:noProof/>
            <w:webHidden/>
          </w:rPr>
          <w:t>7</w:t>
        </w:r>
        <w:r>
          <w:rPr>
            <w:noProof/>
            <w:webHidden/>
          </w:rPr>
          <w:fldChar w:fldCharType="end"/>
        </w:r>
      </w:hyperlink>
    </w:p>
    <w:p w14:paraId="62203E36" w14:textId="4552E6C5"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hyperlink w:anchor="_Toc232075644" w:history="1">
        <w:r w:rsidRPr="005A796E">
          <w:rPr>
            <w:rStyle w:val="Hyperlink"/>
            <w:noProof/>
          </w:rPr>
          <w:t>Appendix A. Eligibility criteria summary (PICOS)</w:t>
        </w:r>
        <w:r>
          <w:rPr>
            <w:noProof/>
            <w:webHidden/>
          </w:rPr>
          <w:tab/>
        </w:r>
        <w:r>
          <w:rPr>
            <w:noProof/>
            <w:webHidden/>
          </w:rPr>
          <w:fldChar w:fldCharType="begin"/>
        </w:r>
        <w:r>
          <w:rPr>
            <w:noProof/>
            <w:webHidden/>
          </w:rPr>
          <w:instrText xml:space="preserve"> PAGEREF _Toc232075644 \h </w:instrText>
        </w:r>
        <w:r>
          <w:rPr>
            <w:noProof/>
            <w:webHidden/>
          </w:rPr>
        </w:r>
        <w:r>
          <w:rPr>
            <w:noProof/>
            <w:webHidden/>
          </w:rPr>
          <w:fldChar w:fldCharType="separate"/>
        </w:r>
        <w:r>
          <w:rPr>
            <w:noProof/>
            <w:webHidden/>
          </w:rPr>
          <w:t>8</w:t>
        </w:r>
        <w:r>
          <w:rPr>
            <w:noProof/>
            <w:webHidden/>
          </w:rPr>
          <w:fldChar w:fldCharType="end"/>
        </w:r>
      </w:hyperlink>
    </w:p>
    <w:p w14:paraId="09FF89D1" w14:textId="7F06C5E2"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hyperlink w:anchor="_Toc232075645" w:history="1">
        <w:r w:rsidRPr="005A796E">
          <w:rPr>
            <w:rStyle w:val="Hyperlink"/>
            <w:noProof/>
          </w:rPr>
          <w:t>Appendix B. Initial search strategy and database results (Jan – Mar 2026)</w:t>
        </w:r>
        <w:r>
          <w:rPr>
            <w:noProof/>
            <w:webHidden/>
          </w:rPr>
          <w:tab/>
        </w:r>
        <w:r>
          <w:rPr>
            <w:noProof/>
            <w:webHidden/>
          </w:rPr>
          <w:fldChar w:fldCharType="begin"/>
        </w:r>
        <w:r>
          <w:rPr>
            <w:noProof/>
            <w:webHidden/>
          </w:rPr>
          <w:instrText xml:space="preserve"> PAGEREF _Toc232075645 \h </w:instrText>
        </w:r>
        <w:r>
          <w:rPr>
            <w:noProof/>
            <w:webHidden/>
          </w:rPr>
        </w:r>
        <w:r>
          <w:rPr>
            <w:noProof/>
            <w:webHidden/>
          </w:rPr>
          <w:fldChar w:fldCharType="separate"/>
        </w:r>
        <w:r>
          <w:rPr>
            <w:noProof/>
            <w:webHidden/>
          </w:rPr>
          <w:t>10</w:t>
        </w:r>
        <w:r>
          <w:rPr>
            <w:noProof/>
            <w:webHidden/>
          </w:rPr>
          <w:fldChar w:fldCharType="end"/>
        </w:r>
      </w:hyperlink>
    </w:p>
    <w:p w14:paraId="2B56D57E" w14:textId="23F4F631"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hyperlink w:anchor="_Toc232075646" w:history="1">
        <w:r w:rsidRPr="005A796E">
          <w:rPr>
            <w:rStyle w:val="Hyperlink"/>
            <w:noProof/>
          </w:rPr>
          <w:t>Appendix C. PRISMA 2020 flow diagram</w:t>
        </w:r>
        <w:r>
          <w:rPr>
            <w:noProof/>
            <w:webHidden/>
          </w:rPr>
          <w:tab/>
        </w:r>
        <w:r>
          <w:rPr>
            <w:noProof/>
            <w:webHidden/>
          </w:rPr>
          <w:fldChar w:fldCharType="begin"/>
        </w:r>
        <w:r>
          <w:rPr>
            <w:noProof/>
            <w:webHidden/>
          </w:rPr>
          <w:instrText xml:space="preserve"> PAGEREF _Toc232075646 \h </w:instrText>
        </w:r>
        <w:r>
          <w:rPr>
            <w:noProof/>
            <w:webHidden/>
          </w:rPr>
        </w:r>
        <w:r>
          <w:rPr>
            <w:noProof/>
            <w:webHidden/>
          </w:rPr>
          <w:fldChar w:fldCharType="separate"/>
        </w:r>
        <w:r>
          <w:rPr>
            <w:noProof/>
            <w:webHidden/>
          </w:rPr>
          <w:t>17</w:t>
        </w:r>
        <w:r>
          <w:rPr>
            <w:noProof/>
            <w:webHidden/>
          </w:rPr>
          <w:fldChar w:fldCharType="end"/>
        </w:r>
      </w:hyperlink>
    </w:p>
    <w:p w14:paraId="3D490FF3" w14:textId="0DCE8E1C"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hyperlink w:anchor="_Toc232075647" w:history="1">
        <w:r w:rsidRPr="005A796E">
          <w:rPr>
            <w:rStyle w:val="Hyperlink"/>
            <w:noProof/>
          </w:rPr>
          <w:t>Appendix D. Types of evidence sources included in the evidence synthesis</w:t>
        </w:r>
        <w:r>
          <w:rPr>
            <w:noProof/>
            <w:webHidden/>
          </w:rPr>
          <w:tab/>
        </w:r>
        <w:r>
          <w:rPr>
            <w:noProof/>
            <w:webHidden/>
          </w:rPr>
          <w:fldChar w:fldCharType="begin"/>
        </w:r>
        <w:r>
          <w:rPr>
            <w:noProof/>
            <w:webHidden/>
          </w:rPr>
          <w:instrText xml:space="preserve"> PAGEREF _Toc232075647 \h </w:instrText>
        </w:r>
        <w:r>
          <w:rPr>
            <w:noProof/>
            <w:webHidden/>
          </w:rPr>
        </w:r>
        <w:r>
          <w:rPr>
            <w:noProof/>
            <w:webHidden/>
          </w:rPr>
          <w:fldChar w:fldCharType="separate"/>
        </w:r>
        <w:r>
          <w:rPr>
            <w:noProof/>
            <w:webHidden/>
          </w:rPr>
          <w:t>18</w:t>
        </w:r>
        <w:r>
          <w:rPr>
            <w:noProof/>
            <w:webHidden/>
          </w:rPr>
          <w:fldChar w:fldCharType="end"/>
        </w:r>
      </w:hyperlink>
    </w:p>
    <w:p w14:paraId="36F5BA90" w14:textId="3B1C3789"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hyperlink w:anchor="_Toc232075648" w:history="1">
        <w:r w:rsidRPr="005A796E">
          <w:rPr>
            <w:rStyle w:val="Hyperlink"/>
            <w:noProof/>
          </w:rPr>
          <w:t>Appendix E. AERO (Centre for Inclusive Employment) evidence standards ratings of included peer-reviewed studies</w:t>
        </w:r>
        <w:r>
          <w:rPr>
            <w:noProof/>
            <w:webHidden/>
          </w:rPr>
          <w:tab/>
        </w:r>
        <w:r>
          <w:rPr>
            <w:noProof/>
            <w:webHidden/>
          </w:rPr>
          <w:fldChar w:fldCharType="begin"/>
        </w:r>
        <w:r>
          <w:rPr>
            <w:noProof/>
            <w:webHidden/>
          </w:rPr>
          <w:instrText xml:space="preserve"> PAGEREF _Toc232075648 \h </w:instrText>
        </w:r>
        <w:r>
          <w:rPr>
            <w:noProof/>
            <w:webHidden/>
          </w:rPr>
        </w:r>
        <w:r>
          <w:rPr>
            <w:noProof/>
            <w:webHidden/>
          </w:rPr>
          <w:fldChar w:fldCharType="separate"/>
        </w:r>
        <w:r>
          <w:rPr>
            <w:noProof/>
            <w:webHidden/>
          </w:rPr>
          <w:t>21</w:t>
        </w:r>
        <w:r>
          <w:rPr>
            <w:noProof/>
            <w:webHidden/>
          </w:rPr>
          <w:fldChar w:fldCharType="end"/>
        </w:r>
      </w:hyperlink>
    </w:p>
    <w:p w14:paraId="0C0305A0" w14:textId="324434A5"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hyperlink w:anchor="_Toc232075649" w:history="1">
        <w:r w:rsidRPr="005A796E">
          <w:rPr>
            <w:rStyle w:val="Hyperlink"/>
            <w:noProof/>
          </w:rPr>
          <w:t>Appendix F. Formal resource-gap analysis</w:t>
        </w:r>
        <w:r>
          <w:rPr>
            <w:noProof/>
            <w:webHidden/>
          </w:rPr>
          <w:tab/>
        </w:r>
        <w:r>
          <w:rPr>
            <w:noProof/>
            <w:webHidden/>
          </w:rPr>
          <w:fldChar w:fldCharType="begin"/>
        </w:r>
        <w:r>
          <w:rPr>
            <w:noProof/>
            <w:webHidden/>
          </w:rPr>
          <w:instrText xml:space="preserve"> PAGEREF _Toc232075649 \h </w:instrText>
        </w:r>
        <w:r>
          <w:rPr>
            <w:noProof/>
            <w:webHidden/>
          </w:rPr>
        </w:r>
        <w:r>
          <w:rPr>
            <w:noProof/>
            <w:webHidden/>
          </w:rPr>
          <w:fldChar w:fldCharType="separate"/>
        </w:r>
        <w:r>
          <w:rPr>
            <w:noProof/>
            <w:webHidden/>
          </w:rPr>
          <w:t>50</w:t>
        </w:r>
        <w:r>
          <w:rPr>
            <w:noProof/>
            <w:webHidden/>
          </w:rPr>
          <w:fldChar w:fldCharType="end"/>
        </w:r>
      </w:hyperlink>
    </w:p>
    <w:p w14:paraId="6AFB8066" w14:textId="292F69DB" w:rsidR="0020158A" w:rsidRDefault="0020158A">
      <w:pPr>
        <w:pStyle w:val="TOC1"/>
        <w:tabs>
          <w:tab w:val="right" w:leader="dot" w:pos="9628"/>
        </w:tabs>
        <w:rPr>
          <w:rFonts w:asciiTheme="minorHAnsi" w:eastAsiaTheme="minorEastAsia" w:hAnsiTheme="minorHAnsi" w:cstheme="minorBidi"/>
          <w:b w:val="0"/>
          <w:bCs w:val="0"/>
          <w:iCs w:val="0"/>
          <w:noProof/>
          <w:color w:val="auto"/>
          <w:kern w:val="2"/>
          <w:lang w:eastAsia="en-GB"/>
          <w14:ligatures w14:val="standardContextual"/>
        </w:rPr>
      </w:pPr>
      <w:hyperlink w:anchor="_Toc232075650" w:history="1">
        <w:r w:rsidRPr="005A796E">
          <w:rPr>
            <w:rStyle w:val="Hyperlink"/>
            <w:noProof/>
          </w:rPr>
          <w:t>References</w:t>
        </w:r>
        <w:r>
          <w:rPr>
            <w:noProof/>
            <w:webHidden/>
          </w:rPr>
          <w:tab/>
        </w:r>
        <w:r>
          <w:rPr>
            <w:noProof/>
            <w:webHidden/>
          </w:rPr>
          <w:fldChar w:fldCharType="begin"/>
        </w:r>
        <w:r>
          <w:rPr>
            <w:noProof/>
            <w:webHidden/>
          </w:rPr>
          <w:instrText xml:space="preserve"> PAGEREF _Toc232075650 \h </w:instrText>
        </w:r>
        <w:r>
          <w:rPr>
            <w:noProof/>
            <w:webHidden/>
          </w:rPr>
        </w:r>
        <w:r>
          <w:rPr>
            <w:noProof/>
            <w:webHidden/>
          </w:rPr>
          <w:fldChar w:fldCharType="separate"/>
        </w:r>
        <w:r>
          <w:rPr>
            <w:noProof/>
            <w:webHidden/>
          </w:rPr>
          <w:t>57</w:t>
        </w:r>
        <w:r>
          <w:rPr>
            <w:noProof/>
            <w:webHidden/>
          </w:rPr>
          <w:fldChar w:fldCharType="end"/>
        </w:r>
      </w:hyperlink>
    </w:p>
    <w:p w14:paraId="3BBD446E" w14:textId="4D79A883" w:rsidR="00870D44" w:rsidRPr="00870D44" w:rsidRDefault="0020158A" w:rsidP="002726F7">
      <w:r>
        <w:rPr>
          <w:rFonts w:asciiTheme="minorHAnsi" w:hAnsiTheme="minorHAnsi"/>
          <w:b/>
          <w:bCs/>
          <w:iCs/>
          <w:sz w:val="20"/>
          <w:szCs w:val="20"/>
        </w:rPr>
        <w:fldChar w:fldCharType="end"/>
      </w:r>
    </w:p>
    <w:bookmarkEnd w:id="1"/>
    <w:bookmarkEnd w:id="2"/>
    <w:p w14:paraId="11891793" w14:textId="77777777" w:rsidR="005117C2" w:rsidRPr="00CC6638" w:rsidRDefault="005117C2" w:rsidP="002726F7"/>
    <w:p w14:paraId="4187B01A" w14:textId="77777777" w:rsidR="005117C2" w:rsidRPr="00CC6638" w:rsidRDefault="005117C2" w:rsidP="002726F7">
      <w:r w:rsidRPr="00CC6638">
        <w:br w:type="page"/>
      </w:r>
    </w:p>
    <w:p w14:paraId="02C076B9" w14:textId="02D33196" w:rsidR="00646E0E" w:rsidRDefault="00646E0E" w:rsidP="007E1439">
      <w:pPr>
        <w:pStyle w:val="Heading1"/>
      </w:pPr>
      <w:bookmarkStart w:id="4" w:name="_Toc232075638"/>
      <w:r>
        <w:lastRenderedPageBreak/>
        <w:t>Introduction to the methodology</w:t>
      </w:r>
      <w:bookmarkEnd w:id="4"/>
    </w:p>
    <w:p w14:paraId="7C600530" w14:textId="77777777" w:rsidR="00646E0E" w:rsidRDefault="00646E0E" w:rsidP="007E1439">
      <w:pPr>
        <w:pStyle w:val="Heading2"/>
      </w:pPr>
      <w:bookmarkStart w:id="5" w:name="_Toc223984042"/>
      <w:bookmarkStart w:id="6" w:name="_Toc226902111"/>
      <w:bookmarkStart w:id="7" w:name="_Toc226991747"/>
      <w:bookmarkStart w:id="8" w:name="_Toc232075639"/>
      <w:r>
        <w:t>Search strategies and identification of materials</w:t>
      </w:r>
      <w:bookmarkEnd w:id="5"/>
      <w:bookmarkEnd w:id="6"/>
      <w:bookmarkEnd w:id="7"/>
      <w:bookmarkEnd w:id="8"/>
    </w:p>
    <w:p w14:paraId="4171A86C" w14:textId="0D124502" w:rsidR="00646E0E" w:rsidRDefault="00646E0E" w:rsidP="002726F7">
      <w:r w:rsidRPr="6AE66A83">
        <w:rPr>
          <w:rFonts w:eastAsiaTheme="minorEastAsia" w:cstheme="minorBidi"/>
        </w:rPr>
        <w:t xml:space="preserve">The </w:t>
      </w:r>
      <w:r>
        <w:rPr>
          <w:rFonts w:eastAsiaTheme="minorEastAsia" w:cstheme="minorBidi"/>
        </w:rPr>
        <w:t>synthesis was</w:t>
      </w:r>
      <w:r w:rsidRPr="6AE66A83">
        <w:rPr>
          <w:rFonts w:eastAsiaTheme="minorEastAsia" w:cstheme="minorBidi"/>
        </w:rPr>
        <w:t xml:space="preserve"> undertaken in four overlapping stages. These are depicted in </w:t>
      </w:r>
      <w:r w:rsidRPr="6AE66A83">
        <w:rPr>
          <w:rFonts w:eastAsiaTheme="minorEastAsia" w:cstheme="minorBidi"/>
          <w:b/>
          <w:bCs/>
        </w:rPr>
        <w:t>Table 1</w:t>
      </w:r>
      <w:r w:rsidRPr="6AE66A83">
        <w:rPr>
          <w:rFonts w:eastAsiaTheme="minorEastAsia" w:cstheme="minorBidi"/>
        </w:rPr>
        <w:t>.</w:t>
      </w:r>
      <w:r>
        <w:rPr>
          <w:rFonts w:eastAsiaTheme="minorEastAsia" w:cstheme="minorBidi"/>
        </w:rPr>
        <w:t xml:space="preserve"> </w:t>
      </w:r>
      <w:r w:rsidRPr="665C1DFA">
        <w:t>In recognition of the applied focus of this rapid synthesis, and its relevance to practitioners</w:t>
      </w:r>
      <w:r>
        <w:t xml:space="preserve"> who work in provider organisations (with clients, employers, other stakeholders such as community partners)</w:t>
      </w:r>
      <w:r w:rsidRPr="665C1DFA">
        <w:t>, government, industry stakeholders, and employment service providers, the search process began with engagement across sector network</w:t>
      </w:r>
      <w:r>
        <w:t>s</w:t>
      </w:r>
      <w:r w:rsidR="00601612">
        <w:t xml:space="preserve"> </w:t>
      </w:r>
      <w:r w:rsidR="00787095">
        <w:rPr>
          <w:noProof/>
        </w:rPr>
        <w:t>(Devane et al., 2024; Smela et al., 2023)</w:t>
      </w:r>
      <w:r w:rsidRPr="665C1DFA">
        <w:t xml:space="preserve">. </w:t>
      </w:r>
      <w:r w:rsidRPr="0F080FF3">
        <w:t xml:space="preserve">A call for evidence was circulated through established professional and sector networks in Australia, the UK and more widely to identify relevant reports, evaluations, policy documents, and unpublished materials. This approach aimed to capture </w:t>
      </w:r>
      <w:bookmarkStart w:id="9" w:name="_Hlk226821868"/>
      <w:r w:rsidRPr="0F080FF3">
        <w:t xml:space="preserve">practice-based evidence </w:t>
      </w:r>
      <w:bookmarkEnd w:id="9"/>
      <w:r w:rsidRPr="0F080FF3">
        <w:t xml:space="preserve">that </w:t>
      </w:r>
      <w:r>
        <w:t xml:space="preserve">is </w:t>
      </w:r>
      <w:r w:rsidRPr="0F080FF3">
        <w:t>unlikely to be indexed in academic databases, including emerging initiatives and implementation insights</w:t>
      </w:r>
      <w:r w:rsidR="00604056">
        <w:t xml:space="preserve"> </w:t>
      </w:r>
      <w:r w:rsidR="00787095">
        <w:rPr>
          <w:noProof/>
        </w:rPr>
        <w:t>(MacPherson et al., 2023)</w:t>
      </w:r>
      <w:r w:rsidRPr="0F080FF3">
        <w:t xml:space="preserve">. </w:t>
      </w:r>
    </w:p>
    <w:p w14:paraId="66DADBB6" w14:textId="58737F16" w:rsidR="00646E0E" w:rsidRPr="00726D9F" w:rsidRDefault="00646E0E" w:rsidP="002726F7">
      <w:r>
        <w:t>In parallel, s</w:t>
      </w:r>
      <w:r w:rsidRPr="665C1DFA">
        <w:t xml:space="preserve">tructured searches were conducted across key organisational and industry websites identified as relevant to the synthesis topic. These included, for example </w:t>
      </w:r>
      <w:r>
        <w:t xml:space="preserve">the </w:t>
      </w:r>
      <w:r w:rsidRPr="665C1DFA">
        <w:t xml:space="preserve">Centre for Inclusive Employment, </w:t>
      </w:r>
      <w:r>
        <w:t xml:space="preserve">the peak body for disability employment services, </w:t>
      </w:r>
      <w:r w:rsidRPr="665C1DFA">
        <w:t xml:space="preserve">Disability Employment Australia, </w:t>
      </w:r>
      <w:r>
        <w:t xml:space="preserve">the business associations </w:t>
      </w:r>
      <w:r w:rsidRPr="0027436A">
        <w:t>Australian Disability Network and</w:t>
      </w:r>
      <w:r>
        <w:rPr>
          <w:rFonts w:ascii="Verdana" w:eastAsia="Verdana" w:hAnsi="Verdana" w:cs="Verdana"/>
        </w:rPr>
        <w:t xml:space="preserve"> </w:t>
      </w:r>
      <w:r w:rsidRPr="665C1DFA">
        <w:t>Diversity Council Australia</w:t>
      </w:r>
      <w:r>
        <w:t xml:space="preserve"> and</w:t>
      </w:r>
      <w:r w:rsidRPr="665C1DFA">
        <w:t xml:space="preserve"> JobAccess</w:t>
      </w:r>
      <w:r>
        <w:t xml:space="preserve"> – these organisations play an important enabling role in Australia</w:t>
      </w:r>
      <w:r w:rsidRPr="665C1DFA">
        <w:t>.</w:t>
      </w:r>
    </w:p>
    <w:p w14:paraId="2A56627C" w14:textId="72998D0B" w:rsidR="00646E0E" w:rsidRDefault="00646E0E" w:rsidP="002726F7">
      <w:r>
        <w:t>Through this process grey literature was identified – this included</w:t>
      </w:r>
      <w:r w:rsidRPr="665C1DFA">
        <w:t xml:space="preserve"> evaluations and policy papers, and materials from service providers</w:t>
      </w:r>
      <w:r w:rsidR="002E2492">
        <w:t xml:space="preserve"> </w:t>
      </w:r>
      <w:r w:rsidR="00787095">
        <w:rPr>
          <w:noProof/>
        </w:rPr>
        <w:t>(Klerings et al., 2023)</w:t>
      </w:r>
      <w:r>
        <w:t>. T</w:t>
      </w:r>
      <w:r w:rsidRPr="665C1DFA">
        <w:t xml:space="preserve">he latter included </w:t>
      </w:r>
      <w:r>
        <w:t xml:space="preserve">unpublished materials, </w:t>
      </w:r>
      <w:r w:rsidRPr="665C1DFA">
        <w:t xml:space="preserve">submissions produced </w:t>
      </w:r>
      <w:r>
        <w:t xml:space="preserve">by organisations </w:t>
      </w:r>
      <w:r w:rsidRPr="665C1DFA">
        <w:t xml:space="preserve">specifically for the synthesis, as well as </w:t>
      </w:r>
      <w:r>
        <w:t xml:space="preserve">some </w:t>
      </w:r>
      <w:r w:rsidRPr="665C1DFA">
        <w:t>proprietary resources. In recognition of the commercial in confidence nature of proprietary resources submitted, these materials informed the synthesis and themes generated but information contained within them is not directly cited</w:t>
      </w:r>
      <w:r>
        <w:t xml:space="preserve"> or reproduced in this report</w:t>
      </w:r>
      <w:r w:rsidRPr="665C1DFA">
        <w:t xml:space="preserve">. The potential for materials to be repurposed by the Centre for Inclusive Employment was considered and relevant resources </w:t>
      </w:r>
      <w:r>
        <w:t xml:space="preserve">is </w:t>
      </w:r>
      <w:r w:rsidRPr="665C1DFA">
        <w:t xml:space="preserve">listed </w:t>
      </w:r>
      <w:r>
        <w:t>in the Appendix</w:t>
      </w:r>
      <w:r w:rsidR="00F41CF9">
        <w:t xml:space="preserve"> F</w:t>
      </w:r>
      <w:r w:rsidRPr="665C1DFA">
        <w:t>.</w:t>
      </w:r>
    </w:p>
    <w:p w14:paraId="3FA25A97" w14:textId="65B0D990" w:rsidR="00646E0E" w:rsidRDefault="00646E0E" w:rsidP="002726F7">
      <w:r w:rsidRPr="00726D9F">
        <w:t>Additional searches were undertaken across relevant government agencies, peak bodies, and industry organisations</w:t>
      </w:r>
      <w:r>
        <w:t xml:space="preserve"> in Australia, the UK and elsewhere, including European Commission, OECD, ILO</w:t>
      </w:r>
      <w:r w:rsidRPr="00726D9F">
        <w:t xml:space="preserve">. Keyword combinations aligned with the three research questions were applied using internal site search functions where available, alongside manual </w:t>
      </w:r>
      <w:r>
        <w:t>review</w:t>
      </w:r>
      <w:r w:rsidRPr="00726D9F">
        <w:t xml:space="preserve"> of publication and resource sections.</w:t>
      </w:r>
      <w:r>
        <w:t xml:space="preserve"> In addition, a</w:t>
      </w:r>
      <w:r w:rsidRPr="0F080FF3">
        <w:t xml:space="preserve"> short, guided session with providers was </w:t>
      </w:r>
      <w:r>
        <w:t xml:space="preserve">also </w:t>
      </w:r>
      <w:r w:rsidRPr="0F080FF3">
        <w:t xml:space="preserve">held as part of </w:t>
      </w:r>
      <w:r>
        <w:t xml:space="preserve">a scheduled </w:t>
      </w:r>
      <w:r w:rsidRPr="0F080FF3">
        <w:t xml:space="preserve">Employment Related Services Association’s Employer </w:t>
      </w:r>
      <w:r w:rsidRPr="0F080FF3">
        <w:lastRenderedPageBreak/>
        <w:t>Engagement Forum (UK).</w:t>
      </w:r>
    </w:p>
    <w:p w14:paraId="527A1E28" w14:textId="10883AAE" w:rsidR="00646E0E" w:rsidRPr="00726D9F" w:rsidRDefault="00646E0E" w:rsidP="002726F7">
      <w:r w:rsidRPr="3EFB1E93">
        <w:t>Next, a structured and systematic search strategy was developed in collaboration with an experienced academic librarian to ensure methodological rigour and comprehensive coverage of the available evidence</w:t>
      </w:r>
      <w:r w:rsidR="00056955">
        <w:rPr>
          <w:rFonts w:eastAsiaTheme="minorEastAsia" w:cstheme="minorBidi"/>
        </w:rPr>
        <w:t xml:space="preserve"> </w:t>
      </w:r>
      <w:r w:rsidR="00787095">
        <w:rPr>
          <w:rFonts w:eastAsiaTheme="minorEastAsia" w:cstheme="minorBidi"/>
          <w:noProof/>
        </w:rPr>
        <w:t>(Smela et al., 2023)</w:t>
      </w:r>
      <w:r w:rsidRPr="3EFB1E93">
        <w:t>. The search approach was guided directly by the three research questions underpinning this evidence synthesis.</w:t>
      </w:r>
    </w:p>
    <w:p w14:paraId="145C63BE" w14:textId="09E9E597" w:rsidR="00646E0E" w:rsidRPr="00726D9F" w:rsidRDefault="00646E0E" w:rsidP="002726F7">
      <w:r w:rsidRPr="680FEDDB">
        <w:t>Three concept-based search strings were developed, each aligned to one of the synthesis’s core research questions. Keywords and controlled vocabulary terms (</w:t>
      </w:r>
      <w:r w:rsidR="00B444EC">
        <w:t>e.g.</w:t>
      </w:r>
      <w:r w:rsidRPr="680FEDDB">
        <w:t xml:space="preserve"> database-specific subject headings) were identified, tested, and iteratively refined to optimise both sensitivity (capturing potentially relevant studies) and precision (reducing irrelevant results). In January 2026, a pilot search was conducted. This yielded very few results. The final search strategies were adapted based on the analysis of the grey literature and submitted documents. This also reflected the indexing structures and technical requirements of each database (these are in the Appendix</w:t>
      </w:r>
      <w:r w:rsidR="00514EBD">
        <w:t xml:space="preserve"> B</w:t>
      </w:r>
      <w:r w:rsidRPr="680FEDDB">
        <w:t>).</w:t>
      </w:r>
    </w:p>
    <w:p w14:paraId="26C759F2" w14:textId="6F84D22B" w:rsidR="00646E0E" w:rsidRPr="00726D9F" w:rsidRDefault="00646E0E" w:rsidP="002726F7">
      <w:r w:rsidRPr="00726D9F">
        <w:t xml:space="preserve">For Scopus, searches were limited to Title, Abstract, and Keyword fields. Initial broader field searches generated a substantially higher volume of results compared to the other databases and reduced comparability across sources. Restricting the search </w:t>
      </w:r>
      <w:bookmarkStart w:id="10" w:name="_Int_QfnNIwl1"/>
      <w:r w:rsidRPr="00726D9F">
        <w:t>fields maintained</w:t>
      </w:r>
      <w:bookmarkEnd w:id="10"/>
      <w:r w:rsidRPr="00726D9F">
        <w:t xml:space="preserve"> breadth while ensuring feasibility within the rapid </w:t>
      </w:r>
      <w:r>
        <w:t>synthesis</w:t>
      </w:r>
      <w:r w:rsidRPr="00726D9F">
        <w:t xml:space="preserve"> timeframe.</w:t>
      </w:r>
    </w:p>
    <w:p w14:paraId="48D267AA" w14:textId="4A03183C" w:rsidR="00646E0E" w:rsidRDefault="00646E0E" w:rsidP="002726F7">
      <w:r w:rsidRPr="665C1DFA">
        <w:t>No publication date limits were applied</w:t>
      </w:r>
      <w:r>
        <w:t xml:space="preserve"> – this was to ensure that </w:t>
      </w:r>
      <w:r w:rsidRPr="665C1DFA">
        <w:t xml:space="preserve">the full historical development of the evidence base for this novel and growing topic </w:t>
      </w:r>
      <w:r>
        <w:t xml:space="preserve">was </w:t>
      </w:r>
      <w:r w:rsidRPr="665C1DFA">
        <w:t>captured. No language restrictions were imposed at the search stage. In keeping with the applied focus of this synthesis and its relevance to practitioners, industry stakeholders, and employment service providers, no restrictions were placed on study design or publication type</w:t>
      </w:r>
      <w:r w:rsidR="00B62BB3">
        <w:t xml:space="preserve"> </w:t>
      </w:r>
      <w:r w:rsidR="00787095">
        <w:rPr>
          <w:noProof/>
        </w:rPr>
        <w:t>(Klerings et al., 2023)</w:t>
      </w:r>
      <w:r w:rsidRPr="665C1DFA">
        <w:t xml:space="preserve">. To maintain analytic clarity, materials focusing primarily on supported or sheltered employment models (for example </w:t>
      </w:r>
      <w:r>
        <w:t>A</w:t>
      </w:r>
      <w:r w:rsidR="00B62BB3">
        <w:t xml:space="preserve">ustralian </w:t>
      </w:r>
      <w:r>
        <w:t>D</w:t>
      </w:r>
      <w:r w:rsidR="00B62BB3">
        <w:t xml:space="preserve">isability </w:t>
      </w:r>
      <w:r>
        <w:t>E</w:t>
      </w:r>
      <w:r w:rsidR="00B62BB3">
        <w:t>nterprise</w:t>
      </w:r>
      <w:r>
        <w:t>s</w:t>
      </w:r>
      <w:r w:rsidRPr="665C1DFA">
        <w:t xml:space="preserve"> or similar segregated employment arrangements) were flagged during screening and treated as out-of-scope for the synthesis.</w:t>
      </w:r>
    </w:p>
    <w:p w14:paraId="4ADFBAED" w14:textId="77777777" w:rsidR="00646E0E" w:rsidRDefault="00646E0E" w:rsidP="002726F7"/>
    <w:p w14:paraId="7D231AE3" w14:textId="77777777" w:rsidR="00775491" w:rsidRDefault="00775491" w:rsidP="00B62BB3">
      <w:pPr>
        <w:pStyle w:val="TableCaption"/>
      </w:pPr>
      <w:r>
        <w:br w:type="page"/>
      </w:r>
    </w:p>
    <w:p w14:paraId="0412EB98" w14:textId="6EC0FFD2" w:rsidR="00646E0E" w:rsidRDefault="00646E0E" w:rsidP="00B62BB3">
      <w:pPr>
        <w:pStyle w:val="TableCaption"/>
      </w:pPr>
      <w:r w:rsidRPr="665C1DFA">
        <w:lastRenderedPageBreak/>
        <w:t>Table 1: Stages of the synthesis</w:t>
      </w:r>
    </w:p>
    <w:tbl>
      <w:tblPr>
        <w:tblStyle w:val="CIETable"/>
        <w:tblW w:w="0" w:type="auto"/>
        <w:tblLook w:val="04A0" w:firstRow="1" w:lastRow="0" w:firstColumn="1" w:lastColumn="0" w:noHBand="0" w:noVBand="1"/>
      </w:tblPr>
      <w:tblGrid>
        <w:gridCol w:w="4214"/>
        <w:gridCol w:w="5048"/>
      </w:tblGrid>
      <w:tr w:rsidR="00B62BB3" w14:paraId="1C60965D" w14:textId="77777777" w:rsidTr="00E231AE">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214" w:type="dxa"/>
          </w:tcPr>
          <w:p w14:paraId="30E8E789" w14:textId="54C73D9E" w:rsidR="00B62BB3" w:rsidRPr="35C3F573" w:rsidRDefault="00B62BB3" w:rsidP="00B62BB3">
            <w:pPr>
              <w:pStyle w:val="TableHeading"/>
            </w:pPr>
            <w:r>
              <w:t>Stage</w:t>
            </w:r>
          </w:p>
        </w:tc>
        <w:tc>
          <w:tcPr>
            <w:tcW w:w="5048" w:type="dxa"/>
          </w:tcPr>
          <w:p w14:paraId="720747F6" w14:textId="7AB3FBC4" w:rsidR="00B62BB3" w:rsidRDefault="00B62BB3" w:rsidP="00B62BB3">
            <w:pPr>
              <w:pStyle w:val="TableHeading"/>
              <w:cnfStyle w:val="100000000000" w:firstRow="1" w:lastRow="0" w:firstColumn="0" w:lastColumn="0" w:oddVBand="0" w:evenVBand="0" w:oddHBand="0" w:evenHBand="0" w:firstRowFirstColumn="0" w:firstRowLastColumn="0" w:lastRowFirstColumn="0" w:lastRowLastColumn="0"/>
            </w:pPr>
            <w:r>
              <w:t>Detail</w:t>
            </w:r>
          </w:p>
        </w:tc>
      </w:tr>
      <w:tr w:rsidR="00646E0E" w14:paraId="07E2F63D" w14:textId="77777777" w:rsidTr="00B62BB3">
        <w:trPr>
          <w:cnfStyle w:val="000000100000" w:firstRow="0" w:lastRow="0" w:firstColumn="0" w:lastColumn="0" w:oddVBand="0" w:evenVBand="0" w:oddHBand="1" w:evenHBand="0" w:firstRowFirstColumn="0" w:firstRowLastColumn="0" w:lastRowFirstColumn="0" w:lastRowLastColumn="0"/>
          <w:trHeight w:val="963"/>
        </w:trPr>
        <w:tc>
          <w:tcPr>
            <w:cnfStyle w:val="001000000000" w:firstRow="0" w:lastRow="0" w:firstColumn="1" w:lastColumn="0" w:oddVBand="0" w:evenVBand="0" w:oddHBand="0" w:evenHBand="0" w:firstRowFirstColumn="0" w:firstRowLastColumn="0" w:lastRowFirstColumn="0" w:lastRowLastColumn="0"/>
            <w:tcW w:w="4214" w:type="dxa"/>
          </w:tcPr>
          <w:p w14:paraId="64E4E35C" w14:textId="77777777" w:rsidR="00646E0E" w:rsidRDefault="00646E0E" w:rsidP="00E231AE">
            <w:pPr>
              <w:pStyle w:val="TableText"/>
            </w:pPr>
            <w:r w:rsidRPr="35C3F573">
              <w:t>Stage 1 – November 2025</w:t>
            </w:r>
          </w:p>
        </w:tc>
        <w:tc>
          <w:tcPr>
            <w:tcW w:w="5048" w:type="dxa"/>
          </w:tcPr>
          <w:p w14:paraId="3BF322A7" w14:textId="77777777" w:rsidR="00646E0E" w:rsidRDefault="00646E0E" w:rsidP="00E231AE">
            <w:pPr>
              <w:pStyle w:val="TableText"/>
              <w:cnfStyle w:val="000000100000" w:firstRow="0" w:lastRow="0" w:firstColumn="0" w:lastColumn="0" w:oddVBand="0" w:evenVBand="0" w:oddHBand="1" w:evenHBand="0" w:firstRowFirstColumn="0" w:firstRowLastColumn="0" w:lastRowFirstColumn="0" w:lastRowLastColumn="0"/>
            </w:pPr>
            <w:r>
              <w:t>Initial pilot Library search using test search strings</w:t>
            </w:r>
          </w:p>
          <w:p w14:paraId="79853F86" w14:textId="77777777" w:rsidR="00646E0E" w:rsidRDefault="00646E0E" w:rsidP="002726F7">
            <w:pPr>
              <w:cnfStyle w:val="000000100000" w:firstRow="0" w:lastRow="0" w:firstColumn="0" w:lastColumn="0" w:oddVBand="0" w:evenVBand="0" w:oddHBand="1" w:evenHBand="0" w:firstRowFirstColumn="0" w:firstRowLastColumn="0" w:lastRowFirstColumn="0" w:lastRowLastColumn="0"/>
            </w:pPr>
            <w:r>
              <w:t>Callout to practitioners across global networks</w:t>
            </w:r>
          </w:p>
        </w:tc>
      </w:tr>
      <w:tr w:rsidR="00646E0E" w14:paraId="5C422871" w14:textId="77777777" w:rsidTr="00B62BB3">
        <w:trPr>
          <w:cnfStyle w:val="000000010000" w:firstRow="0" w:lastRow="0" w:firstColumn="0" w:lastColumn="0" w:oddVBand="0" w:evenVBand="0" w:oddHBand="0" w:evenHBand="1"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4214" w:type="dxa"/>
          </w:tcPr>
          <w:p w14:paraId="290D2DB2" w14:textId="77777777" w:rsidR="00646E0E" w:rsidRDefault="00646E0E" w:rsidP="002726F7">
            <w:r>
              <w:t>Stage 2 – December 2025</w:t>
            </w:r>
          </w:p>
        </w:tc>
        <w:tc>
          <w:tcPr>
            <w:tcW w:w="5048" w:type="dxa"/>
          </w:tcPr>
          <w:p w14:paraId="799ECD98" w14:textId="77777777" w:rsidR="00646E0E" w:rsidRDefault="00646E0E" w:rsidP="002726F7">
            <w:pPr>
              <w:cnfStyle w:val="000000010000" w:firstRow="0" w:lastRow="0" w:firstColumn="0" w:lastColumn="0" w:oddVBand="0" w:evenVBand="0" w:oddHBand="0" w:evenHBand="1" w:firstRowFirstColumn="0" w:firstRowLastColumn="0" w:lastRowFirstColumn="0" w:lastRowLastColumn="0"/>
            </w:pPr>
            <w:r>
              <w:t>Targeted online searches</w:t>
            </w:r>
          </w:p>
        </w:tc>
      </w:tr>
      <w:tr w:rsidR="00646E0E" w14:paraId="7FCDC4AD" w14:textId="77777777" w:rsidTr="00775491">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214" w:type="dxa"/>
            <w:tcBorders>
              <w:bottom w:val="single" w:sz="4" w:space="0" w:color="C0C0C0" w:themeColor="accent5"/>
            </w:tcBorders>
          </w:tcPr>
          <w:p w14:paraId="71166A5D" w14:textId="77777777" w:rsidR="00646E0E" w:rsidRDefault="00646E0E" w:rsidP="002726F7">
            <w:r w:rsidRPr="40494819">
              <w:t>Stage 3 – January and February 2026</w:t>
            </w:r>
          </w:p>
        </w:tc>
        <w:tc>
          <w:tcPr>
            <w:tcW w:w="5048" w:type="dxa"/>
            <w:tcBorders>
              <w:bottom w:val="single" w:sz="4" w:space="0" w:color="C0C0C0" w:themeColor="accent5"/>
            </w:tcBorders>
          </w:tcPr>
          <w:p w14:paraId="03FB6088" w14:textId="77777777" w:rsidR="00646E0E" w:rsidRDefault="00646E0E" w:rsidP="002726F7">
            <w:pPr>
              <w:cnfStyle w:val="000000100000" w:firstRow="0" w:lastRow="0" w:firstColumn="0" w:lastColumn="0" w:oddVBand="0" w:evenVBand="0" w:oddHBand="1" w:evenHBand="0" w:firstRowFirstColumn="0" w:firstRowLastColumn="0" w:lastRowFirstColumn="0" w:lastRowLastColumn="0"/>
            </w:pPr>
            <w:r w:rsidRPr="0C16EA65">
              <w:t>Repeat callout to practitioners and direct communications with individuals and organisations</w:t>
            </w:r>
          </w:p>
          <w:p w14:paraId="5DB306DD" w14:textId="77777777" w:rsidR="00646E0E" w:rsidRDefault="00646E0E" w:rsidP="002726F7">
            <w:pPr>
              <w:cnfStyle w:val="000000100000" w:firstRow="0" w:lastRow="0" w:firstColumn="0" w:lastColumn="0" w:oddVBand="0" w:evenVBand="0" w:oddHBand="1" w:evenHBand="0" w:firstRowFirstColumn="0" w:firstRowLastColumn="0" w:lastRowFirstColumn="0" w:lastRowLastColumn="0"/>
            </w:pPr>
            <w:r>
              <w:t xml:space="preserve">Screening in Covidence </w:t>
            </w:r>
          </w:p>
          <w:p w14:paraId="381B34BC" w14:textId="77777777" w:rsidR="00646E0E" w:rsidRDefault="00646E0E" w:rsidP="002726F7">
            <w:pPr>
              <w:cnfStyle w:val="000000100000" w:firstRow="0" w:lastRow="0" w:firstColumn="0" w:lastColumn="0" w:oddVBand="0" w:evenVBand="0" w:oddHBand="1" w:evenHBand="0" w:firstRowFirstColumn="0" w:firstRowLastColumn="0" w:lastRowFirstColumn="0" w:lastRowLastColumn="0"/>
            </w:pPr>
            <w:r>
              <w:t>Logging in Zotero</w:t>
            </w:r>
          </w:p>
          <w:p w14:paraId="06C2F215" w14:textId="77777777" w:rsidR="00646E0E" w:rsidRDefault="00646E0E" w:rsidP="002726F7">
            <w:pPr>
              <w:cnfStyle w:val="000000100000" w:firstRow="0" w:lastRow="0" w:firstColumn="0" w:lastColumn="0" w:oddVBand="0" w:evenVBand="0" w:oddHBand="1" w:evenHBand="0" w:firstRowFirstColumn="0" w:firstRowLastColumn="0" w:lastRowFirstColumn="0" w:lastRowLastColumn="0"/>
            </w:pPr>
            <w:r w:rsidRPr="3EFB1E93">
              <w:t>Analysis in NVivo</w:t>
            </w:r>
          </w:p>
        </w:tc>
      </w:tr>
      <w:tr w:rsidR="00646E0E" w14:paraId="352B3651" w14:textId="77777777" w:rsidTr="00775491">
        <w:trPr>
          <w:cnfStyle w:val="000000010000" w:firstRow="0" w:lastRow="0" w:firstColumn="0" w:lastColumn="0" w:oddVBand="0" w:evenVBand="0" w:oddHBand="0" w:evenHBand="1"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214" w:type="dxa"/>
            <w:tcBorders>
              <w:bottom w:val="single" w:sz="4" w:space="0" w:color="C0C0C0" w:themeColor="accent5"/>
            </w:tcBorders>
          </w:tcPr>
          <w:p w14:paraId="13FF11C5" w14:textId="77777777" w:rsidR="00646E0E" w:rsidRDefault="00646E0E" w:rsidP="002726F7">
            <w:r>
              <w:t>Stage 4 – March 2026</w:t>
            </w:r>
          </w:p>
        </w:tc>
        <w:tc>
          <w:tcPr>
            <w:tcW w:w="5048" w:type="dxa"/>
            <w:tcBorders>
              <w:bottom w:val="single" w:sz="4" w:space="0" w:color="C0C0C0" w:themeColor="accent5"/>
            </w:tcBorders>
          </w:tcPr>
          <w:p w14:paraId="3B595BDA" w14:textId="77777777" w:rsidR="00646E0E" w:rsidRDefault="00646E0E" w:rsidP="002726F7">
            <w:pPr>
              <w:cnfStyle w:val="000000010000" w:firstRow="0" w:lastRow="0" w:firstColumn="0" w:lastColumn="0" w:oddVBand="0" w:evenVBand="0" w:oddHBand="0" w:evenHBand="1" w:firstRowFirstColumn="0" w:firstRowLastColumn="0" w:lastRowFirstColumn="0" w:lastRowLastColumn="0"/>
            </w:pPr>
            <w:r>
              <w:t>Final Library search using revised strings</w:t>
            </w:r>
          </w:p>
          <w:p w14:paraId="6E259741" w14:textId="77777777" w:rsidR="00646E0E" w:rsidRDefault="00646E0E" w:rsidP="002726F7">
            <w:pPr>
              <w:cnfStyle w:val="000000010000" w:firstRow="0" w:lastRow="0" w:firstColumn="0" w:lastColumn="0" w:oddVBand="0" w:evenVBand="0" w:oddHBand="0" w:evenHBand="1" w:firstRowFirstColumn="0" w:firstRowLastColumn="0" w:lastRowFirstColumn="0" w:lastRowLastColumn="0"/>
            </w:pPr>
            <w:r>
              <w:t>Logging in Zotero</w:t>
            </w:r>
          </w:p>
          <w:p w14:paraId="33288962" w14:textId="77777777" w:rsidR="00646E0E" w:rsidRDefault="00646E0E" w:rsidP="002726F7">
            <w:pPr>
              <w:cnfStyle w:val="000000010000" w:firstRow="0" w:lastRow="0" w:firstColumn="0" w:lastColumn="0" w:oddVBand="0" w:evenVBand="0" w:oddHBand="0" w:evenHBand="1" w:firstRowFirstColumn="0" w:firstRowLastColumn="0" w:lastRowFirstColumn="0" w:lastRowLastColumn="0"/>
            </w:pPr>
            <w:r w:rsidRPr="3EFB1E93">
              <w:t>Final analysis in NVivo</w:t>
            </w:r>
          </w:p>
        </w:tc>
      </w:tr>
    </w:tbl>
    <w:p w14:paraId="02742A85" w14:textId="5D2ECB07" w:rsidR="00646E0E" w:rsidRPr="00726D9F" w:rsidRDefault="00646E0E" w:rsidP="00E231AE">
      <w:pPr>
        <w:pStyle w:val="Heading2"/>
      </w:pPr>
      <w:bookmarkStart w:id="11" w:name="_Toc223984043"/>
      <w:bookmarkStart w:id="12" w:name="_Toc226902112"/>
      <w:bookmarkStart w:id="13" w:name="_Toc226991748"/>
      <w:bookmarkStart w:id="14" w:name="_Toc232075640"/>
      <w:r w:rsidRPr="00726D9F">
        <w:t>Extracti</w:t>
      </w:r>
      <w:r>
        <w:t>o</w:t>
      </w:r>
      <w:r w:rsidRPr="00726D9F">
        <w:t>n and analysi</w:t>
      </w:r>
      <w:r>
        <w:t>s of</w:t>
      </w:r>
      <w:r w:rsidRPr="00726D9F">
        <w:t xml:space="preserve"> </w:t>
      </w:r>
      <w:bookmarkEnd w:id="11"/>
      <w:r>
        <w:t>materials</w:t>
      </w:r>
      <w:bookmarkEnd w:id="12"/>
      <w:bookmarkEnd w:id="13"/>
      <w:bookmarkEnd w:id="14"/>
    </w:p>
    <w:p w14:paraId="553C67BF" w14:textId="2F77DEE8" w:rsidR="00646E0E" w:rsidRDefault="00646E0E" w:rsidP="002726F7">
      <w:r w:rsidRPr="3EFB1E93">
        <w:t>All materials identified from the four stages were logged in Zotero and screened in Covidence by at least two members of the research team using the same eligibility criteria later applied to database-derived records</w:t>
      </w:r>
      <w:r w:rsidR="00917FF3">
        <w:rPr>
          <w:rFonts w:eastAsiaTheme="minorEastAsia" w:cstheme="minorBidi"/>
        </w:rPr>
        <w:t xml:space="preserve"> </w:t>
      </w:r>
      <w:r w:rsidR="00787095">
        <w:rPr>
          <w:rFonts w:eastAsiaTheme="minorEastAsia" w:cstheme="minorBidi"/>
          <w:noProof/>
        </w:rPr>
        <w:t>(Booth et al., 2024; Hamel et al., 2021)</w:t>
      </w:r>
      <w:r w:rsidRPr="3EFB1E93">
        <w:t>. This ensured consistency and methodological integrity across sources. After each evidence gathering stage, the materials were coded and analysed in NVivo using emergent coding</w:t>
      </w:r>
      <w:r w:rsidR="00E0637E">
        <w:rPr>
          <w:rFonts w:eastAsiaTheme="minorEastAsia" w:cstheme="minorBidi"/>
        </w:rPr>
        <w:t xml:space="preserve"> </w:t>
      </w:r>
      <w:r w:rsidR="00787095">
        <w:rPr>
          <w:rFonts w:eastAsiaTheme="minorEastAsia" w:cstheme="minorBidi"/>
          <w:noProof/>
        </w:rPr>
        <w:t>(Booth et al., 2024)</w:t>
      </w:r>
      <w:r w:rsidRPr="3EFB1E93">
        <w:t>. The analysis took place iteratively following each of the four stages outlined above</w:t>
      </w:r>
      <w:r w:rsidR="00E0637E">
        <w:t xml:space="preserve"> in Table 1</w:t>
      </w:r>
      <w:r w:rsidRPr="3EFB1E93">
        <w:t>.</w:t>
      </w:r>
    </w:p>
    <w:p w14:paraId="7EED72BB" w14:textId="17754EE2" w:rsidR="00646E0E" w:rsidRPr="00726D9F" w:rsidRDefault="00646E0E" w:rsidP="002726F7">
      <w:r w:rsidRPr="00726D9F">
        <w:t xml:space="preserve">All search strategies were documented in full to ensure transparency and reproducibility. The Prisma figure depicting the different phases and the number of resources at each stage </w:t>
      </w:r>
      <w:r>
        <w:t xml:space="preserve">are </w:t>
      </w:r>
      <w:r w:rsidRPr="00726D9F">
        <w:t>in</w:t>
      </w:r>
      <w:r w:rsidRPr="00537772">
        <w:t xml:space="preserve"> Appendix</w:t>
      </w:r>
      <w:r>
        <w:t xml:space="preserve"> </w:t>
      </w:r>
      <w:r w:rsidR="00BC1119">
        <w:t>C</w:t>
      </w:r>
      <w:r w:rsidRPr="00537772">
        <w:t>.</w:t>
      </w:r>
    </w:p>
    <w:p w14:paraId="76576305" w14:textId="77777777" w:rsidR="00646E0E" w:rsidRPr="00726D9F" w:rsidRDefault="00646E0E" w:rsidP="0055302D">
      <w:pPr>
        <w:pStyle w:val="Heading3"/>
      </w:pPr>
      <w:bookmarkStart w:id="15" w:name="_Toc223984044"/>
      <w:bookmarkStart w:id="16" w:name="_Toc226902113"/>
      <w:bookmarkStart w:id="17" w:name="_Toc226991749"/>
      <w:bookmarkStart w:id="18" w:name="_Toc232075641"/>
      <w:r w:rsidRPr="00726D9F">
        <w:t>Assessing quality and relevance</w:t>
      </w:r>
      <w:bookmarkEnd w:id="15"/>
      <w:bookmarkEnd w:id="16"/>
      <w:bookmarkEnd w:id="17"/>
      <w:bookmarkEnd w:id="18"/>
    </w:p>
    <w:p w14:paraId="45400C90" w14:textId="56C490A7" w:rsidR="00646E0E" w:rsidRDefault="00646E0E" w:rsidP="002726F7">
      <w:r w:rsidRPr="665C1DFA">
        <w:t>In line with the Centre for Inclusive Employment</w:t>
      </w:r>
      <w:r w:rsidR="00770BA6">
        <w:t xml:space="preserve"> requirements</w:t>
      </w:r>
      <w:r w:rsidRPr="665C1DFA">
        <w:t xml:space="preserve">, evidence was </w:t>
      </w:r>
      <w:r w:rsidRPr="665C1DFA">
        <w:lastRenderedPageBreak/>
        <w:t xml:space="preserve">assessed against the following standards, from the </w:t>
      </w:r>
      <w:r w:rsidRPr="665C1DFA">
        <w:rPr>
          <w:i/>
          <w:iCs/>
        </w:rPr>
        <w:t xml:space="preserve">Australian Education Research Organisation Standards of Evidence </w:t>
      </w:r>
      <w:r w:rsidRPr="665C1DFA">
        <w:t xml:space="preserve">(AERO, 2022). However, the focus was more on evidence that was </w:t>
      </w:r>
      <w:r w:rsidRPr="00050EE0">
        <w:t>relevant</w:t>
      </w:r>
      <w:r w:rsidRPr="665C1DFA">
        <w:rPr>
          <w:b/>
          <w:bCs/>
        </w:rPr>
        <w:t xml:space="preserve"> </w:t>
      </w:r>
      <w:r w:rsidRPr="665C1DFA">
        <w:t xml:space="preserve">in the respect that a) it focused on </w:t>
      </w:r>
      <w:r w:rsidRPr="00050EE0">
        <w:t>practices</w:t>
      </w:r>
      <w:r w:rsidRPr="665C1DFA">
        <w:rPr>
          <w:b/>
          <w:bCs/>
        </w:rPr>
        <w:t xml:space="preserve"> </w:t>
      </w:r>
      <w:r w:rsidRPr="665C1DFA">
        <w:t xml:space="preserve">that practitioners undertake in order to effectively engage employers and b) was from </w:t>
      </w:r>
      <w:r w:rsidRPr="00050EE0">
        <w:t>Australia or similar systems</w:t>
      </w:r>
      <w:r w:rsidRPr="665C1DFA">
        <w:rPr>
          <w:b/>
          <w:bCs/>
        </w:rPr>
        <w:t xml:space="preserve"> </w:t>
      </w:r>
      <w:r w:rsidRPr="665C1DFA">
        <w:t xml:space="preserve">(the UK being a key example). The majority of evidence examined was, as anticipated, within the category of ‘grey’ literature. In terms of the peer-reviewed articles reviewed, they were examined in terms of both rigour and relevance. </w:t>
      </w:r>
    </w:p>
    <w:p w14:paraId="30082097" w14:textId="14565F39" w:rsidR="00646E0E" w:rsidRPr="00726D9F" w:rsidRDefault="00646E0E" w:rsidP="002726F7">
      <w:r w:rsidRPr="00050EE0">
        <w:t>‘Relevant evidence’</w:t>
      </w:r>
      <w:r w:rsidRPr="00726D9F">
        <w:rPr>
          <w:b/>
          <w:bCs/>
        </w:rPr>
        <w:t xml:space="preserve"> </w:t>
      </w:r>
      <w:r w:rsidRPr="00726D9F">
        <w:t xml:space="preserve">is defined as evidence produced in contexts that are similar to one’s own. Evidence is also relevant when it is derived from a large number of studies conducted over a wide range of contexts, as this suggests that the … approach is not dependent on any particular contextual factor’ (AERO, 2022, p.1). </w:t>
      </w:r>
    </w:p>
    <w:p w14:paraId="4F19E800" w14:textId="47890C0E" w:rsidR="00646E0E" w:rsidRPr="00726D9F" w:rsidRDefault="00646E0E" w:rsidP="002726F7">
      <w:r w:rsidRPr="00050EE0">
        <w:t>‘Rigorous evidence’</w:t>
      </w:r>
      <w:r w:rsidRPr="00726D9F">
        <w:rPr>
          <w:b/>
          <w:bCs/>
        </w:rPr>
        <w:t xml:space="preserve"> </w:t>
      </w:r>
      <w:r w:rsidRPr="00726D9F">
        <w:t>is defined as evidence produced using research methods (whether qualitative, quantitative or mixed methods) that isolate the specific impact of a particular … approach.</w:t>
      </w:r>
    </w:p>
    <w:p w14:paraId="2FE63AA4" w14:textId="77777777" w:rsidR="00646E0E" w:rsidRPr="004D6453" w:rsidRDefault="00646E0E" w:rsidP="002726F7">
      <w:pPr>
        <w:pStyle w:val="Heading3"/>
      </w:pPr>
      <w:bookmarkStart w:id="19" w:name="_Toc223984045"/>
      <w:bookmarkStart w:id="20" w:name="_Toc226902114"/>
      <w:bookmarkStart w:id="21" w:name="_Toc226991750"/>
      <w:bookmarkStart w:id="22" w:name="_Toc232075642"/>
      <w:r w:rsidRPr="004D6453">
        <w:t>Wh</w:t>
      </w:r>
      <w:r>
        <w:t>o</w:t>
      </w:r>
      <w:r w:rsidRPr="004D6453">
        <w:t xml:space="preserve"> were the target audiences for materials examined?</w:t>
      </w:r>
      <w:bookmarkEnd w:id="19"/>
      <w:bookmarkEnd w:id="20"/>
      <w:bookmarkEnd w:id="21"/>
      <w:bookmarkEnd w:id="22"/>
      <w:r w:rsidRPr="004D6453">
        <w:t xml:space="preserve"> </w:t>
      </w:r>
    </w:p>
    <w:p w14:paraId="5FF4C37E" w14:textId="006F34D2" w:rsidR="00646E0E" w:rsidRDefault="00646E0E" w:rsidP="002726F7">
      <w:r w:rsidRPr="665C1DFA">
        <w:t xml:space="preserve">The materials examined were directed at several audiences involved in disability employment systems. These include employment service providers responsible for engaging employers and supporting jobseekers with disability; employers and organisational decision-makers, particularly human resource professionals and </w:t>
      </w:r>
      <w:r>
        <w:t>front</w:t>
      </w:r>
      <w:r w:rsidRPr="665C1DFA">
        <w:t>line managers implementing inclusive recruitment and workplace practices; policymakers responsible for labour market programs and disability employment policy; and academic researchers contributing empirical and conceptual evidence on employer engagement and employment outcomes. This distribution of audiences reflects the multi-stakeholder nature of employer engagement in the mainstream labour market.</w:t>
      </w:r>
    </w:p>
    <w:p w14:paraId="4BFC8FEA" w14:textId="77777777" w:rsidR="00646E0E" w:rsidRPr="004D6453" w:rsidRDefault="00646E0E" w:rsidP="002726F7">
      <w:pPr>
        <w:pStyle w:val="Heading3"/>
      </w:pPr>
      <w:bookmarkStart w:id="23" w:name="_Toc223984046"/>
      <w:bookmarkStart w:id="24" w:name="_Toc226902115"/>
      <w:bookmarkStart w:id="25" w:name="_Toc226991751"/>
      <w:bookmarkStart w:id="26" w:name="_Toc232075643"/>
      <w:r w:rsidRPr="004D6453">
        <w:t>How many resources were focused on disability?</w:t>
      </w:r>
      <w:bookmarkEnd w:id="23"/>
      <w:bookmarkEnd w:id="24"/>
      <w:bookmarkEnd w:id="25"/>
      <w:bookmarkEnd w:id="26"/>
    </w:p>
    <w:p w14:paraId="699DAF14" w14:textId="34C3342C" w:rsidR="00646E0E" w:rsidRPr="0018796A" w:rsidRDefault="00646E0E" w:rsidP="002726F7">
      <w:r w:rsidRPr="665C1DFA">
        <w:t>The majority of the materials included focused explicitly on employer engagement relating to people with disability. However, a smaller subset of resources examined broader employer engagement practices applicable to diverse jobseeker groups. These sources were included where the practices described were considered transferable to disability employment contexts and where they provided insights into employer engagement strategies relevant to the synthesis questions.</w:t>
      </w:r>
      <w:r w:rsidRPr="00726D9F">
        <w:br w:type="page"/>
      </w:r>
    </w:p>
    <w:p w14:paraId="6D0F1BEB" w14:textId="17FA3143" w:rsidR="00401429" w:rsidRDefault="005117C2" w:rsidP="0018796A">
      <w:pPr>
        <w:pStyle w:val="Heading1"/>
        <w:rPr>
          <w:rFonts w:eastAsia="Aptos"/>
          <w:iCs/>
        </w:rPr>
      </w:pPr>
      <w:bookmarkStart w:id="27" w:name="_Toc232075644"/>
      <w:r w:rsidRPr="00E749A1">
        <w:lastRenderedPageBreak/>
        <w:t>Appendix A</w:t>
      </w:r>
      <w:r w:rsidR="0018796A">
        <w:t>.</w:t>
      </w:r>
      <w:r w:rsidRPr="00E749A1">
        <w:t xml:space="preserve"> Eligibility criteria summary (PICOS)</w:t>
      </w:r>
      <w:bookmarkEnd w:id="27"/>
    </w:p>
    <w:tbl>
      <w:tblPr>
        <w:tblStyle w:val="CIETable"/>
        <w:tblW w:w="0" w:type="auto"/>
        <w:tblLook w:val="04A0" w:firstRow="1" w:lastRow="0" w:firstColumn="1" w:lastColumn="0" w:noHBand="0" w:noVBand="1"/>
      </w:tblPr>
      <w:tblGrid>
        <w:gridCol w:w="2069"/>
        <w:gridCol w:w="7559"/>
      </w:tblGrid>
      <w:tr w:rsidR="005117C2" w:rsidRPr="00923426" w14:paraId="454C19F4" w14:textId="77777777" w:rsidTr="00AA71E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229787E7" w14:textId="77777777" w:rsidR="005117C2" w:rsidRPr="00923426" w:rsidRDefault="005117C2" w:rsidP="00AA71E1">
            <w:pPr>
              <w:pStyle w:val="TableHeading"/>
            </w:pPr>
            <w:r w:rsidRPr="00923426">
              <w:t>Component</w:t>
            </w:r>
          </w:p>
        </w:tc>
        <w:tc>
          <w:tcPr>
            <w:tcW w:w="0" w:type="auto"/>
            <w:hideMark/>
          </w:tcPr>
          <w:p w14:paraId="2A4572A6" w14:textId="77777777" w:rsidR="005117C2" w:rsidRPr="00923426" w:rsidRDefault="005117C2" w:rsidP="00AA71E1">
            <w:pPr>
              <w:pStyle w:val="TableHeading"/>
              <w:cnfStyle w:val="100000000000" w:firstRow="1" w:lastRow="0" w:firstColumn="0" w:lastColumn="0" w:oddVBand="0" w:evenVBand="0" w:oddHBand="0" w:evenHBand="0" w:firstRowFirstColumn="0" w:firstRowLastColumn="0" w:lastRowFirstColumn="0" w:lastRowLastColumn="0"/>
            </w:pPr>
            <w:r w:rsidRPr="00923426">
              <w:t>Criteria</w:t>
            </w:r>
          </w:p>
        </w:tc>
      </w:tr>
      <w:tr w:rsidR="005117C2" w:rsidRPr="00923426" w14:paraId="72DB3CBE" w14:textId="77777777" w:rsidTr="00AA7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8C82B4" w14:textId="77777777" w:rsidR="005117C2" w:rsidRPr="00923426" w:rsidRDefault="005117C2" w:rsidP="002726F7">
            <w:r w:rsidRPr="00923426">
              <w:t>Participants</w:t>
            </w:r>
          </w:p>
        </w:tc>
        <w:tc>
          <w:tcPr>
            <w:tcW w:w="0" w:type="auto"/>
            <w:hideMark/>
          </w:tcPr>
          <w:p w14:paraId="107EFDCC" w14:textId="413B2903" w:rsidR="005117C2" w:rsidRPr="00923426" w:rsidRDefault="005117C2" w:rsidP="002726F7">
            <w:pPr>
              <w:cnfStyle w:val="000000100000" w:firstRow="0" w:lastRow="0" w:firstColumn="0" w:lastColumn="0" w:oddVBand="0" w:evenVBand="0" w:oddHBand="1" w:evenHBand="0" w:firstRowFirstColumn="0" w:firstRowLastColumn="0" w:lastRowFirstColumn="0" w:lastRowLastColumn="0"/>
            </w:pPr>
            <w:r w:rsidRPr="00923426">
              <w:t xml:space="preserve">People with disability seeking, entering </w:t>
            </w:r>
            <w:r w:rsidR="12686931" w:rsidRPr="00923426">
              <w:t xml:space="preserve">employment in the </w:t>
            </w:r>
            <w:r w:rsidRPr="00923426">
              <w:t xml:space="preserve">mainstream </w:t>
            </w:r>
            <w:r w:rsidR="12686931" w:rsidRPr="00923426">
              <w:t>labour market</w:t>
            </w:r>
            <w:r w:rsidR="024B92A1" w:rsidRPr="00923426">
              <w:t>; in addition, existing employees with disability in terms of retention, progression and return to work following absence</w:t>
            </w:r>
            <w:r w:rsidR="12686931" w:rsidRPr="00923426">
              <w:t>. Materials examining broader labour market interventions were included where findings were relevant to disability employment.</w:t>
            </w:r>
          </w:p>
        </w:tc>
      </w:tr>
      <w:tr w:rsidR="005117C2" w:rsidRPr="00923426" w14:paraId="2DD66ABA" w14:textId="77777777" w:rsidTr="00AA71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B649B8" w14:textId="77777777" w:rsidR="005117C2" w:rsidRPr="00923426" w:rsidRDefault="005117C2" w:rsidP="002726F7">
            <w:r w:rsidRPr="00923426">
              <w:t>Interventions</w:t>
            </w:r>
          </w:p>
        </w:tc>
        <w:tc>
          <w:tcPr>
            <w:tcW w:w="0" w:type="auto"/>
            <w:hideMark/>
          </w:tcPr>
          <w:p w14:paraId="6F370C0E" w14:textId="271BA5E9" w:rsidR="005117C2" w:rsidRPr="00923426" w:rsidRDefault="1E78DD71" w:rsidP="002726F7">
            <w:pPr>
              <w:cnfStyle w:val="000000010000" w:firstRow="0" w:lastRow="0" w:firstColumn="0" w:lastColumn="0" w:oddVBand="0" w:evenVBand="0" w:oddHBand="0" w:evenHBand="1" w:firstRowFirstColumn="0" w:firstRowLastColumn="0" w:lastRowFirstColumn="0" w:lastRowLastColumn="0"/>
            </w:pPr>
            <w:r w:rsidRPr="00923426">
              <w:t>Employer engagement practices, programmes, policies or service approaches aimed at supporting the recruitment, retention or progression of people with disability in mainstream employment. These may include employer brokerage, recruitment and onboarding practices, workplace adjustments, job redesign, employer training, and post-placement support.</w:t>
            </w:r>
          </w:p>
        </w:tc>
      </w:tr>
      <w:tr w:rsidR="005117C2" w:rsidRPr="00923426" w14:paraId="7681FD3C" w14:textId="77777777" w:rsidTr="00AA7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C91BF1" w14:textId="77777777" w:rsidR="005117C2" w:rsidRPr="00923426" w:rsidRDefault="005117C2" w:rsidP="002726F7">
            <w:r w:rsidRPr="00923426">
              <w:t>Comparators</w:t>
            </w:r>
          </w:p>
        </w:tc>
        <w:tc>
          <w:tcPr>
            <w:tcW w:w="0" w:type="auto"/>
            <w:hideMark/>
          </w:tcPr>
          <w:p w14:paraId="5F41B322" w14:textId="443D4D04" w:rsidR="005117C2" w:rsidRPr="00923426" w:rsidRDefault="1C3CE7B5" w:rsidP="002726F7">
            <w:pPr>
              <w:cnfStyle w:val="000000100000" w:firstRow="0" w:lastRow="0" w:firstColumn="0" w:lastColumn="0" w:oddVBand="0" w:evenVBand="0" w:oddHBand="1" w:evenHBand="0" w:firstRowFirstColumn="0" w:firstRowLastColumn="0" w:lastRowFirstColumn="0" w:lastRowLastColumn="0"/>
            </w:pPr>
            <w:r w:rsidRPr="00923426">
              <w:t>Not restricted. Materials were included regardless of whether they compared alternative interventions, usual practice, or did not include a comparator.</w:t>
            </w:r>
          </w:p>
        </w:tc>
      </w:tr>
      <w:tr w:rsidR="005117C2" w:rsidRPr="00923426" w14:paraId="6843C492" w14:textId="77777777" w:rsidTr="00AA71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DCD77C" w14:textId="77777777" w:rsidR="005117C2" w:rsidRPr="00923426" w:rsidRDefault="005117C2" w:rsidP="002726F7">
            <w:r w:rsidRPr="00923426">
              <w:t>Outcomes</w:t>
            </w:r>
          </w:p>
        </w:tc>
        <w:tc>
          <w:tcPr>
            <w:tcW w:w="0" w:type="auto"/>
            <w:hideMark/>
          </w:tcPr>
          <w:p w14:paraId="12E14C96" w14:textId="42BF984D" w:rsidR="005117C2" w:rsidRPr="00923426" w:rsidRDefault="1D275811" w:rsidP="002726F7">
            <w:pPr>
              <w:cnfStyle w:val="000000010000" w:firstRow="0" w:lastRow="0" w:firstColumn="0" w:lastColumn="0" w:oddVBand="0" w:evenVBand="0" w:oddHBand="0" w:evenHBand="1" w:firstRowFirstColumn="0" w:firstRowLastColumn="0" w:lastRowFirstColumn="0" w:lastRowLastColumn="0"/>
            </w:pPr>
            <w:r w:rsidRPr="00923426">
              <w:t>Employment-related outcomes associated with employer engagement practices, including recruitment, hiring, job retention, progression, workplace inclusion, or organisational practices supporting the employment of people with disability</w:t>
            </w:r>
            <w:r w:rsidR="4D08611E" w:rsidRPr="00923426">
              <w:t xml:space="preserve"> including return</w:t>
            </w:r>
            <w:r w:rsidR="2FD35F4C" w:rsidRPr="00923426">
              <w:t xml:space="preserve"> </w:t>
            </w:r>
            <w:r w:rsidR="4D08611E" w:rsidRPr="00923426">
              <w:t>to</w:t>
            </w:r>
            <w:r w:rsidR="68E4B62C" w:rsidRPr="00923426">
              <w:t xml:space="preserve"> </w:t>
            </w:r>
            <w:r w:rsidR="4D08611E" w:rsidRPr="00923426">
              <w:t>work practices</w:t>
            </w:r>
            <w:r w:rsidRPr="00923426">
              <w:t>.</w:t>
            </w:r>
          </w:p>
        </w:tc>
      </w:tr>
      <w:tr w:rsidR="005117C2" w:rsidRPr="00923426" w14:paraId="7F3B5ED7" w14:textId="77777777" w:rsidTr="00AA7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D90A15" w14:textId="77777777" w:rsidR="005117C2" w:rsidRPr="00923426" w:rsidRDefault="005117C2" w:rsidP="002726F7">
            <w:r w:rsidRPr="00923426">
              <w:t>Context</w:t>
            </w:r>
          </w:p>
        </w:tc>
        <w:tc>
          <w:tcPr>
            <w:tcW w:w="0" w:type="auto"/>
            <w:hideMark/>
          </w:tcPr>
          <w:p w14:paraId="43647077" w14:textId="202D9FFD" w:rsidR="005117C2" w:rsidRPr="00923426" w:rsidRDefault="012F09A0" w:rsidP="002726F7">
            <w:pPr>
              <w:cnfStyle w:val="000000100000" w:firstRow="0" w:lastRow="0" w:firstColumn="0" w:lastColumn="0" w:oddVBand="0" w:evenVBand="0" w:oddHBand="1" w:evenHBand="0" w:firstRowFirstColumn="0" w:firstRowLastColumn="0" w:lastRowFirstColumn="0" w:lastRowLastColumn="0"/>
            </w:pPr>
            <w:r w:rsidRPr="00923426">
              <w:t>Mainstream or open labour markets. Materials focusing primarily on supported or sheltered employment settings (</w:t>
            </w:r>
            <w:r w:rsidR="00B444EC">
              <w:t>e.g.</w:t>
            </w:r>
            <w:r w:rsidRPr="00923426">
              <w:t xml:space="preserve"> Australian Disability Enterprises or similar segregated employment models) were flagged during screening and treated separately from the synthesis of employer engagement practices in mainstream employment. Evidence from multiple countries was included where findings were relevant to the Australian context.</w:t>
            </w:r>
          </w:p>
        </w:tc>
      </w:tr>
      <w:tr w:rsidR="005117C2" w:rsidRPr="00923426" w14:paraId="5E901636" w14:textId="77777777" w:rsidTr="00AA71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B2679A" w14:textId="77777777" w:rsidR="005117C2" w:rsidRPr="00923426" w:rsidRDefault="005117C2" w:rsidP="002726F7">
            <w:r w:rsidRPr="00923426">
              <w:lastRenderedPageBreak/>
              <w:t>Study designs</w:t>
            </w:r>
          </w:p>
        </w:tc>
        <w:tc>
          <w:tcPr>
            <w:tcW w:w="0" w:type="auto"/>
            <w:hideMark/>
          </w:tcPr>
          <w:p w14:paraId="0E3D3E6A" w14:textId="0289215D" w:rsidR="005117C2" w:rsidRPr="00923426" w:rsidRDefault="005117C2" w:rsidP="002726F7">
            <w:pPr>
              <w:cnfStyle w:val="000000010000" w:firstRow="0" w:lastRow="0" w:firstColumn="0" w:lastColumn="0" w:oddVBand="0" w:evenVBand="0" w:oddHBand="0" w:evenHBand="1" w:firstRowFirstColumn="0" w:firstRowLastColumn="0" w:lastRowFirstColumn="0" w:lastRowLastColumn="0"/>
            </w:pPr>
            <w:r w:rsidRPr="00923426">
              <w:t>Quantitative (RCTs; quasi</w:t>
            </w:r>
            <w:r w:rsidR="75919171" w:rsidRPr="00923426">
              <w:t>-</w:t>
            </w:r>
            <w:r w:rsidRPr="00923426">
              <w:t>experimental; cohort; cross</w:t>
            </w:r>
            <w:r w:rsidR="75919171" w:rsidRPr="00923426">
              <w:t>-</w:t>
            </w:r>
            <w:r w:rsidRPr="00923426">
              <w:t>sectional), qualitative, mixed</w:t>
            </w:r>
            <w:r w:rsidR="75919171" w:rsidRPr="00923426">
              <w:t>-</w:t>
            </w:r>
            <w:r w:rsidRPr="00923426">
              <w:t>methods, and grey literature (government/NGO reports, programme evaluations</w:t>
            </w:r>
            <w:r w:rsidR="75919171" w:rsidRPr="00923426">
              <w:t>, policy papers and industry publications</w:t>
            </w:r>
            <w:r w:rsidRPr="00923426">
              <w:t>).</w:t>
            </w:r>
          </w:p>
        </w:tc>
      </w:tr>
      <w:tr w:rsidR="005117C2" w:rsidRPr="00923426" w14:paraId="279A87E9" w14:textId="77777777" w:rsidTr="00AA71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B10E2D" w14:textId="77777777" w:rsidR="005117C2" w:rsidRPr="00923426" w:rsidRDefault="005117C2" w:rsidP="002726F7">
            <w:r w:rsidRPr="00923426">
              <w:t>Timeframe &amp; language</w:t>
            </w:r>
          </w:p>
        </w:tc>
        <w:tc>
          <w:tcPr>
            <w:tcW w:w="0" w:type="auto"/>
            <w:hideMark/>
          </w:tcPr>
          <w:p w14:paraId="1B79B828" w14:textId="266C94CA" w:rsidR="005117C2" w:rsidRPr="00923426" w:rsidRDefault="46A2FBD7" w:rsidP="002726F7">
            <w:pPr>
              <w:cnfStyle w:val="000000100000" w:firstRow="0" w:lastRow="0" w:firstColumn="0" w:lastColumn="0" w:oddVBand="0" w:evenVBand="0" w:oddHBand="1" w:evenHBand="0" w:firstRowFirstColumn="0" w:firstRowLastColumn="0" w:lastRowFirstColumn="0" w:lastRowLastColumn="0"/>
            </w:pPr>
            <w:r w:rsidRPr="00923426">
              <w:t xml:space="preserve">Database searches for peer-reviewed literature were conducted </w:t>
            </w:r>
            <w:r w:rsidR="7605B458" w:rsidRPr="00923426">
              <w:t xml:space="preserve">firstly </w:t>
            </w:r>
            <w:r w:rsidR="7A5DDA45" w:rsidRPr="00923426">
              <w:t>in January using pilot search criteria</w:t>
            </w:r>
            <w:r w:rsidR="638CD036" w:rsidRPr="00923426">
              <w:t xml:space="preserve"> – these were refined following analysis of materials acquired through web searching and from a</w:t>
            </w:r>
            <w:r w:rsidR="464474E9" w:rsidRPr="00923426">
              <w:t xml:space="preserve">cademics, service providers and practitioners. </w:t>
            </w:r>
            <w:r w:rsidR="638CD036" w:rsidRPr="00923426">
              <w:t xml:space="preserve">Further database searches were conducted </w:t>
            </w:r>
            <w:r w:rsidRPr="00923426">
              <w:t>on 2 March across multiple electronic databases using the defined search strategies. No publication date limits were applied in order to capture the full historical development of the evidence base, and no language restrictions were imposed at the search stage. Grey literature was identified separately through sector networks, organisational websites, government agencies, peak bodies and industry organisations using targeted searches aligned with the review question</w:t>
            </w:r>
            <w:r w:rsidR="4008F580" w:rsidRPr="00923426">
              <w:t>s.</w:t>
            </w:r>
          </w:p>
        </w:tc>
      </w:tr>
    </w:tbl>
    <w:p w14:paraId="7D3DBB24" w14:textId="77777777" w:rsidR="005117C2" w:rsidRPr="00CC6638" w:rsidRDefault="005117C2" w:rsidP="002726F7"/>
    <w:p w14:paraId="7E5C624F" w14:textId="20F3A26D" w:rsidR="00870F98" w:rsidRPr="00CC6638" w:rsidRDefault="005117C2" w:rsidP="003D4107">
      <w:pPr>
        <w:pStyle w:val="Heading1"/>
      </w:pPr>
      <w:r w:rsidRPr="00CC6638">
        <w:br w:type="page"/>
      </w:r>
      <w:bookmarkStart w:id="28" w:name="_Toc232075645"/>
      <w:r w:rsidRPr="00CC6638">
        <w:lastRenderedPageBreak/>
        <w:t>Appendix B</w:t>
      </w:r>
      <w:r w:rsidR="0018796A">
        <w:t>.</w:t>
      </w:r>
      <w:r w:rsidRPr="00CC6638">
        <w:t xml:space="preserve"> Initial </w:t>
      </w:r>
      <w:r w:rsidR="0018796A" w:rsidRPr="00CC6638">
        <w:t>search strategy and database results</w:t>
      </w:r>
      <w:r w:rsidRPr="00CC6638">
        <w:t xml:space="preserve"> (</w:t>
      </w:r>
      <w:r w:rsidR="00CC6638" w:rsidRPr="00CC6638">
        <w:t>Jan – Mar 2026</w:t>
      </w:r>
      <w:r w:rsidRPr="00CC6638">
        <w:t>)</w:t>
      </w:r>
      <w:bookmarkStart w:id="29" w:name="_Hlk485824437"/>
      <w:bookmarkEnd w:id="29"/>
      <w:r w:rsidRPr="00CC6638">
        <w:rPr>
          <w:noProof/>
          <w:lang w:eastAsia="en-AU"/>
        </w:rPr>
        <mc:AlternateContent>
          <mc:Choice Requires="wps">
            <w:drawing>
              <wp:anchor distT="0" distB="0" distL="114300" distR="114300" simplePos="0" relativeHeight="251658240" behindDoc="1" locked="0" layoutInCell="1" allowOverlap="1" wp14:anchorId="40FDDAF5" wp14:editId="65C5CF34">
                <wp:simplePos x="0" y="0"/>
                <wp:positionH relativeFrom="margin">
                  <wp:posOffset>-2428</wp:posOffset>
                </wp:positionH>
                <wp:positionV relativeFrom="page">
                  <wp:posOffset>1874018</wp:posOffset>
                </wp:positionV>
                <wp:extent cx="0" cy="0"/>
                <wp:effectExtent l="0" t="0" r="0" b="0"/>
                <wp:wrapNone/>
                <wp:docPr id="7" name="Straight Connector 7" descr="yellow line" title="yellow line"/>
                <wp:cNvGraphicFramePr/>
                <a:graphic xmlns:a="http://schemas.openxmlformats.org/drawingml/2006/main">
                  <a:graphicData uri="http://schemas.microsoft.com/office/word/2010/wordprocessingShape">
                    <wps:wsp>
                      <wps:cNvCnPr/>
                      <wps:spPr>
                        <a:xfrm>
                          <a:off x="0" y="0"/>
                          <a:ext cx="0" cy="0"/>
                        </a:xfrm>
                        <a:prstGeom prst="line">
                          <a:avLst/>
                        </a:prstGeom>
                        <a:noFill/>
                        <a:ln w="22225" cap="flat" cmpd="sng" algn="ctr">
                          <a:solidFill>
                            <a:srgbClr val="4472C4"/>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39F434D8">
              <v:line id="Straight Connector 7" style="position:absolute;z-index:-25165721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Title: yellow line - Description: yellow line" o:spid="_x0000_s1026" strokecolor="#4472c4" strokeweight="1.75pt" from="-.2pt,147.55pt" to="-.2pt,147.55pt" w14:anchorId="66A20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">
                <v:stroke joinstyle="miter"/>
                <w10:wrap anchorx="margin" anchory="page"/>
              </v:line>
            </w:pict>
          </mc:Fallback>
        </mc:AlternateContent>
      </w:r>
      <w:bookmarkEnd w:id="28"/>
    </w:p>
    <w:tbl>
      <w:tblPr>
        <w:tblStyle w:val="CIETable"/>
        <w:tblW w:w="0" w:type="auto"/>
        <w:tblLook w:val="04A0" w:firstRow="1" w:lastRow="0" w:firstColumn="1" w:lastColumn="0" w:noHBand="0" w:noVBand="1"/>
      </w:tblPr>
      <w:tblGrid>
        <w:gridCol w:w="3119"/>
        <w:gridCol w:w="6433"/>
      </w:tblGrid>
      <w:tr w:rsidR="00870F98" w:rsidRPr="00CC6638" w14:paraId="7585F0DE" w14:textId="77777777" w:rsidTr="00870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934794B" w14:textId="184B06A3" w:rsidR="00870F98" w:rsidRPr="00CC6638" w:rsidRDefault="00870F98" w:rsidP="004E5704">
            <w:pPr>
              <w:pStyle w:val="TableHeading"/>
            </w:pPr>
            <w:r w:rsidRPr="2404EDDC">
              <w:t>NAME</w:t>
            </w:r>
          </w:p>
        </w:tc>
        <w:tc>
          <w:tcPr>
            <w:tcW w:w="6433" w:type="dxa"/>
          </w:tcPr>
          <w:p w14:paraId="2D1E112F" w14:textId="77777777" w:rsidR="00870F98" w:rsidRPr="00CC6638" w:rsidRDefault="00870F98" w:rsidP="004E5704">
            <w:pPr>
              <w:pStyle w:val="TableHeading"/>
              <w:cnfStyle w:val="100000000000" w:firstRow="1" w:lastRow="0" w:firstColumn="0" w:lastColumn="0" w:oddVBand="0" w:evenVBand="0" w:oddHBand="0" w:evenHBand="0" w:firstRowFirstColumn="0" w:firstRowLastColumn="0" w:lastRowFirstColumn="0" w:lastRowLastColumn="0"/>
            </w:pPr>
            <w:r w:rsidRPr="00CC6638">
              <w:t>Jo Ingold, Qian Yi Lee, Iresha Donmanige</w:t>
            </w:r>
          </w:p>
        </w:tc>
      </w:tr>
      <w:tr w:rsidR="005117C2" w:rsidRPr="00CC6638" w14:paraId="04A9644D" w14:textId="77777777" w:rsidTr="00870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14CC8ED" w14:textId="77777777" w:rsidR="005117C2" w:rsidRPr="00CC6638" w:rsidRDefault="005117C2" w:rsidP="002726F7">
            <w:r w:rsidRPr="00CC6638">
              <w:t>CONTACT DETAILS</w:t>
            </w:r>
          </w:p>
        </w:tc>
        <w:tc>
          <w:tcPr>
            <w:tcW w:w="6433" w:type="dxa"/>
          </w:tcPr>
          <w:p w14:paraId="0CDC90BD" w14:textId="3C5B7D2D" w:rsidR="005117C2" w:rsidRPr="00CC6638" w:rsidRDefault="005117C2" w:rsidP="002726F7">
            <w:pPr>
              <w:cnfStyle w:val="000000100000" w:firstRow="0" w:lastRow="0" w:firstColumn="0" w:lastColumn="0" w:oddVBand="0" w:evenVBand="0" w:oddHBand="1" w:evenHBand="0" w:firstRowFirstColumn="0" w:firstRowLastColumn="0" w:lastRowFirstColumn="0" w:lastRowLastColumn="0"/>
              <w:rPr>
                <w:rFonts w:cs="Arial"/>
                <w:lang w:eastAsia="en-AU"/>
              </w:rPr>
            </w:pPr>
            <w:r w:rsidRPr="00CC6638">
              <w:t>Email:</w:t>
            </w:r>
            <w:r w:rsidR="00CC6638" w:rsidRPr="00CC6638">
              <w:t xml:space="preserve"> jo.ingold@acu.edu.au</w:t>
            </w:r>
          </w:p>
        </w:tc>
      </w:tr>
      <w:tr w:rsidR="005117C2" w:rsidRPr="00CC6638" w14:paraId="4AF778C2" w14:textId="77777777" w:rsidTr="00870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17995F1" w14:textId="77777777" w:rsidR="005117C2" w:rsidRPr="00CC6638" w:rsidRDefault="005117C2" w:rsidP="002726F7">
            <w:r w:rsidRPr="00CC6638">
              <w:t>RESEARCH QUESTION</w:t>
            </w:r>
          </w:p>
        </w:tc>
        <w:tc>
          <w:tcPr>
            <w:tcW w:w="6433" w:type="dxa"/>
          </w:tcPr>
          <w:p w14:paraId="607A32B0" w14:textId="7B4AE186" w:rsidR="005117C2" w:rsidRPr="00CC6638" w:rsidRDefault="00CC6638" w:rsidP="002726F7">
            <w:pPr>
              <w:cnfStyle w:val="000000010000" w:firstRow="0" w:lastRow="0" w:firstColumn="0" w:lastColumn="0" w:oddVBand="0" w:evenVBand="0" w:oddHBand="0" w:evenHBand="1" w:firstRowFirstColumn="0" w:firstRowLastColumn="0" w:lastRowFirstColumn="0" w:lastRowLastColumn="0"/>
            </w:pPr>
            <w:r>
              <w:t xml:space="preserve">Employer engagement </w:t>
            </w:r>
          </w:p>
        </w:tc>
      </w:tr>
      <w:tr w:rsidR="005117C2" w:rsidRPr="00CC6638" w14:paraId="7EBD5C50" w14:textId="77777777" w:rsidTr="00870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2E076C2" w14:textId="77777777" w:rsidR="005117C2" w:rsidRPr="00CC6638" w:rsidRDefault="005117C2" w:rsidP="002726F7">
            <w:r w:rsidRPr="00CC6638">
              <w:t>RESOURCES SEARCHED</w:t>
            </w:r>
          </w:p>
        </w:tc>
        <w:tc>
          <w:tcPr>
            <w:tcW w:w="6433" w:type="dxa"/>
          </w:tcPr>
          <w:p w14:paraId="73979267" w14:textId="48750436" w:rsidR="2D839B99" w:rsidRDefault="2D839B99" w:rsidP="002726F7">
            <w:pPr>
              <w:cnfStyle w:val="000000100000" w:firstRow="0" w:lastRow="0" w:firstColumn="0" w:lastColumn="0" w:oddVBand="0" w:evenVBand="0" w:oddHBand="1" w:evenHBand="0" w:firstRowFirstColumn="0" w:firstRowLastColumn="0" w:lastRowFirstColumn="0" w:lastRowLastColumn="0"/>
              <w:rPr>
                <w:lang w:val="en-GB"/>
              </w:rPr>
            </w:pPr>
            <w:r w:rsidRPr="65EA337E">
              <w:rPr>
                <w:lang w:val="en-GB"/>
              </w:rPr>
              <w:t xml:space="preserve">• </w:t>
            </w:r>
            <w:r w:rsidR="38EDF243" w:rsidRPr="65EA337E">
              <w:rPr>
                <w:lang w:val="en-GB"/>
              </w:rPr>
              <w:t>Web of Science</w:t>
            </w:r>
          </w:p>
          <w:p w14:paraId="3BECDB71" w14:textId="6E550FFC" w:rsidR="005117C2" w:rsidRPr="00CC6638" w:rsidRDefault="2D839B99" w:rsidP="002726F7">
            <w:pPr>
              <w:cnfStyle w:val="000000100000" w:firstRow="0" w:lastRow="0" w:firstColumn="0" w:lastColumn="0" w:oddVBand="0" w:evenVBand="0" w:oddHBand="1" w:evenHBand="0" w:firstRowFirstColumn="0" w:firstRowLastColumn="0" w:lastRowFirstColumn="0" w:lastRowLastColumn="0"/>
            </w:pPr>
            <w:r w:rsidRPr="65EA337E">
              <w:rPr>
                <w:lang w:val="en-GB"/>
              </w:rPr>
              <w:t xml:space="preserve">• </w:t>
            </w:r>
            <w:r w:rsidR="3F6B1808" w:rsidRPr="65EA337E">
              <w:rPr>
                <w:lang w:val="en-GB"/>
              </w:rPr>
              <w:t>MEDLINE</w:t>
            </w:r>
          </w:p>
          <w:p w14:paraId="38F8D7DB" w14:textId="5B1641FE" w:rsidR="005117C2" w:rsidRPr="00CC6638" w:rsidRDefault="2D839B99" w:rsidP="002726F7">
            <w:pPr>
              <w:cnfStyle w:val="000000100000" w:firstRow="0" w:lastRow="0" w:firstColumn="0" w:lastColumn="0" w:oddVBand="0" w:evenVBand="0" w:oddHBand="1" w:evenHBand="0" w:firstRowFirstColumn="0" w:firstRowLastColumn="0" w:lastRowFirstColumn="0" w:lastRowLastColumn="0"/>
            </w:pPr>
            <w:r w:rsidRPr="19CA8C6A">
              <w:rPr>
                <w:lang w:val="en-GB"/>
              </w:rPr>
              <w:t>• EMBASE</w:t>
            </w:r>
          </w:p>
          <w:p w14:paraId="7FB856AA" w14:textId="30D08F2E" w:rsidR="7EE9DEAB" w:rsidRDefault="7EE9DEAB" w:rsidP="002726F7">
            <w:pPr>
              <w:cnfStyle w:val="000000100000" w:firstRow="0" w:lastRow="0" w:firstColumn="0" w:lastColumn="0" w:oddVBand="0" w:evenVBand="0" w:oddHBand="1" w:evenHBand="0" w:firstRowFirstColumn="0" w:firstRowLastColumn="0" w:lastRowFirstColumn="0" w:lastRowLastColumn="0"/>
            </w:pPr>
            <w:r w:rsidRPr="67D047B6">
              <w:rPr>
                <w:lang w:val="en-GB"/>
              </w:rPr>
              <w:t>• CINAHL</w:t>
            </w:r>
          </w:p>
          <w:p w14:paraId="4A7BF353" w14:textId="39670A1D" w:rsidR="7EE9DEAB" w:rsidRDefault="7EE9DEAB" w:rsidP="002726F7">
            <w:pPr>
              <w:cnfStyle w:val="000000100000" w:firstRow="0" w:lastRow="0" w:firstColumn="0" w:lastColumn="0" w:oddVBand="0" w:evenVBand="0" w:oddHBand="1" w:evenHBand="0" w:firstRowFirstColumn="0" w:firstRowLastColumn="0" w:lastRowFirstColumn="0" w:lastRowLastColumn="0"/>
              <w:rPr>
                <w:lang w:val="en-GB"/>
              </w:rPr>
            </w:pPr>
            <w:r w:rsidRPr="67D047B6">
              <w:rPr>
                <w:lang w:val="en-GB"/>
              </w:rPr>
              <w:t>• BUSINESS SOURCE</w:t>
            </w:r>
            <w:r w:rsidR="069DE5E1" w:rsidRPr="67D047B6">
              <w:rPr>
                <w:lang w:val="en-GB"/>
              </w:rPr>
              <w:t xml:space="preserve"> COMPLETE</w:t>
            </w:r>
          </w:p>
          <w:p w14:paraId="09E69282" w14:textId="74574CCD" w:rsidR="005117C2" w:rsidRPr="00CC6638" w:rsidRDefault="2D839B99" w:rsidP="002726F7">
            <w:pPr>
              <w:cnfStyle w:val="000000100000" w:firstRow="0" w:lastRow="0" w:firstColumn="0" w:lastColumn="0" w:oddVBand="0" w:evenVBand="0" w:oddHBand="1" w:evenHBand="0" w:firstRowFirstColumn="0" w:firstRowLastColumn="0" w:lastRowFirstColumn="0" w:lastRowLastColumn="0"/>
            </w:pPr>
            <w:r w:rsidRPr="19CA8C6A">
              <w:rPr>
                <w:lang w:val="en-GB"/>
              </w:rPr>
              <w:t>• PsycINFO</w:t>
            </w:r>
          </w:p>
          <w:p w14:paraId="526EC661" w14:textId="4BA26B9C" w:rsidR="005117C2" w:rsidRPr="00CC6638" w:rsidRDefault="2D839B99" w:rsidP="002726F7">
            <w:pPr>
              <w:cnfStyle w:val="000000100000" w:firstRow="0" w:lastRow="0" w:firstColumn="0" w:lastColumn="0" w:oddVBand="0" w:evenVBand="0" w:oddHBand="1" w:evenHBand="0" w:firstRowFirstColumn="0" w:firstRowLastColumn="0" w:lastRowFirstColumn="0" w:lastRowLastColumn="0"/>
            </w:pPr>
            <w:r w:rsidRPr="19CA8C6A">
              <w:rPr>
                <w:lang w:val="en-GB"/>
              </w:rPr>
              <w:t>• Scopus</w:t>
            </w:r>
          </w:p>
        </w:tc>
      </w:tr>
      <w:tr w:rsidR="005117C2" w:rsidRPr="00CC6638" w14:paraId="696A6F67" w14:textId="77777777" w:rsidTr="00870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18B6A8A" w14:textId="77777777" w:rsidR="005117C2" w:rsidRPr="00CC6638" w:rsidRDefault="005117C2" w:rsidP="002726F7">
            <w:r w:rsidRPr="00CC6638">
              <w:t>DATE COMPLETED</w:t>
            </w:r>
          </w:p>
        </w:tc>
        <w:tc>
          <w:tcPr>
            <w:tcW w:w="6433" w:type="dxa"/>
          </w:tcPr>
          <w:p w14:paraId="1C83052E" w14:textId="279271B5" w:rsidR="005117C2" w:rsidRPr="00CC6638" w:rsidRDefault="0DADC3A0" w:rsidP="002726F7">
            <w:pPr>
              <w:cnfStyle w:val="000000010000" w:firstRow="0" w:lastRow="0" w:firstColumn="0" w:lastColumn="0" w:oddVBand="0" w:evenVBand="0" w:oddHBand="0" w:evenHBand="1" w:firstRowFirstColumn="0" w:firstRowLastColumn="0" w:lastRowFirstColumn="0" w:lastRowLastColumn="0"/>
            </w:pPr>
            <w:r w:rsidRPr="0042447B">
              <w:t>02</w:t>
            </w:r>
            <w:r w:rsidR="005117C2" w:rsidRPr="0042447B">
              <w:t>/0</w:t>
            </w:r>
            <w:r w:rsidR="0BB44609" w:rsidRPr="0042447B">
              <w:t>3</w:t>
            </w:r>
            <w:r w:rsidR="005117C2" w:rsidRPr="0042447B">
              <w:t>/202</w:t>
            </w:r>
            <w:r w:rsidR="00CC6638" w:rsidRPr="0042447B">
              <w:t>6</w:t>
            </w:r>
          </w:p>
        </w:tc>
      </w:tr>
      <w:tr w:rsidR="005117C2" w:rsidRPr="00CC6638" w14:paraId="0BBCCA5F" w14:textId="77777777" w:rsidTr="00870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340BD60" w14:textId="77777777" w:rsidR="005117C2" w:rsidRPr="00CC6638" w:rsidRDefault="005117C2" w:rsidP="002726F7">
            <w:r w:rsidRPr="00CC6638">
              <w:t>TYPE OF SEARCH STRATEGY</w:t>
            </w:r>
          </w:p>
        </w:tc>
        <w:tc>
          <w:tcPr>
            <w:tcW w:w="6433" w:type="dxa"/>
          </w:tcPr>
          <w:p w14:paraId="55ADE87C" w14:textId="77777777" w:rsidR="005117C2" w:rsidRPr="00CC6638" w:rsidRDefault="005117C2" w:rsidP="002726F7">
            <w:pPr>
              <w:cnfStyle w:val="000000100000" w:firstRow="0" w:lastRow="0" w:firstColumn="0" w:lastColumn="0" w:oddVBand="0" w:evenVBand="0" w:oddHBand="1" w:evenHBand="0" w:firstRowFirstColumn="0" w:firstRowLastColumn="0" w:lastRowFirstColumn="0" w:lastRowLastColumn="0"/>
            </w:pPr>
            <w:r w:rsidRPr="00CC6638">
              <w:t>Scoping</w:t>
            </w:r>
          </w:p>
        </w:tc>
      </w:tr>
      <w:tr w:rsidR="005117C2" w:rsidRPr="00CC6638" w14:paraId="3A589AC1" w14:textId="77777777" w:rsidTr="00870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4AC5283" w14:textId="77777777" w:rsidR="005117C2" w:rsidRPr="00CC6638" w:rsidRDefault="005117C2" w:rsidP="002726F7">
            <w:r w:rsidRPr="00CC6638">
              <w:t>ENDNOTE FILE REQUIRED?</w:t>
            </w:r>
          </w:p>
        </w:tc>
        <w:tc>
          <w:tcPr>
            <w:tcW w:w="6433" w:type="dxa"/>
          </w:tcPr>
          <w:p w14:paraId="41E647AD" w14:textId="738E6D0E" w:rsidR="005117C2" w:rsidRPr="00CC6638" w:rsidRDefault="00CC6638" w:rsidP="002726F7">
            <w:pPr>
              <w:cnfStyle w:val="000000010000" w:firstRow="0" w:lastRow="0" w:firstColumn="0" w:lastColumn="0" w:oddVBand="0" w:evenVBand="0" w:oddHBand="0" w:evenHBand="1" w:firstRowFirstColumn="0" w:firstRowLastColumn="0" w:lastRowFirstColumn="0" w:lastRowLastColumn="0"/>
            </w:pPr>
            <w:r>
              <w:t>Zotero files produced</w:t>
            </w:r>
          </w:p>
        </w:tc>
      </w:tr>
      <w:tr w:rsidR="005117C2" w:rsidRPr="00CC6638" w14:paraId="0EDB7CBA" w14:textId="77777777" w:rsidTr="00870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C0C0C0" w:themeColor="accent5"/>
            </w:tcBorders>
          </w:tcPr>
          <w:p w14:paraId="7435AEF5" w14:textId="77777777" w:rsidR="005117C2" w:rsidRPr="00CC6638" w:rsidRDefault="005117C2" w:rsidP="002726F7">
            <w:r w:rsidRPr="00CC6638">
              <w:t>LIBRARIAN</w:t>
            </w:r>
          </w:p>
        </w:tc>
        <w:tc>
          <w:tcPr>
            <w:tcW w:w="6433" w:type="dxa"/>
            <w:tcBorders>
              <w:bottom w:val="single" w:sz="4" w:space="0" w:color="C0C0C0" w:themeColor="accent5"/>
            </w:tcBorders>
          </w:tcPr>
          <w:p w14:paraId="4A85ECD5" w14:textId="50F4BF79" w:rsidR="005117C2" w:rsidRPr="00CC6638" w:rsidRDefault="00CC6638" w:rsidP="002726F7">
            <w:pPr>
              <w:cnfStyle w:val="000000100000" w:firstRow="0" w:lastRow="0" w:firstColumn="0" w:lastColumn="0" w:oddVBand="0" w:evenVBand="0" w:oddHBand="1" w:evenHBand="0" w:firstRowFirstColumn="0" w:firstRowLastColumn="0" w:lastRowFirstColumn="0" w:lastRowLastColumn="0"/>
            </w:pPr>
            <w:r w:rsidRPr="00CC6638">
              <w:t>Marjorie Jeffers</w:t>
            </w:r>
          </w:p>
        </w:tc>
      </w:tr>
      <w:tr w:rsidR="005117C2" w:rsidRPr="00CC6638" w14:paraId="78AFB586" w14:textId="77777777" w:rsidTr="00870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C0C0C0" w:themeColor="accent5"/>
            </w:tcBorders>
          </w:tcPr>
          <w:p w14:paraId="154C9AC7" w14:textId="77777777" w:rsidR="005117C2" w:rsidRPr="00CC6638" w:rsidRDefault="005117C2" w:rsidP="002726F7">
            <w:r w:rsidRPr="00CC6638">
              <w:t>DISCLAIMER</w:t>
            </w:r>
          </w:p>
        </w:tc>
        <w:tc>
          <w:tcPr>
            <w:tcW w:w="6433" w:type="dxa"/>
            <w:tcBorders>
              <w:bottom w:val="single" w:sz="4" w:space="0" w:color="C0C0C0" w:themeColor="accent5"/>
            </w:tcBorders>
          </w:tcPr>
          <w:p w14:paraId="36DA8867" w14:textId="37FE5F1D" w:rsidR="005117C2" w:rsidRPr="00CC6638" w:rsidRDefault="005117C2" w:rsidP="002726F7">
            <w:pPr>
              <w:cnfStyle w:val="000000010000" w:firstRow="0" w:lastRow="0" w:firstColumn="0" w:lastColumn="0" w:oddVBand="0" w:evenVBand="0" w:oddHBand="0" w:evenHBand="1" w:firstRowFirstColumn="0" w:firstRowLastColumn="0" w:lastRowFirstColumn="0" w:lastRowLastColumn="0"/>
            </w:pPr>
            <w:r w:rsidRPr="00CC6638">
              <w:t xml:space="preserve">Results of database searches are subject to the limitations of the database(s) searched. The information is gathered from standard sources licensed by the </w:t>
            </w:r>
            <w:r w:rsidR="00CC6638" w:rsidRPr="00CC6638">
              <w:t>Australian Catholic University Library</w:t>
            </w:r>
            <w:r w:rsidRPr="00CC6638">
              <w:t xml:space="preserve"> and may not provide exhaustive coverage of the subject.</w:t>
            </w:r>
          </w:p>
        </w:tc>
      </w:tr>
    </w:tbl>
    <w:p w14:paraId="07D3DB48" w14:textId="5FB87793" w:rsidR="005117C2" w:rsidRPr="00CC6638" w:rsidRDefault="005117C2" w:rsidP="002726F7">
      <w:pPr>
        <w:rPr>
          <w:lang w:eastAsia="en-AU"/>
        </w:rPr>
      </w:pPr>
      <w:r w:rsidRPr="00CC6638">
        <w:rPr>
          <w:lang w:eastAsia="en-AU"/>
        </w:rPr>
        <w:t xml:space="preserve">This appendix documents the initial scoping search conducted by </w:t>
      </w:r>
      <w:r w:rsidR="21DA0CD7" w:rsidRPr="1A5D57B7">
        <w:rPr>
          <w:lang w:eastAsia="en-AU"/>
        </w:rPr>
        <w:t>Jo Ingold, Qian Yi Lee</w:t>
      </w:r>
      <w:r w:rsidRPr="00CC6638">
        <w:rPr>
          <w:lang w:eastAsia="en-AU"/>
        </w:rPr>
        <w:t xml:space="preserve"> and </w:t>
      </w:r>
      <w:r w:rsidR="21DA0CD7" w:rsidRPr="1A5D57B7">
        <w:rPr>
          <w:lang w:eastAsia="en-AU"/>
        </w:rPr>
        <w:t>Iresha Donmanige</w:t>
      </w:r>
      <w:r w:rsidRPr="00CC6638">
        <w:rPr>
          <w:lang w:eastAsia="en-AU"/>
        </w:rPr>
        <w:t xml:space="preserve">, including databases searched, search terms, search dates, and result counts. It also includes detailed search strings and links </w:t>
      </w:r>
      <w:r w:rsidRPr="00CC6638">
        <w:rPr>
          <w:lang w:eastAsia="en-AU"/>
        </w:rPr>
        <w:lastRenderedPageBreak/>
        <w:t>to database queries.</w:t>
      </w:r>
    </w:p>
    <w:p w14:paraId="65900789" w14:textId="77777777" w:rsidR="005117C2" w:rsidRPr="00CC6638" w:rsidRDefault="005117C2" w:rsidP="002726F7">
      <w:pPr>
        <w:rPr>
          <w:bCs/>
        </w:rPr>
      </w:pPr>
      <w:r w:rsidRPr="67D047B6">
        <w:t>OVERVIEW OF RESULTS</w:t>
      </w:r>
    </w:p>
    <w:tbl>
      <w:tblPr>
        <w:tblStyle w:val="CIETable"/>
        <w:tblW w:w="0" w:type="auto"/>
        <w:tblLook w:val="04A0" w:firstRow="1" w:lastRow="0" w:firstColumn="1" w:lastColumn="0" w:noHBand="0" w:noVBand="1"/>
      </w:tblPr>
      <w:tblGrid>
        <w:gridCol w:w="4815"/>
        <w:gridCol w:w="2268"/>
        <w:gridCol w:w="1848"/>
      </w:tblGrid>
      <w:tr w:rsidR="005117C2" w:rsidRPr="00CC6638" w14:paraId="528A97DD" w14:textId="77777777" w:rsidTr="003D0E46">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4815" w:type="dxa"/>
          </w:tcPr>
          <w:p w14:paraId="617DFD51" w14:textId="77777777" w:rsidR="005117C2" w:rsidRPr="00CC6638" w:rsidRDefault="005117C2" w:rsidP="003D0E46">
            <w:pPr>
              <w:pStyle w:val="TableHeading"/>
            </w:pPr>
            <w:bookmarkStart w:id="30" w:name="_Hlk205824841"/>
            <w:r w:rsidRPr="00CC6638">
              <w:t>Database</w:t>
            </w:r>
          </w:p>
        </w:tc>
        <w:tc>
          <w:tcPr>
            <w:tcW w:w="2268" w:type="dxa"/>
          </w:tcPr>
          <w:p w14:paraId="396BF181" w14:textId="77777777" w:rsidR="005117C2" w:rsidRPr="00CC6638" w:rsidRDefault="005117C2" w:rsidP="003D0E46">
            <w:pPr>
              <w:pStyle w:val="TableHeading"/>
              <w:cnfStyle w:val="100000000000" w:firstRow="1" w:lastRow="0" w:firstColumn="0" w:lastColumn="0" w:oddVBand="0" w:evenVBand="0" w:oddHBand="0" w:evenHBand="0" w:firstRowFirstColumn="0" w:firstRowLastColumn="0" w:lastRowFirstColumn="0" w:lastRowLastColumn="0"/>
            </w:pPr>
            <w:r w:rsidRPr="00CC6638">
              <w:t>Result</w:t>
            </w:r>
          </w:p>
        </w:tc>
        <w:tc>
          <w:tcPr>
            <w:tcW w:w="1848" w:type="dxa"/>
          </w:tcPr>
          <w:p w14:paraId="7D1CBCF9" w14:textId="77777777" w:rsidR="005117C2" w:rsidRPr="00CC6638" w:rsidRDefault="005117C2" w:rsidP="003D0E46">
            <w:pPr>
              <w:pStyle w:val="TableHeading"/>
              <w:cnfStyle w:val="100000000000" w:firstRow="1" w:lastRow="0" w:firstColumn="0" w:lastColumn="0" w:oddVBand="0" w:evenVBand="0" w:oddHBand="0" w:evenHBand="0" w:firstRowFirstColumn="0" w:firstRowLastColumn="0" w:lastRowFirstColumn="0" w:lastRowLastColumn="0"/>
            </w:pPr>
            <w:r w:rsidRPr="00CC6638">
              <w:t>Date run</w:t>
            </w:r>
          </w:p>
        </w:tc>
      </w:tr>
      <w:tr w:rsidR="005117C2" w:rsidRPr="00CC6638" w14:paraId="653CAC41" w14:textId="77777777" w:rsidTr="003D0E4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815" w:type="dxa"/>
          </w:tcPr>
          <w:p w14:paraId="29F0D96B" w14:textId="77777777" w:rsidR="005117C2" w:rsidRPr="00CC6638" w:rsidRDefault="005117C2" w:rsidP="002726F7">
            <w:pPr>
              <w:rPr>
                <w:b w:val="0"/>
              </w:rPr>
            </w:pPr>
            <w:r w:rsidRPr="00CC6638">
              <w:t>PsycINFO</w:t>
            </w:r>
          </w:p>
        </w:tc>
        <w:tc>
          <w:tcPr>
            <w:tcW w:w="2268" w:type="dxa"/>
          </w:tcPr>
          <w:p w14:paraId="17D1B970" w14:textId="59131E4E" w:rsidR="005117C2" w:rsidRPr="00CC6638" w:rsidRDefault="27ECE308" w:rsidP="003D0E46">
            <w:pPr>
              <w:pStyle w:val="TableText"/>
              <w:cnfStyle w:val="000000100000" w:firstRow="0" w:lastRow="0" w:firstColumn="0" w:lastColumn="0" w:oddVBand="0" w:evenVBand="0" w:oddHBand="1" w:evenHBand="0" w:firstRowFirstColumn="0" w:firstRowLastColumn="0" w:lastRowFirstColumn="0" w:lastRowLastColumn="0"/>
            </w:pPr>
            <w:r w:rsidRPr="19CA8C6A">
              <w:t>49</w:t>
            </w:r>
          </w:p>
        </w:tc>
        <w:tc>
          <w:tcPr>
            <w:tcW w:w="1848" w:type="dxa"/>
          </w:tcPr>
          <w:p w14:paraId="63C3AFD0" w14:textId="6D8E0DE0" w:rsidR="005117C2" w:rsidRPr="00CC6638" w:rsidRDefault="27ECE308" w:rsidP="002726F7">
            <w:pPr>
              <w:cnfStyle w:val="000000100000" w:firstRow="0" w:lastRow="0" w:firstColumn="0" w:lastColumn="0" w:oddVBand="0" w:evenVBand="0" w:oddHBand="1" w:evenHBand="0" w:firstRowFirstColumn="0" w:firstRowLastColumn="0" w:lastRowFirstColumn="0" w:lastRowLastColumn="0"/>
            </w:pPr>
            <w:r w:rsidRPr="19CA8C6A">
              <w:t>02</w:t>
            </w:r>
            <w:r w:rsidR="005117C2" w:rsidRPr="19CA8C6A">
              <w:t>/0</w:t>
            </w:r>
            <w:r w:rsidR="1723E36E" w:rsidRPr="19CA8C6A">
              <w:t>3</w:t>
            </w:r>
            <w:r w:rsidR="005117C2" w:rsidRPr="19CA8C6A">
              <w:t>/202</w:t>
            </w:r>
            <w:r w:rsidR="54E778B4" w:rsidRPr="19CA8C6A">
              <w:t>6</w:t>
            </w:r>
          </w:p>
        </w:tc>
      </w:tr>
      <w:tr w:rsidR="005117C2" w:rsidRPr="00CC6638" w14:paraId="6CFD1CA5" w14:textId="77777777" w:rsidTr="003D0E46">
        <w:trPr>
          <w:cnfStyle w:val="000000010000" w:firstRow="0" w:lastRow="0" w:firstColumn="0" w:lastColumn="0" w:oddVBand="0" w:evenVBand="0" w:oddHBand="0" w:evenHBand="1"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815" w:type="dxa"/>
          </w:tcPr>
          <w:p w14:paraId="63A936D1" w14:textId="77777777" w:rsidR="005117C2" w:rsidRPr="00CC6638" w:rsidRDefault="005117C2" w:rsidP="002726F7">
            <w:pPr>
              <w:rPr>
                <w:b w:val="0"/>
              </w:rPr>
            </w:pPr>
            <w:r w:rsidRPr="00CC6638">
              <w:t>SCOPUS</w:t>
            </w:r>
          </w:p>
        </w:tc>
        <w:tc>
          <w:tcPr>
            <w:tcW w:w="2268" w:type="dxa"/>
          </w:tcPr>
          <w:p w14:paraId="6DA8DDC5" w14:textId="1F64A9E8" w:rsidR="005117C2" w:rsidRPr="00CC6638" w:rsidRDefault="1E207251" w:rsidP="002726F7">
            <w:pPr>
              <w:cnfStyle w:val="000000010000" w:firstRow="0" w:lastRow="0" w:firstColumn="0" w:lastColumn="0" w:oddVBand="0" w:evenVBand="0" w:oddHBand="0" w:evenHBand="1" w:firstRowFirstColumn="0" w:firstRowLastColumn="0" w:lastRowFirstColumn="0" w:lastRowLastColumn="0"/>
            </w:pPr>
            <w:r w:rsidRPr="19CA8C6A">
              <w:t>95</w:t>
            </w:r>
          </w:p>
        </w:tc>
        <w:tc>
          <w:tcPr>
            <w:tcW w:w="1848" w:type="dxa"/>
          </w:tcPr>
          <w:p w14:paraId="0250B359" w14:textId="742CB650" w:rsidR="005117C2" w:rsidRPr="00CC6638" w:rsidRDefault="1E207251" w:rsidP="002726F7">
            <w:pPr>
              <w:cnfStyle w:val="000000010000" w:firstRow="0" w:lastRow="0" w:firstColumn="0" w:lastColumn="0" w:oddVBand="0" w:evenVBand="0" w:oddHBand="0" w:evenHBand="1" w:firstRowFirstColumn="0" w:firstRowLastColumn="0" w:lastRowFirstColumn="0" w:lastRowLastColumn="0"/>
            </w:pPr>
            <w:r w:rsidRPr="19CA8C6A">
              <w:t>02</w:t>
            </w:r>
            <w:r w:rsidR="005117C2" w:rsidRPr="19CA8C6A">
              <w:t>/0</w:t>
            </w:r>
            <w:r w:rsidR="71A14D2A" w:rsidRPr="19CA8C6A">
              <w:t>3</w:t>
            </w:r>
            <w:r w:rsidR="005117C2" w:rsidRPr="19CA8C6A">
              <w:t>/202</w:t>
            </w:r>
            <w:r w:rsidR="486596FD" w:rsidRPr="19CA8C6A">
              <w:t>6</w:t>
            </w:r>
          </w:p>
        </w:tc>
      </w:tr>
      <w:tr w:rsidR="005117C2" w:rsidRPr="00CC6638" w14:paraId="1A0EA352" w14:textId="77777777" w:rsidTr="003D0E4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815" w:type="dxa"/>
          </w:tcPr>
          <w:p w14:paraId="4540D271" w14:textId="77777777" w:rsidR="005117C2" w:rsidRPr="00CC6638" w:rsidRDefault="005117C2" w:rsidP="002726F7">
            <w:pPr>
              <w:rPr>
                <w:b w:val="0"/>
              </w:rPr>
            </w:pPr>
            <w:r w:rsidRPr="00CC6638">
              <w:t>Web of Science</w:t>
            </w:r>
          </w:p>
        </w:tc>
        <w:tc>
          <w:tcPr>
            <w:tcW w:w="2268" w:type="dxa"/>
          </w:tcPr>
          <w:p w14:paraId="62D60434" w14:textId="5EB7676C" w:rsidR="005117C2" w:rsidRPr="00CC6638" w:rsidRDefault="122EDF3A" w:rsidP="002726F7">
            <w:pPr>
              <w:cnfStyle w:val="000000100000" w:firstRow="0" w:lastRow="0" w:firstColumn="0" w:lastColumn="0" w:oddVBand="0" w:evenVBand="0" w:oddHBand="1" w:evenHBand="0" w:firstRowFirstColumn="0" w:firstRowLastColumn="0" w:lastRowFirstColumn="0" w:lastRowLastColumn="0"/>
            </w:pPr>
            <w:r w:rsidRPr="19CA8C6A">
              <w:t>95</w:t>
            </w:r>
          </w:p>
        </w:tc>
        <w:tc>
          <w:tcPr>
            <w:tcW w:w="1848" w:type="dxa"/>
          </w:tcPr>
          <w:p w14:paraId="476C1FD9" w14:textId="4E33D619" w:rsidR="005117C2" w:rsidRPr="00CC6638" w:rsidRDefault="122EDF3A" w:rsidP="002726F7">
            <w:pPr>
              <w:cnfStyle w:val="000000100000" w:firstRow="0" w:lastRow="0" w:firstColumn="0" w:lastColumn="0" w:oddVBand="0" w:evenVBand="0" w:oddHBand="1" w:evenHBand="0" w:firstRowFirstColumn="0" w:firstRowLastColumn="0" w:lastRowFirstColumn="0" w:lastRowLastColumn="0"/>
            </w:pPr>
            <w:r w:rsidRPr="19CA8C6A">
              <w:t>02</w:t>
            </w:r>
            <w:r w:rsidR="005117C2" w:rsidRPr="19CA8C6A">
              <w:t>/0</w:t>
            </w:r>
            <w:r w:rsidR="448A2373" w:rsidRPr="19CA8C6A">
              <w:t>3</w:t>
            </w:r>
            <w:r w:rsidR="005117C2" w:rsidRPr="19CA8C6A">
              <w:t>/202</w:t>
            </w:r>
            <w:r w:rsidR="07B815AE" w:rsidRPr="19CA8C6A">
              <w:t>6</w:t>
            </w:r>
          </w:p>
        </w:tc>
      </w:tr>
      <w:tr w:rsidR="005117C2" w:rsidRPr="00CC6638" w14:paraId="3CC11571" w14:textId="77777777" w:rsidTr="003D0E4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tcPr>
          <w:p w14:paraId="284798A2" w14:textId="087B52F2" w:rsidR="07B815AE" w:rsidRDefault="07B815AE" w:rsidP="002726F7">
            <w:r w:rsidRPr="19CA8C6A">
              <w:t>MEDLINE</w:t>
            </w:r>
          </w:p>
          <w:p w14:paraId="0E0E9285" w14:textId="77777777" w:rsidR="005117C2" w:rsidRPr="00CC6638" w:rsidRDefault="005117C2" w:rsidP="002726F7">
            <w:pPr>
              <w:rPr>
                <w:b w:val="0"/>
              </w:rPr>
            </w:pPr>
          </w:p>
        </w:tc>
        <w:tc>
          <w:tcPr>
            <w:tcW w:w="2268" w:type="dxa"/>
          </w:tcPr>
          <w:p w14:paraId="06A5023E" w14:textId="13EEFC97" w:rsidR="005117C2" w:rsidRPr="00CC6638" w:rsidRDefault="07B815AE" w:rsidP="002726F7">
            <w:pPr>
              <w:cnfStyle w:val="000000010000" w:firstRow="0" w:lastRow="0" w:firstColumn="0" w:lastColumn="0" w:oddVBand="0" w:evenVBand="0" w:oddHBand="0" w:evenHBand="1" w:firstRowFirstColumn="0" w:firstRowLastColumn="0" w:lastRowFirstColumn="0" w:lastRowLastColumn="0"/>
            </w:pPr>
            <w:r w:rsidRPr="19CA8C6A">
              <w:t>44</w:t>
            </w:r>
          </w:p>
        </w:tc>
        <w:tc>
          <w:tcPr>
            <w:tcW w:w="1848" w:type="dxa"/>
          </w:tcPr>
          <w:p w14:paraId="0353B12F" w14:textId="16A41EB9" w:rsidR="005117C2" w:rsidRPr="00CC6638" w:rsidRDefault="07B815AE" w:rsidP="002726F7">
            <w:pPr>
              <w:cnfStyle w:val="000000010000" w:firstRow="0" w:lastRow="0" w:firstColumn="0" w:lastColumn="0" w:oddVBand="0" w:evenVBand="0" w:oddHBand="0" w:evenHBand="1" w:firstRowFirstColumn="0" w:firstRowLastColumn="0" w:lastRowFirstColumn="0" w:lastRowLastColumn="0"/>
            </w:pPr>
            <w:r w:rsidRPr="19CA8C6A">
              <w:t>02/03/2026</w:t>
            </w:r>
          </w:p>
        </w:tc>
      </w:tr>
      <w:tr w:rsidR="005117C2" w:rsidRPr="00CC6638" w14:paraId="50A3E070" w14:textId="77777777" w:rsidTr="003D0E4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815" w:type="dxa"/>
          </w:tcPr>
          <w:p w14:paraId="77EC65DD" w14:textId="6B783DD1" w:rsidR="07B815AE" w:rsidRDefault="07B815AE" w:rsidP="002726F7">
            <w:r w:rsidRPr="19CA8C6A">
              <w:t>EMBASE</w:t>
            </w:r>
          </w:p>
          <w:p w14:paraId="4A6F6827" w14:textId="77777777" w:rsidR="005117C2" w:rsidRPr="00CC6638" w:rsidRDefault="005117C2" w:rsidP="002726F7">
            <w:pPr>
              <w:rPr>
                <w:b w:val="0"/>
              </w:rPr>
            </w:pPr>
          </w:p>
        </w:tc>
        <w:tc>
          <w:tcPr>
            <w:tcW w:w="2268" w:type="dxa"/>
          </w:tcPr>
          <w:p w14:paraId="2EFB706B" w14:textId="10567E46" w:rsidR="005117C2" w:rsidRPr="00CC6638" w:rsidRDefault="07B815AE" w:rsidP="002726F7">
            <w:pPr>
              <w:cnfStyle w:val="000000100000" w:firstRow="0" w:lastRow="0" w:firstColumn="0" w:lastColumn="0" w:oddVBand="0" w:evenVBand="0" w:oddHBand="1" w:evenHBand="0" w:firstRowFirstColumn="0" w:firstRowLastColumn="0" w:lastRowFirstColumn="0" w:lastRowLastColumn="0"/>
            </w:pPr>
            <w:r w:rsidRPr="19CA8C6A">
              <w:t>52</w:t>
            </w:r>
          </w:p>
        </w:tc>
        <w:tc>
          <w:tcPr>
            <w:tcW w:w="1848" w:type="dxa"/>
          </w:tcPr>
          <w:p w14:paraId="476FC99A" w14:textId="4E33D619" w:rsidR="005117C2" w:rsidRPr="00CC6638" w:rsidRDefault="07B815AE" w:rsidP="002726F7">
            <w:pPr>
              <w:cnfStyle w:val="000000100000" w:firstRow="0" w:lastRow="0" w:firstColumn="0" w:lastColumn="0" w:oddVBand="0" w:evenVBand="0" w:oddHBand="1" w:evenHBand="0" w:firstRowFirstColumn="0" w:firstRowLastColumn="0" w:lastRowFirstColumn="0" w:lastRowLastColumn="0"/>
            </w:pPr>
            <w:r w:rsidRPr="19CA8C6A">
              <w:t>02/03/2026</w:t>
            </w:r>
          </w:p>
          <w:p w14:paraId="7F1480F3" w14:textId="5DA28999" w:rsidR="005117C2" w:rsidRPr="00CC6638" w:rsidRDefault="005117C2" w:rsidP="002726F7">
            <w:pPr>
              <w:cnfStyle w:val="000000100000" w:firstRow="0" w:lastRow="0" w:firstColumn="0" w:lastColumn="0" w:oddVBand="0" w:evenVBand="0" w:oddHBand="1" w:evenHBand="0" w:firstRowFirstColumn="0" w:firstRowLastColumn="0" w:lastRowFirstColumn="0" w:lastRowLastColumn="0"/>
            </w:pPr>
          </w:p>
        </w:tc>
      </w:tr>
      <w:tr w:rsidR="19CA8C6A" w14:paraId="23066090" w14:textId="77777777" w:rsidTr="003D0E46">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815" w:type="dxa"/>
          </w:tcPr>
          <w:p w14:paraId="17CBEA24" w14:textId="24B2270C" w:rsidR="07B815AE" w:rsidRDefault="07B815AE" w:rsidP="002726F7">
            <w:pPr>
              <w:rPr>
                <w:b w:val="0"/>
              </w:rPr>
            </w:pPr>
            <w:r w:rsidRPr="19CA8C6A">
              <w:t>CINAHL Ultimate</w:t>
            </w:r>
          </w:p>
        </w:tc>
        <w:tc>
          <w:tcPr>
            <w:tcW w:w="2268" w:type="dxa"/>
          </w:tcPr>
          <w:p w14:paraId="54ED66D2" w14:textId="601AD091" w:rsidR="07B815AE" w:rsidRDefault="07B815AE" w:rsidP="002726F7">
            <w:pPr>
              <w:cnfStyle w:val="000000010000" w:firstRow="0" w:lastRow="0" w:firstColumn="0" w:lastColumn="0" w:oddVBand="0" w:evenVBand="0" w:oddHBand="0" w:evenHBand="1" w:firstRowFirstColumn="0" w:firstRowLastColumn="0" w:lastRowFirstColumn="0" w:lastRowLastColumn="0"/>
            </w:pPr>
            <w:r w:rsidRPr="19CA8C6A">
              <w:t>47</w:t>
            </w:r>
          </w:p>
        </w:tc>
        <w:tc>
          <w:tcPr>
            <w:tcW w:w="1848" w:type="dxa"/>
          </w:tcPr>
          <w:p w14:paraId="4A9C083B" w14:textId="3C59AE78" w:rsidR="07B815AE" w:rsidRDefault="07B815AE" w:rsidP="002726F7">
            <w:pPr>
              <w:cnfStyle w:val="000000010000" w:firstRow="0" w:lastRow="0" w:firstColumn="0" w:lastColumn="0" w:oddVBand="0" w:evenVBand="0" w:oddHBand="0" w:evenHBand="1" w:firstRowFirstColumn="0" w:firstRowLastColumn="0" w:lastRowFirstColumn="0" w:lastRowLastColumn="0"/>
            </w:pPr>
            <w:r w:rsidRPr="19CA8C6A">
              <w:t>02/03/2026</w:t>
            </w:r>
          </w:p>
        </w:tc>
      </w:tr>
      <w:tr w:rsidR="19CA8C6A" w14:paraId="77C1578A" w14:textId="77777777" w:rsidTr="003D0E4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815" w:type="dxa"/>
          </w:tcPr>
          <w:p w14:paraId="200A00A8" w14:textId="579A67F5" w:rsidR="07B815AE" w:rsidRDefault="07B815AE" w:rsidP="002726F7">
            <w:pPr>
              <w:rPr>
                <w:b w:val="0"/>
              </w:rPr>
            </w:pPr>
            <w:r w:rsidRPr="19CA8C6A">
              <w:t>Business Source</w:t>
            </w:r>
          </w:p>
        </w:tc>
        <w:tc>
          <w:tcPr>
            <w:tcW w:w="2268" w:type="dxa"/>
          </w:tcPr>
          <w:p w14:paraId="335BE65A" w14:textId="31A5D9E4" w:rsidR="07B815AE" w:rsidRDefault="07B815AE" w:rsidP="002726F7">
            <w:pPr>
              <w:cnfStyle w:val="000000100000" w:firstRow="0" w:lastRow="0" w:firstColumn="0" w:lastColumn="0" w:oddVBand="0" w:evenVBand="0" w:oddHBand="1" w:evenHBand="0" w:firstRowFirstColumn="0" w:firstRowLastColumn="0" w:lastRowFirstColumn="0" w:lastRowLastColumn="0"/>
            </w:pPr>
            <w:r w:rsidRPr="19CA8C6A">
              <w:t>16</w:t>
            </w:r>
          </w:p>
        </w:tc>
        <w:tc>
          <w:tcPr>
            <w:tcW w:w="1848" w:type="dxa"/>
          </w:tcPr>
          <w:p w14:paraId="23A6A227" w14:textId="430B743A" w:rsidR="07B815AE" w:rsidRDefault="07B815AE" w:rsidP="002726F7">
            <w:pPr>
              <w:cnfStyle w:val="000000100000" w:firstRow="0" w:lastRow="0" w:firstColumn="0" w:lastColumn="0" w:oddVBand="0" w:evenVBand="0" w:oddHBand="1" w:evenHBand="0" w:firstRowFirstColumn="0" w:firstRowLastColumn="0" w:lastRowFirstColumn="0" w:lastRowLastColumn="0"/>
            </w:pPr>
            <w:r w:rsidRPr="19CA8C6A">
              <w:t>02/03/2026</w:t>
            </w:r>
          </w:p>
        </w:tc>
      </w:tr>
    </w:tbl>
    <w:bookmarkEnd w:id="30"/>
    <w:p w14:paraId="33D764CF" w14:textId="54017564" w:rsidR="005117C2" w:rsidRPr="00A61F4F" w:rsidRDefault="005117C2" w:rsidP="002726F7">
      <w:r w:rsidRPr="00A61F4F">
        <w:t>DATABASE RESULTS</w:t>
      </w:r>
    </w:p>
    <w:p w14:paraId="4D2C4552" w14:textId="3C2B00AD" w:rsidR="7AF1881D" w:rsidRDefault="7AF1881D" w:rsidP="002726F7">
      <w:r w:rsidRPr="5AB88204">
        <w:rPr>
          <w:rFonts w:eastAsia="Calibri"/>
          <w:b/>
          <w:bCs/>
          <w:color w:val="auto"/>
        </w:rPr>
        <w:t xml:space="preserve">DATABASE: PsycINFO </w:t>
      </w:r>
      <w:r>
        <w:br/>
      </w:r>
      <w:r w:rsidR="63D4642C" w:rsidRPr="5AB88204">
        <w:rPr>
          <w:lang w:val="en-GB"/>
        </w:rPr>
        <w:t>ALL FIELDS and subject headings</w:t>
      </w:r>
    </w:p>
    <w:p w14:paraId="0C098AD0" w14:textId="36098295" w:rsidR="7AF1881D" w:rsidRDefault="63D4642C" w:rsidP="002726F7">
      <w:r w:rsidRPr="5AB88204">
        <w:rPr>
          <w:lang w:val="en-GB"/>
        </w:rPr>
        <w:t>"employer* engagement" OR "business engagement" OR "industry engagement" OR "employer partnership*" OR "employer collaborat*" OR "employer liais*" OR "employer broker*" OR "business facing" OR "employer facing” OR  "labo#r market intermediar*" OR “Supported Employment method*”OR “Employer focused intervention*” OR “employer commitment*” OR “partnership with employer*” OR “engaged employer*” OR “demand side factor*” OR “demand side approach*”</w:t>
      </w:r>
    </w:p>
    <w:p w14:paraId="50110A12" w14:textId="0A20F701" w:rsidR="7AF1881D" w:rsidRDefault="63D4642C" w:rsidP="002726F7">
      <w:r w:rsidRPr="5AB88204">
        <w:rPr>
          <w:lang w:val="en-GB"/>
        </w:rPr>
        <w:t>AND</w:t>
      </w:r>
    </w:p>
    <w:p w14:paraId="34675A65" w14:textId="5FE58F4F" w:rsidR="7AF1881D" w:rsidRDefault="63D4642C" w:rsidP="002726F7">
      <w:r w:rsidRPr="5AB88204">
        <w:rPr>
          <w:lang w:val="en-GB"/>
        </w:rPr>
        <w:t>disab* OR "people with disabilit*" OR "person* with disabilit*" OR “PWD” OR impairment* OR "jobseeker* with disabilit*" OR “vulnerable worker*” OR DE "Disabilities" OR DE "Personnel with Disabilities"</w:t>
      </w:r>
    </w:p>
    <w:p w14:paraId="628403A5" w14:textId="5DFF5830" w:rsidR="7AF1881D" w:rsidRDefault="63D4642C" w:rsidP="002726F7">
      <w:r w:rsidRPr="5AB88204">
        <w:rPr>
          <w:lang w:val="en-GB"/>
        </w:rPr>
        <w:t>AND</w:t>
      </w:r>
    </w:p>
    <w:p w14:paraId="3FD940DF" w14:textId="3A57D4F0" w:rsidR="7AF1881D" w:rsidRDefault="63D4642C" w:rsidP="002726F7">
      <w:r w:rsidRPr="5AB88204">
        <w:rPr>
          <w:lang w:val="en-GB"/>
        </w:rPr>
        <w:lastRenderedPageBreak/>
        <w:t>employ* OR job* OR hire* OR recruit* OR placement* OR retain* OR retention OR tenure* OR intergrat* OR "sustained employment" OR turnover OR progression OR promot* OR "career development" OR "open labo#r market" OR "competitive employment" OR "mainstream employment" OR attract* OR vacanc* OR "job ad*" OR outreach OR sourcing OR interview* OR selection OR assess* OR hire* OR disclosure* OR onboarding OR induction* OR orientation* OR probation* OR "reasonable adjustment*" OR accommodation* OR assistive OR modification* OR redesign* OR "job craft*" OR flexib* OR “jobcarv*” OR perform* OR appraisal OR progress* OR promot* OR "career development" OR “labo#r market participa*” OR DE "Disability Management" OR DE "Accommodation (Disabilities)" OR DE "Disability Inclusion" OR DE "Accessibility (Disabilities)" OR DE "Supported Employment"</w:t>
      </w:r>
    </w:p>
    <w:p w14:paraId="191410C4" w14:textId="59961D89" w:rsidR="457A4EF4" w:rsidRPr="00304C8B" w:rsidRDefault="457A4EF4" w:rsidP="002726F7">
      <w:pPr>
        <w:rPr>
          <w:b/>
          <w:bCs/>
        </w:rPr>
      </w:pPr>
      <w:r w:rsidRPr="00304C8B">
        <w:rPr>
          <w:b/>
          <w:bCs/>
        </w:rPr>
        <w:t>DATABASE: SCOPUS</w:t>
      </w:r>
    </w:p>
    <w:p w14:paraId="5C9DA626" w14:textId="4416AE82" w:rsidR="457A4EF4" w:rsidRDefault="457A4EF4" w:rsidP="002726F7">
      <w:r w:rsidRPr="5AB88204">
        <w:rPr>
          <w:lang w:val="en-GB"/>
        </w:rPr>
        <w:t>TITLE/ABSTRACT/KEYWORD</w:t>
      </w:r>
    </w:p>
    <w:p w14:paraId="35F01B65" w14:textId="0BF1A61C" w:rsidR="457A4EF4" w:rsidRDefault="457A4EF4" w:rsidP="002726F7">
      <w:r w:rsidRPr="5AB88204">
        <w:rPr>
          <w:lang w:val="en-GB"/>
        </w:rPr>
        <w:t>"employer* engagement" OR "business engagement" OR "industry engagement" OR "employer partnership*" OR "employer collaborat*" OR "employer liais*" OR "employer broker*" OR "business facing" OR "employer facing” OR  "labo?r market intermediar*" OR “Supported Employment method*”OR “Employer focused intervention*” OR “employer commitment*” OR “partnership with employer*” OR “engaged employer*” OR “demand side factor*” OR “demand side approach*”</w:t>
      </w:r>
    </w:p>
    <w:p w14:paraId="4660AD39" w14:textId="73F57388" w:rsidR="457A4EF4" w:rsidRDefault="457A4EF4" w:rsidP="002726F7">
      <w:r w:rsidRPr="5AB88204">
        <w:rPr>
          <w:lang w:val="en-GB"/>
        </w:rPr>
        <w:t>AND</w:t>
      </w:r>
    </w:p>
    <w:p w14:paraId="207EEC57" w14:textId="1231897E" w:rsidR="457A4EF4" w:rsidRDefault="457A4EF4" w:rsidP="002726F7">
      <w:r w:rsidRPr="5AB88204">
        <w:rPr>
          <w:lang w:val="en-GB"/>
        </w:rPr>
        <w:t>disab* OR "people with disabilit*" OR "person* with disabilit*" OR “PWD” OR impairment* OR "jobseeker* with disabilit*" OR “vulnerable worker*”</w:t>
      </w:r>
    </w:p>
    <w:p w14:paraId="7C391CA8" w14:textId="34C0D5A7" w:rsidR="457A4EF4" w:rsidRDefault="457A4EF4" w:rsidP="002726F7">
      <w:r w:rsidRPr="5AB88204">
        <w:rPr>
          <w:lang w:val="en-GB"/>
        </w:rPr>
        <w:t>AND</w:t>
      </w:r>
    </w:p>
    <w:p w14:paraId="1A420C07" w14:textId="20CA273E" w:rsidR="457A4EF4" w:rsidRDefault="457A4EF4" w:rsidP="002726F7">
      <w:r w:rsidRPr="5AB88204">
        <w:rPr>
          <w:lang w:val="en-GB"/>
        </w:rPr>
        <w:t>employ* OR job* OR hire* OR recruit* OR placement* OR retain* OR retention OR tenure* OR intergrat* OR "sustained employment" OR turnover OR progression OR promot* OR "career development" OR "open labo?r market" OR "competitive employment" OR "mainstream employment" OR attract* OR vacanc* OR "job ad*" OR outreach OR sourcing OR interview* OR selection OR assess* OR hire* OR disclosure* OR onboarding OR induction* OR orientation* OR probation* OR "reasonable adjustment*" OR accommodation* OR assistive OR modification* OR redesign* OR "job craft*" OR flexib* OR “jobcarv*” OR perform* OR appraisal OR progress* OR promot* OR "career development" OR “labo?r market participa*”</w:t>
      </w:r>
    </w:p>
    <w:p w14:paraId="3E68DD7B" w14:textId="1B00ABF6" w:rsidR="5AB88204" w:rsidRDefault="5AB88204" w:rsidP="002726F7"/>
    <w:p w14:paraId="4733ABBD" w14:textId="14AED906" w:rsidR="24F27AAB" w:rsidRPr="00304C8B" w:rsidRDefault="792DCC16" w:rsidP="002726F7">
      <w:pPr>
        <w:rPr>
          <w:b/>
          <w:bCs/>
          <w:highlight w:val="yellow"/>
        </w:rPr>
      </w:pPr>
      <w:r w:rsidRPr="00304C8B">
        <w:rPr>
          <w:b/>
          <w:bCs/>
        </w:rPr>
        <w:lastRenderedPageBreak/>
        <w:t>DATABASE: Web of Science</w:t>
      </w:r>
    </w:p>
    <w:p w14:paraId="6E94FA07" w14:textId="45F30B8E" w:rsidR="24F27AAB" w:rsidRDefault="792DCC16" w:rsidP="002726F7">
      <w:r w:rsidRPr="5AB88204">
        <w:rPr>
          <w:lang w:val="en-GB"/>
        </w:rPr>
        <w:t>ALL FIELDS</w:t>
      </w:r>
    </w:p>
    <w:p w14:paraId="2321E72A" w14:textId="452FCCCB" w:rsidR="24F27AAB" w:rsidRDefault="792DCC16" w:rsidP="002726F7">
      <w:r w:rsidRPr="5AB88204">
        <w:rPr>
          <w:lang w:val="en-GB"/>
        </w:rPr>
        <w:t>"employer* engagement" OR "business* engagement" OR "industr* engagement" OR "employer partnership*" OR "employer collaborat*" OR "employer liais*" OR "employer* broker*" OR "business facing" OR "employer facing” OR  "</w:t>
      </w:r>
      <w:proofErr w:type="spellStart"/>
      <w:r w:rsidRPr="5AB88204">
        <w:rPr>
          <w:lang w:val="en-GB"/>
        </w:rPr>
        <w:t>labo$r</w:t>
      </w:r>
      <w:proofErr w:type="spellEnd"/>
      <w:r w:rsidRPr="5AB88204">
        <w:rPr>
          <w:lang w:val="en-GB"/>
        </w:rPr>
        <w:t xml:space="preserve"> market intermediar*" OR “Supported Employment method*”OR “Employer focused intervention*” OR “employer commitment*” OR “partnership with employer*” OR “engaged employer*” OR “demand side factor*” OR “demand side approach*”</w:t>
      </w:r>
    </w:p>
    <w:p w14:paraId="2E6DE2A5" w14:textId="79EAE535" w:rsidR="24F27AAB" w:rsidRDefault="792DCC16" w:rsidP="002726F7">
      <w:r w:rsidRPr="5AB88204">
        <w:rPr>
          <w:lang w:val="en-GB"/>
        </w:rPr>
        <w:t>AND</w:t>
      </w:r>
    </w:p>
    <w:p w14:paraId="1DD74E49" w14:textId="4A115963" w:rsidR="24F27AAB" w:rsidRDefault="792DCC16" w:rsidP="002726F7">
      <w:r w:rsidRPr="5AB88204">
        <w:rPr>
          <w:lang w:val="en-GB"/>
        </w:rPr>
        <w:t>disab* OR "people with disabilit*" OR "person* with disabilit*" OR “PWD” OR impairment* OR "jobseeker* with disabilit*" OR “vulnerable worker*”</w:t>
      </w:r>
    </w:p>
    <w:p w14:paraId="3803A583" w14:textId="0B69BFF4" w:rsidR="24F27AAB" w:rsidRDefault="792DCC16" w:rsidP="002726F7">
      <w:r w:rsidRPr="5AB88204">
        <w:rPr>
          <w:lang w:val="en-GB"/>
        </w:rPr>
        <w:t>AND</w:t>
      </w:r>
    </w:p>
    <w:p w14:paraId="75E89532" w14:textId="76EFE205" w:rsidR="24F27AAB" w:rsidRPr="00304C8B" w:rsidRDefault="792DCC16" w:rsidP="002726F7">
      <w:pPr>
        <w:rPr>
          <w:b/>
          <w:bCs/>
          <w:color w:val="auto"/>
          <w:highlight w:val="yellow"/>
        </w:rPr>
      </w:pPr>
      <w:r w:rsidRPr="5AB88204">
        <w:rPr>
          <w:lang w:val="en-GB"/>
        </w:rPr>
        <w:t>employ* OR job* OR hire* OR recruit* OR placement* OR retain* OR retention OR tenure* OR intergrat* OR "sustained employment" OR turnover OR progression OR promot* OR "career development" OR "open labo</w:t>
      </w:r>
      <w:r w:rsidR="00645CC0">
        <w:rPr>
          <w:lang w:val="en-GB"/>
        </w:rPr>
        <w:t>u</w:t>
      </w:r>
      <w:r w:rsidRPr="5AB88204">
        <w:rPr>
          <w:lang w:val="en-GB"/>
        </w:rPr>
        <w:t>r market" OR "competitive employment" OR "mainstream employment" OR attract* OR vacanc* OR "job ad*" OR outreach OR sourcing OR interview* OR selection OR assess* OR hire* OR disclosure* OR onboarding OR induction* OR orientation* OR probation* OR "reasonable adjustment*" OR accommodation* OR assistive OR modification* OR redesign* OR "job craft*" OR flexib* OR “jobcarv*” OR perform* OR appraisal OR progress* OR promot* OR "career development" OR “</w:t>
      </w:r>
      <w:proofErr w:type="spellStart"/>
      <w:r w:rsidRPr="5AB88204">
        <w:rPr>
          <w:lang w:val="en-GB"/>
        </w:rPr>
        <w:t>labo$r</w:t>
      </w:r>
      <w:proofErr w:type="spellEnd"/>
      <w:r w:rsidRPr="5AB88204">
        <w:rPr>
          <w:lang w:val="en-GB"/>
        </w:rPr>
        <w:t xml:space="preserve"> market participa*”</w:t>
      </w:r>
    </w:p>
    <w:p w14:paraId="0900A09F" w14:textId="3EBDD58C" w:rsidR="24F27AAB" w:rsidRPr="00304C8B" w:rsidRDefault="6D04DFB5" w:rsidP="002726F7">
      <w:pPr>
        <w:rPr>
          <w:b/>
          <w:bCs/>
          <w:highlight w:val="yellow"/>
        </w:rPr>
      </w:pPr>
      <w:r w:rsidRPr="00304C8B">
        <w:rPr>
          <w:b/>
          <w:bCs/>
        </w:rPr>
        <w:t>DATABASE: MEDLINE</w:t>
      </w:r>
    </w:p>
    <w:p w14:paraId="708AEC84" w14:textId="3CC917B6" w:rsidR="24F27AAB" w:rsidRDefault="0CB3B2AA" w:rsidP="002726F7">
      <w:r w:rsidRPr="5AB88204">
        <w:rPr>
          <w:lang w:val="en-GB"/>
        </w:rPr>
        <w:t>ALL FIELDs and subject headings</w:t>
      </w:r>
    </w:p>
    <w:p w14:paraId="522A1F7F" w14:textId="2B3F9F0A" w:rsidR="24F27AAB" w:rsidRDefault="0CB3B2AA" w:rsidP="002726F7">
      <w:r w:rsidRPr="5AB88204">
        <w:rPr>
          <w:lang w:val="en-GB"/>
        </w:rPr>
        <w:t xml:space="preserve">"employer* engagement" OR "business engagement" OR "industry engagement" OR "employer partnership*" OR "employer collaborat*" OR "employer liais*" OR "employer broker*" OR "business facing" OR "employer facing” OR  "labo#r market intermediar*" OR “supported Employment method*”OR “employer focused intervention*” OR “employer commitment*” OR “partnership with employer*” OR “engaged employer*” OR “demand side factor*” OR “demand side approach*” </w:t>
      </w:r>
    </w:p>
    <w:p w14:paraId="0845BA7B" w14:textId="0A4746A8" w:rsidR="24F27AAB" w:rsidRDefault="0CB3B2AA" w:rsidP="002726F7">
      <w:r w:rsidRPr="5AB88204">
        <w:rPr>
          <w:lang w:val="en-GB"/>
        </w:rPr>
        <w:t>AND</w:t>
      </w:r>
    </w:p>
    <w:p w14:paraId="69B39EF0" w14:textId="2DE42FDE" w:rsidR="24F27AAB" w:rsidRDefault="0CB3B2AA" w:rsidP="002726F7">
      <w:r w:rsidRPr="5AB88204">
        <w:rPr>
          <w:lang w:val="en-GB"/>
        </w:rPr>
        <w:t xml:space="preserve">disab* OR "people with disabilit*" OR "person* with disabilit*" OR “PWD” OR impairment* OR "jobseeker* with disabilit*" OR “vulnerable worker*” OR </w:t>
      </w:r>
      <w:r w:rsidRPr="5AB88204">
        <w:t xml:space="preserve">MH </w:t>
      </w:r>
      <w:r w:rsidRPr="5AB88204">
        <w:lastRenderedPageBreak/>
        <w:t>"Persons with Disabilities+"</w:t>
      </w:r>
    </w:p>
    <w:p w14:paraId="3C77AD85" w14:textId="25DCF228" w:rsidR="24F27AAB" w:rsidRDefault="0CB3B2AA" w:rsidP="002726F7">
      <w:r w:rsidRPr="5AB88204">
        <w:rPr>
          <w:lang w:val="en-GB"/>
        </w:rPr>
        <w:t>AND</w:t>
      </w:r>
    </w:p>
    <w:p w14:paraId="4BCE883C" w14:textId="638783F7" w:rsidR="24F27AAB" w:rsidRPr="00304C8B" w:rsidRDefault="0CB3B2AA" w:rsidP="002726F7">
      <w:r w:rsidRPr="5AB88204">
        <w:rPr>
          <w:lang w:val="en-GB"/>
        </w:rPr>
        <w:t>employ* OR job* OR hire* OR recruit* OR placement* OR retain* OR retention OR tenure* OR intergrat* OR "sustained employment" OR turnover OR progression OR promot* OR "career development" OR "open labo#r market" OR "competitive employment" OR "mainstream employment" OR attract* OR vacanc* OR "job ad*" OR outreach OR sourcing OR interview* OR selection OR assess* OR hire* OR disclosure* OR onboarding OR induction* OR orientation* OR probation* OR "reasonable adjustment*" OR accommodation* OR assistive OR modification* OR redesign* OR "job craft*" OR flexib* OR “jobcarv*” OR perform* OR appraisal OR progress* OR promot* OR "career development" OR “labo#r market participa*” OR  MH "Employment, Supported" OR MH "Personnel Turnover" OR MH "Personnel Selection" OR MH "Employment"</w:t>
      </w:r>
      <w:r w:rsidR="792DCC16">
        <w:br/>
      </w:r>
      <w:r w:rsidR="75704A0C" w:rsidRPr="00304C8B">
        <w:rPr>
          <w:b/>
          <w:bCs/>
        </w:rPr>
        <w:t>DATABASE: EMBASE</w:t>
      </w:r>
    </w:p>
    <w:tbl>
      <w:tblPr>
        <w:tblStyle w:val="TableGrid"/>
        <w:tblW w:w="0" w:type="auto"/>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Look w:val="06A0" w:firstRow="1" w:lastRow="0" w:firstColumn="1" w:lastColumn="0" w:noHBand="1" w:noVBand="1"/>
      </w:tblPr>
      <w:tblGrid>
        <w:gridCol w:w="825"/>
        <w:gridCol w:w="7423"/>
        <w:gridCol w:w="1380"/>
      </w:tblGrid>
      <w:tr w:rsidR="5AB88204" w14:paraId="79922E11" w14:textId="77777777" w:rsidTr="00FD125F">
        <w:trPr>
          <w:trHeight w:val="300"/>
        </w:trPr>
        <w:tc>
          <w:tcPr>
            <w:tcW w:w="825" w:type="dxa"/>
          </w:tcPr>
          <w:p w14:paraId="3F7E795E" w14:textId="15B689B0" w:rsidR="2AE363AD" w:rsidRDefault="2AE363AD" w:rsidP="002726F7">
            <w:r w:rsidRPr="5AB88204">
              <w:t>1</w:t>
            </w:r>
          </w:p>
        </w:tc>
        <w:tc>
          <w:tcPr>
            <w:tcW w:w="7425" w:type="dxa"/>
          </w:tcPr>
          <w:p w14:paraId="056656C2" w14:textId="6368252F" w:rsidR="2AE363AD" w:rsidRDefault="2AE363AD" w:rsidP="002726F7">
            <w:pPr>
              <w:rPr>
                <w:lang w:val="en-AU"/>
              </w:rPr>
            </w:pPr>
            <w:r w:rsidRPr="5AB88204">
              <w:rPr>
                <w:lang w:val="en-AU"/>
              </w:rPr>
              <w:t>("employer* engagement" or "business engagement" or "industry engagement" or "employer partnership*" or "employer collaborat*" or "employer liais*" or "employer broker*" or "business facing" or "employer facing" or "labo#r market intermediar*" or "Supported Employment method*OR Employer focused intervention*" or "employer commitment*" or "partnership with employer*" or "engaged employer*" or "demand side factor*" or "demand side approach*").af.</w:t>
            </w:r>
          </w:p>
        </w:tc>
        <w:tc>
          <w:tcPr>
            <w:tcW w:w="1380" w:type="dxa"/>
          </w:tcPr>
          <w:p w14:paraId="61D78820" w14:textId="1C4A18AB" w:rsidR="2AE363AD" w:rsidRDefault="2AE363AD" w:rsidP="002726F7">
            <w:r w:rsidRPr="5AB88204">
              <w:t>352</w:t>
            </w:r>
          </w:p>
        </w:tc>
      </w:tr>
      <w:tr w:rsidR="5AB88204" w14:paraId="4B39A05C" w14:textId="77777777" w:rsidTr="00FD125F">
        <w:trPr>
          <w:trHeight w:val="300"/>
        </w:trPr>
        <w:tc>
          <w:tcPr>
            <w:tcW w:w="825" w:type="dxa"/>
          </w:tcPr>
          <w:p w14:paraId="5E849A2E" w14:textId="512C551A" w:rsidR="2AE363AD" w:rsidRDefault="2AE363AD" w:rsidP="002726F7">
            <w:r w:rsidRPr="5AB88204">
              <w:t>2</w:t>
            </w:r>
          </w:p>
        </w:tc>
        <w:tc>
          <w:tcPr>
            <w:tcW w:w="7425" w:type="dxa"/>
          </w:tcPr>
          <w:p w14:paraId="682DB5A7" w14:textId="4043C068" w:rsidR="2AE363AD" w:rsidRDefault="2AE363AD" w:rsidP="002726F7">
            <w:pPr>
              <w:rPr>
                <w:lang w:val="en-AU"/>
              </w:rPr>
            </w:pPr>
            <w:r w:rsidRPr="5AB88204">
              <w:rPr>
                <w:lang w:val="en-AU"/>
              </w:rPr>
              <w:t>(disab* or "people with disabilit*" or "person* with disabilit*" or "PWD" or impairment* or "jobseeker* with disabilit*" or "vulnerable worker*").af.</w:t>
            </w:r>
          </w:p>
        </w:tc>
        <w:tc>
          <w:tcPr>
            <w:tcW w:w="1380" w:type="dxa"/>
          </w:tcPr>
          <w:p w14:paraId="585ADA61" w14:textId="6C903A63" w:rsidR="2AE363AD" w:rsidRDefault="2AE363AD" w:rsidP="002726F7">
            <w:pPr>
              <w:rPr>
                <w:lang w:val="en-GB"/>
              </w:rPr>
            </w:pPr>
            <w:r w:rsidRPr="5AB88204">
              <w:rPr>
                <w:lang w:val="en-GB"/>
              </w:rPr>
              <w:t>157494</w:t>
            </w:r>
          </w:p>
        </w:tc>
      </w:tr>
      <w:tr w:rsidR="5AB88204" w14:paraId="347BC2C5" w14:textId="77777777" w:rsidTr="00FD125F">
        <w:trPr>
          <w:trHeight w:val="300"/>
        </w:trPr>
        <w:tc>
          <w:tcPr>
            <w:tcW w:w="825" w:type="dxa"/>
          </w:tcPr>
          <w:p w14:paraId="0310E0B6" w14:textId="0BCFC17A" w:rsidR="2AE363AD" w:rsidRDefault="2AE363AD" w:rsidP="002726F7">
            <w:r w:rsidRPr="5AB88204">
              <w:t>3</w:t>
            </w:r>
          </w:p>
        </w:tc>
        <w:tc>
          <w:tcPr>
            <w:tcW w:w="7425" w:type="dxa"/>
          </w:tcPr>
          <w:p w14:paraId="05C0DA7A" w14:textId="1BC012B0" w:rsidR="2AE363AD" w:rsidRDefault="2AE363AD" w:rsidP="002726F7">
            <w:pPr>
              <w:rPr>
                <w:lang w:val="en-GB"/>
              </w:rPr>
            </w:pPr>
            <w:r w:rsidRPr="5AB88204">
              <w:rPr>
                <w:lang w:val="en-GB"/>
              </w:rPr>
              <w:t>exp disabled person/</w:t>
            </w:r>
            <w:r>
              <w:tab/>
            </w:r>
          </w:p>
        </w:tc>
        <w:tc>
          <w:tcPr>
            <w:tcW w:w="1380" w:type="dxa"/>
          </w:tcPr>
          <w:p w14:paraId="449F0084" w14:textId="53D3CA34" w:rsidR="2AE363AD" w:rsidRDefault="2AE363AD" w:rsidP="002726F7">
            <w:r w:rsidRPr="5AB88204">
              <w:t>78804</w:t>
            </w:r>
          </w:p>
        </w:tc>
      </w:tr>
      <w:tr w:rsidR="5AB88204" w14:paraId="0D1812C9" w14:textId="77777777" w:rsidTr="00FD125F">
        <w:trPr>
          <w:trHeight w:val="300"/>
        </w:trPr>
        <w:tc>
          <w:tcPr>
            <w:tcW w:w="825" w:type="dxa"/>
          </w:tcPr>
          <w:p w14:paraId="60577EAB" w14:textId="2C675A0B" w:rsidR="2AE363AD" w:rsidRDefault="2AE363AD" w:rsidP="002726F7">
            <w:r w:rsidRPr="5AB88204">
              <w:t>4</w:t>
            </w:r>
          </w:p>
        </w:tc>
        <w:tc>
          <w:tcPr>
            <w:tcW w:w="7425" w:type="dxa"/>
          </w:tcPr>
          <w:p w14:paraId="7E7DE3B9" w14:textId="525B16C2" w:rsidR="2AE363AD" w:rsidRDefault="2AE363AD" w:rsidP="002726F7">
            <w:pPr>
              <w:rPr>
                <w:lang w:val="en-GB"/>
              </w:rPr>
            </w:pPr>
            <w:r w:rsidRPr="5AB88204">
              <w:rPr>
                <w:lang w:val="en-GB"/>
              </w:rPr>
              <w:t>2 or 3</w:t>
            </w:r>
          </w:p>
        </w:tc>
        <w:tc>
          <w:tcPr>
            <w:tcW w:w="1380" w:type="dxa"/>
          </w:tcPr>
          <w:p w14:paraId="4219BDB8" w14:textId="56705B74" w:rsidR="2AE363AD" w:rsidRDefault="2AE363AD" w:rsidP="002726F7">
            <w:r w:rsidRPr="5AB88204">
              <w:t>1586912</w:t>
            </w:r>
          </w:p>
        </w:tc>
      </w:tr>
      <w:tr w:rsidR="5AB88204" w14:paraId="6AC559E4" w14:textId="77777777" w:rsidTr="00FD125F">
        <w:trPr>
          <w:trHeight w:val="300"/>
        </w:trPr>
        <w:tc>
          <w:tcPr>
            <w:tcW w:w="825" w:type="dxa"/>
          </w:tcPr>
          <w:p w14:paraId="6A24C65E" w14:textId="3CA5987F" w:rsidR="2AE363AD" w:rsidRDefault="2AE363AD" w:rsidP="002726F7">
            <w:r w:rsidRPr="5AB88204">
              <w:t>5</w:t>
            </w:r>
          </w:p>
        </w:tc>
        <w:tc>
          <w:tcPr>
            <w:tcW w:w="7425" w:type="dxa"/>
          </w:tcPr>
          <w:p w14:paraId="58150EB6" w14:textId="24AF40AD" w:rsidR="2AE363AD" w:rsidRDefault="2AE363AD" w:rsidP="002726F7">
            <w:pPr>
              <w:rPr>
                <w:lang w:val="en-AU"/>
              </w:rPr>
            </w:pPr>
            <w:r w:rsidRPr="5AB88204">
              <w:rPr>
                <w:lang w:val="en-AU"/>
              </w:rPr>
              <w:t xml:space="preserve">(employ* or job* or hire* or recruit* or placement* or retain* or retention or tenure* or intergrat* or "sustained employment" or turnover or progression or promot* or "career development" or "open labo#r market" or "competitive employment" or "mainstream employment" or attract* or vacanc* or "job ad*" or outreach or sourcing or </w:t>
            </w:r>
            <w:r w:rsidRPr="5AB88204">
              <w:rPr>
                <w:lang w:val="en-AU"/>
              </w:rPr>
              <w:lastRenderedPageBreak/>
              <w:t>interview* or selection or assess* or hire* or disclosure* or onboarding or induction* or orientation* or probation* or "reasonable adjustment*" or accommodation* or assistive or modification* or redesign* or "job craft*" or flexib* or "jobcarv*" or perform* or appraisal or progress* or promot* or "career development" or "labo#r market participa*").af.</w:t>
            </w:r>
          </w:p>
        </w:tc>
        <w:tc>
          <w:tcPr>
            <w:tcW w:w="1380" w:type="dxa"/>
          </w:tcPr>
          <w:p w14:paraId="1E77AA9F" w14:textId="0F04CA4E" w:rsidR="2AE363AD" w:rsidRDefault="2AE363AD" w:rsidP="002726F7">
            <w:pPr>
              <w:rPr>
                <w:lang w:val="en-GB"/>
              </w:rPr>
            </w:pPr>
            <w:r w:rsidRPr="5AB88204">
              <w:rPr>
                <w:lang w:val="en-GB"/>
              </w:rPr>
              <w:lastRenderedPageBreak/>
              <w:t>21214537</w:t>
            </w:r>
          </w:p>
        </w:tc>
      </w:tr>
      <w:tr w:rsidR="5AB88204" w14:paraId="77B35D6C" w14:textId="77777777" w:rsidTr="00FD125F">
        <w:trPr>
          <w:trHeight w:val="300"/>
        </w:trPr>
        <w:tc>
          <w:tcPr>
            <w:tcW w:w="825" w:type="dxa"/>
          </w:tcPr>
          <w:p w14:paraId="1EC667B1" w14:textId="4A164F54" w:rsidR="2AE363AD" w:rsidRDefault="2AE363AD" w:rsidP="002726F7">
            <w:r w:rsidRPr="5AB88204">
              <w:t>6</w:t>
            </w:r>
          </w:p>
        </w:tc>
        <w:tc>
          <w:tcPr>
            <w:tcW w:w="7425" w:type="dxa"/>
          </w:tcPr>
          <w:p w14:paraId="5CFD6EBB" w14:textId="63F3F57C" w:rsidR="2AE363AD" w:rsidRDefault="2AE363AD" w:rsidP="002726F7">
            <w:pPr>
              <w:rPr>
                <w:lang w:val="en-GB"/>
              </w:rPr>
            </w:pPr>
            <w:r w:rsidRPr="5AB88204">
              <w:rPr>
                <w:lang w:val="en-GB"/>
              </w:rPr>
              <w:t>supported employment/ or employment/</w:t>
            </w:r>
          </w:p>
        </w:tc>
        <w:tc>
          <w:tcPr>
            <w:tcW w:w="1380" w:type="dxa"/>
          </w:tcPr>
          <w:p w14:paraId="0BC217D5" w14:textId="2098D5D1" w:rsidR="2AE363AD" w:rsidRDefault="2AE363AD" w:rsidP="002726F7">
            <w:pPr>
              <w:rPr>
                <w:lang w:val="en-GB"/>
              </w:rPr>
            </w:pPr>
            <w:r w:rsidRPr="5AB88204">
              <w:rPr>
                <w:lang w:val="en-GB"/>
              </w:rPr>
              <w:t>95768</w:t>
            </w:r>
          </w:p>
        </w:tc>
      </w:tr>
      <w:tr w:rsidR="5AB88204" w14:paraId="2029181B" w14:textId="77777777" w:rsidTr="00FD125F">
        <w:trPr>
          <w:trHeight w:val="300"/>
        </w:trPr>
        <w:tc>
          <w:tcPr>
            <w:tcW w:w="825" w:type="dxa"/>
          </w:tcPr>
          <w:p w14:paraId="7057437D" w14:textId="03EED5BA" w:rsidR="2AE363AD" w:rsidRDefault="2AE363AD" w:rsidP="002726F7">
            <w:r w:rsidRPr="5AB88204">
              <w:t>7</w:t>
            </w:r>
          </w:p>
        </w:tc>
        <w:tc>
          <w:tcPr>
            <w:tcW w:w="7425" w:type="dxa"/>
          </w:tcPr>
          <w:p w14:paraId="4F1571E9" w14:textId="469712B9" w:rsidR="2AE363AD" w:rsidRDefault="2AE363AD" w:rsidP="002726F7">
            <w:pPr>
              <w:rPr>
                <w:lang w:val="en-GB"/>
              </w:rPr>
            </w:pPr>
            <w:r w:rsidRPr="5AB88204">
              <w:rPr>
                <w:lang w:val="en-GB"/>
              </w:rPr>
              <w:t>job accommodation/</w:t>
            </w:r>
          </w:p>
        </w:tc>
        <w:tc>
          <w:tcPr>
            <w:tcW w:w="1380" w:type="dxa"/>
          </w:tcPr>
          <w:p w14:paraId="61995DF5" w14:textId="096E43EB" w:rsidR="2AE363AD" w:rsidRDefault="2AE363AD" w:rsidP="002726F7">
            <w:pPr>
              <w:rPr>
                <w:lang w:val="en-GB"/>
              </w:rPr>
            </w:pPr>
            <w:r w:rsidRPr="5AB88204">
              <w:rPr>
                <w:lang w:val="en-GB"/>
              </w:rPr>
              <w:t>412</w:t>
            </w:r>
          </w:p>
        </w:tc>
      </w:tr>
      <w:tr w:rsidR="5AB88204" w14:paraId="2E86BCF4" w14:textId="77777777" w:rsidTr="00FD125F">
        <w:trPr>
          <w:trHeight w:val="300"/>
        </w:trPr>
        <w:tc>
          <w:tcPr>
            <w:tcW w:w="825" w:type="dxa"/>
          </w:tcPr>
          <w:p w14:paraId="4B193A91" w14:textId="74A2A65E" w:rsidR="2AE363AD" w:rsidRDefault="2AE363AD" w:rsidP="002726F7">
            <w:r w:rsidRPr="5AB88204">
              <w:t>8</w:t>
            </w:r>
          </w:p>
        </w:tc>
        <w:tc>
          <w:tcPr>
            <w:tcW w:w="7425" w:type="dxa"/>
          </w:tcPr>
          <w:p w14:paraId="345DA35E" w14:textId="47CEA46A" w:rsidR="2AE363AD" w:rsidRDefault="2AE363AD" w:rsidP="002726F7">
            <w:pPr>
              <w:rPr>
                <w:lang w:val="en-GB"/>
              </w:rPr>
            </w:pPr>
            <w:r w:rsidRPr="5AB88204">
              <w:rPr>
                <w:lang w:val="en-GB"/>
              </w:rPr>
              <w:t>exp job adaptation/</w:t>
            </w:r>
          </w:p>
        </w:tc>
        <w:tc>
          <w:tcPr>
            <w:tcW w:w="1380" w:type="dxa"/>
          </w:tcPr>
          <w:p w14:paraId="60213352" w14:textId="4B6C1052" w:rsidR="2AE363AD" w:rsidRDefault="2AE363AD" w:rsidP="002726F7">
            <w:pPr>
              <w:rPr>
                <w:lang w:val="en-AU"/>
              </w:rPr>
            </w:pPr>
            <w:r w:rsidRPr="5AB88204">
              <w:rPr>
                <w:lang w:val="en-GB"/>
              </w:rPr>
              <w:t>1060</w:t>
            </w:r>
          </w:p>
        </w:tc>
      </w:tr>
      <w:tr w:rsidR="5AB88204" w14:paraId="6A48EA3A" w14:textId="77777777" w:rsidTr="00FD125F">
        <w:trPr>
          <w:trHeight w:val="300"/>
        </w:trPr>
        <w:tc>
          <w:tcPr>
            <w:tcW w:w="825" w:type="dxa"/>
          </w:tcPr>
          <w:p w14:paraId="1EA08054" w14:textId="3841D780" w:rsidR="2AE363AD" w:rsidRDefault="2AE363AD" w:rsidP="002726F7">
            <w:r w:rsidRPr="5AB88204">
              <w:t>9</w:t>
            </w:r>
          </w:p>
        </w:tc>
        <w:tc>
          <w:tcPr>
            <w:tcW w:w="7425" w:type="dxa"/>
          </w:tcPr>
          <w:p w14:paraId="0CBF6EF4" w14:textId="37C4BC72" w:rsidR="2AE363AD" w:rsidRDefault="2AE363AD" w:rsidP="002726F7">
            <w:pPr>
              <w:rPr>
                <w:lang w:val="en-GB"/>
              </w:rPr>
            </w:pPr>
            <w:r w:rsidRPr="5AB88204">
              <w:rPr>
                <w:lang w:val="en-GB"/>
              </w:rPr>
              <w:t>exp work participation/</w:t>
            </w:r>
          </w:p>
        </w:tc>
        <w:tc>
          <w:tcPr>
            <w:tcW w:w="1380" w:type="dxa"/>
          </w:tcPr>
          <w:p w14:paraId="04335368" w14:textId="489CDC8C" w:rsidR="2AE363AD" w:rsidRDefault="2AE363AD" w:rsidP="002726F7">
            <w:pPr>
              <w:rPr>
                <w:lang w:val="en-GB"/>
              </w:rPr>
            </w:pPr>
            <w:r w:rsidRPr="5AB88204">
              <w:rPr>
                <w:lang w:val="en-GB"/>
              </w:rPr>
              <w:t>431</w:t>
            </w:r>
          </w:p>
        </w:tc>
      </w:tr>
      <w:tr w:rsidR="5AB88204" w14:paraId="2BD6C37F" w14:textId="77777777" w:rsidTr="00FD125F">
        <w:trPr>
          <w:trHeight w:val="300"/>
        </w:trPr>
        <w:tc>
          <w:tcPr>
            <w:tcW w:w="825" w:type="dxa"/>
          </w:tcPr>
          <w:p w14:paraId="40ABFD4A" w14:textId="5ADD42F5" w:rsidR="2AE363AD" w:rsidRDefault="2AE363AD" w:rsidP="002726F7">
            <w:r w:rsidRPr="5AB88204">
              <w:t>10</w:t>
            </w:r>
          </w:p>
        </w:tc>
        <w:tc>
          <w:tcPr>
            <w:tcW w:w="7425" w:type="dxa"/>
          </w:tcPr>
          <w:p w14:paraId="49AFF3CC" w14:textId="19AA8354" w:rsidR="2AE363AD" w:rsidRDefault="2AE363AD" w:rsidP="002726F7">
            <w:pPr>
              <w:rPr>
                <w:lang w:val="en-GB"/>
              </w:rPr>
            </w:pPr>
            <w:r w:rsidRPr="5AB88204">
              <w:rPr>
                <w:lang w:val="en-GB"/>
              </w:rPr>
              <w:t>5 or 6 or 7 or 8 or 9</w:t>
            </w:r>
          </w:p>
        </w:tc>
        <w:tc>
          <w:tcPr>
            <w:tcW w:w="1380" w:type="dxa"/>
          </w:tcPr>
          <w:p w14:paraId="6E05150B" w14:textId="7FDDC13D" w:rsidR="2AE363AD" w:rsidRDefault="2AE363AD" w:rsidP="002726F7">
            <w:pPr>
              <w:rPr>
                <w:lang w:val="en-AU"/>
              </w:rPr>
            </w:pPr>
            <w:r w:rsidRPr="5AB88204">
              <w:rPr>
                <w:lang w:val="en-GB"/>
              </w:rPr>
              <w:t>21214611</w:t>
            </w:r>
          </w:p>
        </w:tc>
      </w:tr>
      <w:tr w:rsidR="5AB88204" w14:paraId="210DA4E7" w14:textId="77777777" w:rsidTr="00FD125F">
        <w:trPr>
          <w:trHeight w:val="300"/>
        </w:trPr>
        <w:tc>
          <w:tcPr>
            <w:tcW w:w="825" w:type="dxa"/>
          </w:tcPr>
          <w:p w14:paraId="44FF6572" w14:textId="0FE381FF" w:rsidR="2AE363AD" w:rsidRDefault="2AE363AD" w:rsidP="002726F7">
            <w:r w:rsidRPr="5AB88204">
              <w:t>11</w:t>
            </w:r>
          </w:p>
        </w:tc>
        <w:tc>
          <w:tcPr>
            <w:tcW w:w="7425" w:type="dxa"/>
          </w:tcPr>
          <w:p w14:paraId="3C7B7881" w14:textId="78857721" w:rsidR="2AE363AD" w:rsidRDefault="2AE363AD" w:rsidP="002726F7">
            <w:pPr>
              <w:rPr>
                <w:lang w:val="en-GB"/>
              </w:rPr>
            </w:pPr>
            <w:r w:rsidRPr="5AB88204">
              <w:rPr>
                <w:lang w:val="en-GB"/>
              </w:rPr>
              <w:t>1 and 4 and 10</w:t>
            </w:r>
          </w:p>
        </w:tc>
        <w:tc>
          <w:tcPr>
            <w:tcW w:w="1380" w:type="dxa"/>
          </w:tcPr>
          <w:p w14:paraId="00615DC7" w14:textId="29D7095E" w:rsidR="2AE363AD" w:rsidRDefault="2AE363AD" w:rsidP="002726F7">
            <w:pPr>
              <w:rPr>
                <w:lang w:val="en-GB"/>
              </w:rPr>
            </w:pPr>
            <w:r w:rsidRPr="5AB88204">
              <w:rPr>
                <w:lang w:val="en-GB"/>
              </w:rPr>
              <w:t>36</w:t>
            </w:r>
          </w:p>
        </w:tc>
      </w:tr>
    </w:tbl>
    <w:p w14:paraId="6B7611EB" w14:textId="06468D34" w:rsidR="2AE363AD" w:rsidRPr="00304C8B" w:rsidRDefault="2AE363AD" w:rsidP="002726F7">
      <w:pPr>
        <w:rPr>
          <w:b/>
          <w:bCs/>
        </w:rPr>
      </w:pPr>
      <w:r w:rsidRPr="00304C8B">
        <w:rPr>
          <w:b/>
          <w:bCs/>
          <w:color w:val="auto"/>
        </w:rPr>
        <w:t xml:space="preserve">DATABASE: </w:t>
      </w:r>
      <w:r w:rsidRPr="00304C8B">
        <w:rPr>
          <w:b/>
          <w:bCs/>
        </w:rPr>
        <w:t>CINAHL Ultimate</w:t>
      </w:r>
    </w:p>
    <w:p w14:paraId="7D6A3DC4" w14:textId="0E704D1E" w:rsidR="2AE363AD" w:rsidRDefault="2AE363AD" w:rsidP="002726F7">
      <w:r w:rsidRPr="5AB88204">
        <w:rPr>
          <w:lang w:val="en-GB"/>
        </w:rPr>
        <w:t>ALL FIELDS</w:t>
      </w:r>
    </w:p>
    <w:p w14:paraId="23980FE9" w14:textId="022E5AF0" w:rsidR="2AE363AD" w:rsidRDefault="2AE363AD" w:rsidP="002726F7">
      <w:r w:rsidRPr="5AB88204">
        <w:rPr>
          <w:lang w:val="en-GB"/>
        </w:rPr>
        <w:t xml:space="preserve">"employer* engagement" OR "business engagement" OR "industry engagement" OR "employer partnership*" OR "employer collaborat*" OR "employer liais*" OR "employer broker*" OR "business facing" OR "employer facing” OR  "labo#r market intermediar*" OR “supported Employment method*”OR “employer focused intervention*” OR “employer commitment*” OR “partnership with employer*” OR “engaged employer*” OR “demand side factor*” OR “demand side approach*” </w:t>
      </w:r>
    </w:p>
    <w:p w14:paraId="255FB5CE" w14:textId="34C06EC4" w:rsidR="2AE363AD" w:rsidRDefault="2AE363AD" w:rsidP="002726F7">
      <w:r w:rsidRPr="5AB88204">
        <w:rPr>
          <w:lang w:val="en-GB"/>
        </w:rPr>
        <w:t>AND</w:t>
      </w:r>
    </w:p>
    <w:p w14:paraId="47BA00AF" w14:textId="343D6B7F" w:rsidR="2AE363AD" w:rsidRDefault="2AE363AD" w:rsidP="002726F7">
      <w:r w:rsidRPr="5AB88204">
        <w:rPr>
          <w:lang w:val="en-GB"/>
        </w:rPr>
        <w:t xml:space="preserve">disab* OR "people with disabilit*" OR "person* with disabilit*" OR “PWD” OR impairment* OR "jobseeker* with disabilit*" OR “vulnerable worker*” OR </w:t>
      </w:r>
      <w:r w:rsidRPr="5AB88204">
        <w:t>MH "Persons with Disabilities+" OR MH "Employees with Disabilities"</w:t>
      </w:r>
    </w:p>
    <w:p w14:paraId="6C8E1C6A" w14:textId="38D2EA39" w:rsidR="2AE363AD" w:rsidRDefault="2AE363AD" w:rsidP="002726F7">
      <w:r w:rsidRPr="5AB88204">
        <w:rPr>
          <w:lang w:val="en-GB"/>
        </w:rPr>
        <w:t>AND</w:t>
      </w:r>
    </w:p>
    <w:p w14:paraId="16A22C16" w14:textId="3EFBD7F1" w:rsidR="2AE363AD" w:rsidRDefault="2AE363AD" w:rsidP="002726F7">
      <w:r w:rsidRPr="5AB88204">
        <w:rPr>
          <w:lang w:val="en-GB"/>
        </w:rPr>
        <w:t xml:space="preserve">employ* OR job* OR hire* OR recruit* OR placement* OR retain* OR retention OR tenure* OR intergrat* OR "sustained employment" OR turnover OR progression OR promot* OR "career development" OR "open labo#r market" OR "competitive employment" OR "mainstream employment" OR attract* OR vacanc* OR "job ad*" OR outreach OR sourcing OR interview* OR selection OR </w:t>
      </w:r>
      <w:r w:rsidRPr="5AB88204">
        <w:rPr>
          <w:lang w:val="en-GB"/>
        </w:rPr>
        <w:lastRenderedPageBreak/>
        <w:t>assess* OR hire* OR disclosure* OR onboarding OR induction* OR orientation* OR probation* OR "reasonable adjustment*" OR accommodation* OR assistive OR modification* OR redesign* OR "job craft*" OR flexib* OR “jobcarv*” OR perform* OR appraisal OR progress* OR promot* OR "career development" OR “labo#r market participa*” OR  MH "Employment, Supported" OR MH "Personnel Turnover" OR MH "Personnel Recruitment" OR MH "Employment" OR MH "Job Accommodation" OR MH "Employment of Persons with Disabilities"</w:t>
      </w:r>
    </w:p>
    <w:p w14:paraId="4B1BEABE" w14:textId="68E0763E" w:rsidR="2AE363AD" w:rsidRPr="00304C8B" w:rsidRDefault="2AE363AD" w:rsidP="002726F7">
      <w:pPr>
        <w:rPr>
          <w:b/>
          <w:bCs/>
        </w:rPr>
      </w:pPr>
      <w:r w:rsidRPr="00304C8B">
        <w:rPr>
          <w:b/>
          <w:bCs/>
        </w:rPr>
        <w:t>DATABASE: Business Source</w:t>
      </w:r>
    </w:p>
    <w:p w14:paraId="00B50F39" w14:textId="776B0366" w:rsidR="2AE363AD" w:rsidRDefault="2AE363AD" w:rsidP="002726F7">
      <w:r w:rsidRPr="5AB88204">
        <w:rPr>
          <w:lang w:val="en-GB"/>
        </w:rPr>
        <w:t>ALL FIELDS and subject headings</w:t>
      </w:r>
    </w:p>
    <w:p w14:paraId="5F3B0A8C" w14:textId="1A80D5DA" w:rsidR="2AE363AD" w:rsidRDefault="2AE363AD" w:rsidP="002726F7">
      <w:r w:rsidRPr="5AB88204">
        <w:rPr>
          <w:lang w:val="en-GB"/>
        </w:rPr>
        <w:t xml:space="preserve">"employer* engagement" OR "business engagement" OR "industry engagement" OR "employer partnership*" OR "employer collaborat*" OR "employer liais*" OR "employer broker*" OR "business facing" OR "employer facing” OR  "labo#r market intermediar*" OR “supported Employment method*”OR “employer focused intervention*” OR “employer commitment*” OR “partnership with employer*” OR “engaged employer*” OR “demand side factor*” OR “demand side approach*” </w:t>
      </w:r>
    </w:p>
    <w:p w14:paraId="109185DA" w14:textId="6338F674" w:rsidR="2AE363AD" w:rsidRDefault="2AE363AD" w:rsidP="002726F7">
      <w:r w:rsidRPr="5AB88204">
        <w:rPr>
          <w:lang w:val="en-GB"/>
        </w:rPr>
        <w:t>AND</w:t>
      </w:r>
    </w:p>
    <w:p w14:paraId="36A3E4E5" w14:textId="41CC0C73" w:rsidR="2AE363AD" w:rsidRDefault="2AE363AD" w:rsidP="002726F7">
      <w:r w:rsidRPr="5AB88204">
        <w:rPr>
          <w:lang w:val="en-GB"/>
        </w:rPr>
        <w:t xml:space="preserve">disab* OR "people with disabilit*" OR "person* with disabilit*" OR “PWD” OR impairment* OR "jobseeker* with disabilit*" OR “vulnerable worker*” </w:t>
      </w:r>
    </w:p>
    <w:p w14:paraId="4B9DEEB8" w14:textId="4AA30CB8" w:rsidR="2AE363AD" w:rsidRDefault="2AE363AD" w:rsidP="002726F7">
      <w:r w:rsidRPr="5AB88204">
        <w:rPr>
          <w:lang w:val="en-GB"/>
        </w:rPr>
        <w:t>AND</w:t>
      </w:r>
    </w:p>
    <w:p w14:paraId="77021812" w14:textId="23849BF3" w:rsidR="2AE363AD" w:rsidRDefault="2AE363AD" w:rsidP="002726F7">
      <w:r w:rsidRPr="5AB88204">
        <w:rPr>
          <w:lang w:val="en-GB"/>
        </w:rPr>
        <w:t>employ* OR job* OR hire* OR recruit* OR placement* OR retain* OR retention OR tenure* OR intergrat* OR "sustained employment" OR turnover OR progression OR promot* OR "career development" OR "open labo#r market" OR "competitive employment" OR "mainstream employment" OR attract* OR vacanc* OR "job ad*" OR outreach OR sourcing OR interview* OR selection OR assess* OR hire* OR disclosure* OR onboarding OR induction* OR orientation* OR probation* OR "reasonable adjustment*" OR accommodation* OR assistive OR modification* OR redesign* OR "job craft*" OR flexib* OR “jobcarv*” OR perform* OR appraisal OR progress* OR promot* OR "career development" OR “labo#r market participa*” OR  MH "Employment, Supported" OR MH "Personnel Turnover" OR MH "Personnel Selection" OR MH "Employment" OR DE "EMPLOYMENT of people with disabilities" OR DE "SUPPORTED employment" OR DE "WORK environment &amp; accessible design"</w:t>
      </w:r>
    </w:p>
    <w:p w14:paraId="01C7B6D1" w14:textId="77777777" w:rsidR="00997105" w:rsidRPr="00CC6638" w:rsidRDefault="00997105" w:rsidP="002726F7">
      <w:r w:rsidRPr="00CC6638">
        <w:br w:type="page"/>
      </w:r>
    </w:p>
    <w:p w14:paraId="08171D17" w14:textId="34D5C426" w:rsidR="0001058E" w:rsidRPr="00CC6638" w:rsidRDefault="00F42B11" w:rsidP="0018796A">
      <w:pPr>
        <w:pStyle w:val="Heading1"/>
      </w:pPr>
      <w:bookmarkStart w:id="31" w:name="_Toc232075646"/>
      <w:r w:rsidRPr="00352240">
        <w:lastRenderedPageBreak/>
        <w:t xml:space="preserve">Appendix </w:t>
      </w:r>
      <w:r w:rsidR="00AD652F" w:rsidRPr="00352240">
        <w:t>C</w:t>
      </w:r>
      <w:r w:rsidR="0018796A">
        <w:t>.</w:t>
      </w:r>
      <w:r w:rsidRPr="00352240">
        <w:t xml:space="preserve"> PRISMA 2020 </w:t>
      </w:r>
      <w:r w:rsidR="0018796A" w:rsidRPr="00352240">
        <w:t>flow diagram</w:t>
      </w:r>
      <w:bookmarkEnd w:id="31"/>
      <w:r w:rsidR="0018796A" w:rsidRPr="4E39CA8A">
        <w:t xml:space="preserve"> </w:t>
      </w:r>
    </w:p>
    <w:p w14:paraId="6AF9F288" w14:textId="3EC1260D" w:rsidR="00FD125F" w:rsidRDefault="001D4443" w:rsidP="00FD125F">
      <w:pPr>
        <w:sectPr w:rsidR="00FD125F" w:rsidSect="00BF416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pPr>
      <w:r>
        <w:rPr>
          <w:noProof/>
        </w:rPr>
        <w:drawing>
          <wp:inline distT="0" distB="0" distL="0" distR="0" wp14:anchorId="4325AC6A" wp14:editId="17544802">
            <wp:extent cx="5762551" cy="7825563"/>
            <wp:effectExtent l="0" t="0" r="3810" b="0"/>
            <wp:docPr id="5678104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10475" name="Picture 567810475"/>
                    <pic:cNvPicPr/>
                  </pic:nvPicPr>
                  <pic:blipFill rotWithShape="1">
                    <a:blip r:embed="rId17">
                      <a:extLst>
                        <a:ext uri="{28A0092B-C50C-407E-A947-70E740481C1C}">
                          <a14:useLocalDpi xmlns:a14="http://schemas.microsoft.com/office/drawing/2010/main" val="0"/>
                        </a:ext>
                      </a:extLst>
                    </a:blip>
                    <a:srcRect l="3996" t="6878" r="1842" b="2714"/>
                    <a:stretch>
                      <a:fillRect/>
                    </a:stretch>
                  </pic:blipFill>
                  <pic:spPr bwMode="auto">
                    <a:xfrm>
                      <a:off x="0" y="0"/>
                      <a:ext cx="5762834" cy="7825947"/>
                    </a:xfrm>
                    <a:prstGeom prst="rect">
                      <a:avLst/>
                    </a:prstGeom>
                    <a:ln>
                      <a:noFill/>
                    </a:ln>
                    <a:extLst>
                      <a:ext uri="{53640926-AAD7-44D8-BBD7-CCE9431645EC}">
                        <a14:shadowObscured xmlns:a14="http://schemas.microsoft.com/office/drawing/2010/main"/>
                      </a:ext>
                    </a:extLst>
                  </pic:spPr>
                </pic:pic>
              </a:graphicData>
            </a:graphic>
          </wp:inline>
        </w:drawing>
      </w:r>
    </w:p>
    <w:p w14:paraId="5B71E3F9" w14:textId="2E5EEE5D" w:rsidR="687E7D47" w:rsidRPr="00304C8B" w:rsidRDefault="3176E24C" w:rsidP="00304C8B">
      <w:pPr>
        <w:pStyle w:val="Heading1"/>
      </w:pPr>
      <w:bookmarkStart w:id="32" w:name="_Toc232075647"/>
      <w:r w:rsidRPr="00352240">
        <w:lastRenderedPageBreak/>
        <w:t>Appendix D</w:t>
      </w:r>
      <w:r w:rsidR="0018796A">
        <w:t>.</w:t>
      </w:r>
      <w:r w:rsidRPr="00352240">
        <w:t xml:space="preserve"> Types </w:t>
      </w:r>
      <w:r w:rsidR="0018796A" w:rsidRPr="00352240">
        <w:t xml:space="preserve">of evidence sources included in the </w:t>
      </w:r>
      <w:r w:rsidR="0018796A">
        <w:t>evidence synthesis</w:t>
      </w:r>
      <w:bookmarkEnd w:id="32"/>
    </w:p>
    <w:p w14:paraId="79AEBC3D" w14:textId="4CC03EA2" w:rsidR="00457F6A" w:rsidRDefault="3176E24C" w:rsidP="002726F7">
      <w:r w:rsidRPr="687E7D47">
        <w:t>This appendix summarises the types of materials included in the review, based on the Zotero database compiled during the evidence identification process.</w:t>
      </w:r>
    </w:p>
    <w:p w14:paraId="445EC00E" w14:textId="1CB79F81" w:rsidR="687E7D47" w:rsidRPr="00304C8B" w:rsidRDefault="3176E24C" w:rsidP="002726F7">
      <w:pPr>
        <w:rPr>
          <w:rFonts w:eastAsia="Aptos"/>
        </w:rPr>
      </w:pPr>
      <w:r w:rsidRPr="687E7D47">
        <w:t>A total of 215 sources were logged and screened across peer-reviewed literature and grey literature sources.</w:t>
      </w:r>
    </w:p>
    <w:p w14:paraId="3B321D9B" w14:textId="060F22A1" w:rsidR="687E7D47" w:rsidRPr="00304C8B" w:rsidRDefault="3176E24C" w:rsidP="002726F7">
      <w:pPr>
        <w:rPr>
          <w:rFonts w:eastAsia="Aptos"/>
        </w:rPr>
      </w:pPr>
      <w:r w:rsidRPr="687E7D47">
        <w:t>The evidence base for this rapid review comprised a diverse range of materials, including peer-reviewed academic research, policy reports, programme evaluations, practice resources and practitioner contributions. All materials identified through database searches, grey literature searches, sector engagement, and practitioner submissions were logged in Zotero and screened using consistent eligibility criteria. Table D1 summarises the types of sources included in the evidence base.</w:t>
      </w:r>
    </w:p>
    <w:tbl>
      <w:tblPr>
        <w:tblStyle w:val="CIETable"/>
        <w:tblW w:w="5000" w:type="pct"/>
        <w:tblLook w:val="04A0" w:firstRow="1" w:lastRow="0" w:firstColumn="1" w:lastColumn="0" w:noHBand="0" w:noVBand="1"/>
      </w:tblPr>
      <w:tblGrid>
        <w:gridCol w:w="3057"/>
        <w:gridCol w:w="1960"/>
        <w:gridCol w:w="4531"/>
        <w:gridCol w:w="5012"/>
      </w:tblGrid>
      <w:tr w:rsidR="2DC3521E" w:rsidRPr="00455FEF" w14:paraId="5A23D373" w14:textId="77777777" w:rsidTr="00FD125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50" w:type="pct"/>
          </w:tcPr>
          <w:p w14:paraId="58A15130" w14:textId="2C4EAE4C" w:rsidR="2DC3521E" w:rsidRPr="00455FEF" w:rsidRDefault="2DC3521E" w:rsidP="00304C8B">
            <w:pPr>
              <w:pStyle w:val="TableHeading"/>
            </w:pPr>
            <w:r w:rsidRPr="00455FEF">
              <w:t>Source Type</w:t>
            </w:r>
          </w:p>
        </w:tc>
        <w:tc>
          <w:tcPr>
            <w:tcW w:w="673" w:type="pct"/>
          </w:tcPr>
          <w:p w14:paraId="49720C93" w14:textId="6F57E12D" w:rsidR="2DC3521E" w:rsidRPr="00455FEF" w:rsidRDefault="2DC3521E" w:rsidP="00304C8B">
            <w:pPr>
              <w:pStyle w:val="TableHeading"/>
              <w:cnfStyle w:val="100000000000" w:firstRow="1" w:lastRow="0" w:firstColumn="0" w:lastColumn="0" w:oddVBand="0" w:evenVBand="0" w:oddHBand="0" w:evenHBand="0" w:firstRowFirstColumn="0" w:firstRowLastColumn="0" w:lastRowFirstColumn="0" w:lastRowLastColumn="0"/>
            </w:pPr>
            <w:r w:rsidRPr="00455FEF">
              <w:t>Number of Sources</w:t>
            </w:r>
          </w:p>
        </w:tc>
        <w:tc>
          <w:tcPr>
            <w:tcW w:w="1556" w:type="pct"/>
          </w:tcPr>
          <w:p w14:paraId="5A61FAB4" w14:textId="612A3BF2" w:rsidR="2DC3521E" w:rsidRPr="00455FEF" w:rsidRDefault="2DC3521E" w:rsidP="00304C8B">
            <w:pPr>
              <w:pStyle w:val="TableHeading"/>
              <w:cnfStyle w:val="100000000000" w:firstRow="1" w:lastRow="0" w:firstColumn="0" w:lastColumn="0" w:oddVBand="0" w:evenVBand="0" w:oddHBand="0" w:evenHBand="0" w:firstRowFirstColumn="0" w:firstRowLastColumn="0" w:lastRowFirstColumn="0" w:lastRowLastColumn="0"/>
            </w:pPr>
            <w:r w:rsidRPr="00455FEF">
              <w:t>Description</w:t>
            </w:r>
          </w:p>
        </w:tc>
        <w:tc>
          <w:tcPr>
            <w:tcW w:w="1721" w:type="pct"/>
          </w:tcPr>
          <w:p w14:paraId="0271FEB5" w14:textId="2CEDEA0E" w:rsidR="2DC3521E" w:rsidRPr="00455FEF" w:rsidRDefault="2DC3521E" w:rsidP="00304C8B">
            <w:pPr>
              <w:pStyle w:val="TableHeading"/>
              <w:cnfStyle w:val="100000000000" w:firstRow="1" w:lastRow="0" w:firstColumn="0" w:lastColumn="0" w:oddVBand="0" w:evenVBand="0" w:oddHBand="0" w:evenHBand="0" w:firstRowFirstColumn="0" w:firstRowLastColumn="0" w:lastRowFirstColumn="0" w:lastRowLastColumn="0"/>
            </w:pPr>
            <w:r w:rsidRPr="00455FEF">
              <w:t>Contribution to the Review</w:t>
            </w:r>
          </w:p>
        </w:tc>
      </w:tr>
      <w:tr w:rsidR="2DC3521E" w:rsidRPr="00455FEF" w14:paraId="59A561B1" w14:textId="77777777" w:rsidTr="00FD12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600CB006" w14:textId="65EAE271" w:rsidR="2DC3521E" w:rsidRPr="00455FEF" w:rsidRDefault="2DC3521E" w:rsidP="002726F7">
            <w:r w:rsidRPr="00455FEF">
              <w:t>Peer-reviewed journal articles</w:t>
            </w:r>
          </w:p>
        </w:tc>
        <w:tc>
          <w:tcPr>
            <w:tcW w:w="673" w:type="pct"/>
          </w:tcPr>
          <w:p w14:paraId="12978061" w14:textId="58AEB97E"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88</w:t>
            </w:r>
          </w:p>
        </w:tc>
        <w:tc>
          <w:tcPr>
            <w:tcW w:w="1556" w:type="pct"/>
          </w:tcPr>
          <w:p w14:paraId="1548ABBB" w14:textId="1B0E3F6B"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Empirical and conceptual studies published in academic journals examining disability employment, employer engagement, workplace inclusion, vocational rehabilitation and labour market participation.</w:t>
            </w:r>
          </w:p>
        </w:tc>
        <w:tc>
          <w:tcPr>
            <w:tcW w:w="1721" w:type="pct"/>
          </w:tcPr>
          <w:p w14:paraId="4EE1517D" w14:textId="0848CBF5"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Provided the primary empirical and conceptual evidence base informing the identification of employer engagement practices, HR processes and employment outcomes.</w:t>
            </w:r>
          </w:p>
        </w:tc>
      </w:tr>
      <w:tr w:rsidR="2DC3521E" w:rsidRPr="00455FEF" w14:paraId="7117621F" w14:textId="77777777" w:rsidTr="00FD12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5B7EBB86" w14:textId="58A77FE1" w:rsidR="2DC3521E" w:rsidRPr="00455FEF" w:rsidRDefault="2DC3521E" w:rsidP="002726F7">
            <w:r w:rsidRPr="00455FEF">
              <w:t>Policy and research reports</w:t>
            </w:r>
          </w:p>
        </w:tc>
        <w:tc>
          <w:tcPr>
            <w:tcW w:w="673" w:type="pct"/>
          </w:tcPr>
          <w:p w14:paraId="2275D82F" w14:textId="774706B1"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34</w:t>
            </w:r>
          </w:p>
        </w:tc>
        <w:tc>
          <w:tcPr>
            <w:tcW w:w="1556" w:type="pct"/>
          </w:tcPr>
          <w:p w14:paraId="1A7B3DC0" w14:textId="18A99414"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 xml:space="preserve">Reports produced by government agencies, research organisations, think tanks and policy bodies examining disability employment </w:t>
            </w:r>
            <w:r w:rsidRPr="00455FEF">
              <w:lastRenderedPageBreak/>
              <w:t>systems, labour market participation and employer engagement initiatives.</w:t>
            </w:r>
          </w:p>
        </w:tc>
        <w:tc>
          <w:tcPr>
            <w:tcW w:w="1721" w:type="pct"/>
          </w:tcPr>
          <w:p w14:paraId="358285BB" w14:textId="15F6B8A9"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lastRenderedPageBreak/>
              <w:t xml:space="preserve">Provided policy context, programme evaluations and evidence on implementation of employment </w:t>
            </w:r>
            <w:r w:rsidRPr="00455FEF">
              <w:lastRenderedPageBreak/>
              <w:t>initiatives.</w:t>
            </w:r>
          </w:p>
        </w:tc>
      </w:tr>
      <w:tr w:rsidR="2DC3521E" w:rsidRPr="00455FEF" w14:paraId="6903789D" w14:textId="77777777" w:rsidTr="00FD12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61DBE0DB" w14:textId="4035F146" w:rsidR="2DC3521E" w:rsidRPr="00455FEF" w:rsidRDefault="2DC3521E" w:rsidP="002726F7">
            <w:r w:rsidRPr="00455FEF">
              <w:lastRenderedPageBreak/>
              <w:t>Organisational and institutional documents</w:t>
            </w:r>
          </w:p>
        </w:tc>
        <w:tc>
          <w:tcPr>
            <w:tcW w:w="673" w:type="pct"/>
          </w:tcPr>
          <w:p w14:paraId="622A8512" w14:textId="375552E8"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36</w:t>
            </w:r>
          </w:p>
        </w:tc>
        <w:tc>
          <w:tcPr>
            <w:tcW w:w="1556" w:type="pct"/>
          </w:tcPr>
          <w:p w14:paraId="07ED22D4" w14:textId="5EACE5C3"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Materials produced by organisations such as employment service providers, advocacy bodies and industry groups.</w:t>
            </w:r>
          </w:p>
        </w:tc>
        <w:tc>
          <w:tcPr>
            <w:tcW w:w="1721" w:type="pct"/>
          </w:tcPr>
          <w:p w14:paraId="0CD8D46F" w14:textId="0BEC8A80"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Provided practice-based insights into employer engagement strategies, organisational approaches and implementation experiences.</w:t>
            </w:r>
          </w:p>
        </w:tc>
      </w:tr>
      <w:tr w:rsidR="2DC3521E" w:rsidRPr="00455FEF" w14:paraId="2C781E7B" w14:textId="77777777" w:rsidTr="00FD12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549A9A6F" w14:textId="5ABF31AC" w:rsidR="2DC3521E" w:rsidRPr="00455FEF" w:rsidRDefault="2DC3521E" w:rsidP="002726F7">
            <w:r w:rsidRPr="00455FEF">
              <w:t>Book chapters</w:t>
            </w:r>
          </w:p>
        </w:tc>
        <w:tc>
          <w:tcPr>
            <w:tcW w:w="673" w:type="pct"/>
          </w:tcPr>
          <w:p w14:paraId="0E79D7BF" w14:textId="6EC1A7D4"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17</w:t>
            </w:r>
          </w:p>
        </w:tc>
        <w:tc>
          <w:tcPr>
            <w:tcW w:w="1556" w:type="pct"/>
          </w:tcPr>
          <w:p w14:paraId="25270CE8" w14:textId="3A61BF86"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Chapters in edited academic volumes addressing disability employment, labour market inclusion and organisational practices.</w:t>
            </w:r>
          </w:p>
        </w:tc>
        <w:tc>
          <w:tcPr>
            <w:tcW w:w="1721" w:type="pct"/>
          </w:tcPr>
          <w:p w14:paraId="1665DD30" w14:textId="128851BC"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Contributed conceptual and theoretical perspectives relevant to employer engagement and inclusive employment practices.</w:t>
            </w:r>
          </w:p>
        </w:tc>
      </w:tr>
      <w:tr w:rsidR="2DC3521E" w:rsidRPr="00455FEF" w14:paraId="62658846" w14:textId="77777777" w:rsidTr="00FD12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6FEED4A1" w14:textId="3CB28CDC" w:rsidR="2DC3521E" w:rsidRPr="00455FEF" w:rsidRDefault="2DC3521E" w:rsidP="002726F7">
            <w:r w:rsidRPr="00455FEF">
              <w:t>Web-based resources and guidance materials</w:t>
            </w:r>
          </w:p>
        </w:tc>
        <w:tc>
          <w:tcPr>
            <w:tcW w:w="673" w:type="pct"/>
          </w:tcPr>
          <w:p w14:paraId="32BC129B" w14:textId="43D8B5EB"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11</w:t>
            </w:r>
          </w:p>
        </w:tc>
        <w:tc>
          <w:tcPr>
            <w:tcW w:w="1556" w:type="pct"/>
          </w:tcPr>
          <w:p w14:paraId="047468DD" w14:textId="1F273CB9"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Online resources including guidance documents, employer toolkits and organisational practice materials.</w:t>
            </w:r>
          </w:p>
        </w:tc>
        <w:tc>
          <w:tcPr>
            <w:tcW w:w="1721" w:type="pct"/>
          </w:tcPr>
          <w:p w14:paraId="6CF799FF" w14:textId="1840027A"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Provided practical examples of employer engagement strategies and implementation tools.</w:t>
            </w:r>
          </w:p>
        </w:tc>
      </w:tr>
      <w:tr w:rsidR="2DC3521E" w:rsidRPr="00455FEF" w14:paraId="439C8B1C" w14:textId="77777777" w:rsidTr="00FD12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2A310750" w14:textId="072068AA" w:rsidR="2DC3521E" w:rsidRPr="00455FEF" w:rsidRDefault="2DC3521E" w:rsidP="002726F7">
            <w:r w:rsidRPr="00455FEF">
              <w:t>Sector presentations and practitioner briefings</w:t>
            </w:r>
          </w:p>
        </w:tc>
        <w:tc>
          <w:tcPr>
            <w:tcW w:w="673" w:type="pct"/>
          </w:tcPr>
          <w:p w14:paraId="4109F6C4" w14:textId="2140B6E2"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11</w:t>
            </w:r>
          </w:p>
        </w:tc>
        <w:tc>
          <w:tcPr>
            <w:tcW w:w="1556" w:type="pct"/>
          </w:tcPr>
          <w:p w14:paraId="70B928D2" w14:textId="4F600C5F"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 xml:space="preserve">Conference presentations, practitioner briefings and sector presentations shared through </w:t>
            </w:r>
            <w:r w:rsidRPr="00455FEF">
              <w:lastRenderedPageBreak/>
              <w:t>professional networks.</w:t>
            </w:r>
          </w:p>
        </w:tc>
        <w:tc>
          <w:tcPr>
            <w:tcW w:w="1721" w:type="pct"/>
          </w:tcPr>
          <w:p w14:paraId="22BACF22" w14:textId="5A646CD8"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lastRenderedPageBreak/>
              <w:t>Provided insights into emerging practices, programme implementation and sector innovations.</w:t>
            </w:r>
          </w:p>
        </w:tc>
      </w:tr>
      <w:tr w:rsidR="2DC3521E" w:rsidRPr="00455FEF" w14:paraId="7C5BABBA" w14:textId="77777777" w:rsidTr="00FD12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553FC5A4" w14:textId="3362844D" w:rsidR="2DC3521E" w:rsidRPr="00455FEF" w:rsidRDefault="2DC3521E" w:rsidP="002726F7">
            <w:r w:rsidRPr="00455FEF">
              <w:t>Legal and policy case materials</w:t>
            </w:r>
          </w:p>
        </w:tc>
        <w:tc>
          <w:tcPr>
            <w:tcW w:w="673" w:type="pct"/>
          </w:tcPr>
          <w:p w14:paraId="4EA0670C" w14:textId="39A67794"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7</w:t>
            </w:r>
          </w:p>
        </w:tc>
        <w:tc>
          <w:tcPr>
            <w:tcW w:w="1556" w:type="pct"/>
          </w:tcPr>
          <w:p w14:paraId="5298B92B" w14:textId="18B13C7F"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Legal or regulatory case materials relating to employment, disability rights and workplace inclusion.</w:t>
            </w:r>
          </w:p>
        </w:tc>
        <w:tc>
          <w:tcPr>
            <w:tcW w:w="1721" w:type="pct"/>
          </w:tcPr>
          <w:p w14:paraId="7AB6ED35" w14:textId="37738E10"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Provided contextual insight into the regulatory frameworks shaping disability employment practices.</w:t>
            </w:r>
          </w:p>
        </w:tc>
      </w:tr>
      <w:tr w:rsidR="2DC3521E" w:rsidRPr="00455FEF" w14:paraId="14A3F838" w14:textId="77777777" w:rsidTr="00FD12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5BDA83DB" w14:textId="2651BFE7" w:rsidR="2DC3521E" w:rsidRPr="00455FEF" w:rsidRDefault="2DC3521E" w:rsidP="002726F7">
            <w:r w:rsidRPr="00455FEF">
              <w:t>Academic books</w:t>
            </w:r>
          </w:p>
        </w:tc>
        <w:tc>
          <w:tcPr>
            <w:tcW w:w="673" w:type="pct"/>
          </w:tcPr>
          <w:p w14:paraId="5814633C" w14:textId="3275323B"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5</w:t>
            </w:r>
          </w:p>
        </w:tc>
        <w:tc>
          <w:tcPr>
            <w:tcW w:w="1556" w:type="pct"/>
          </w:tcPr>
          <w:p w14:paraId="405727E3" w14:textId="26B57833"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Monographs examining disability employment, labour market participation and vocational rehabilitation.</w:t>
            </w:r>
          </w:p>
        </w:tc>
        <w:tc>
          <w:tcPr>
            <w:tcW w:w="1721" w:type="pct"/>
          </w:tcPr>
          <w:p w14:paraId="7B492B06" w14:textId="73C3422F"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Provided broader theoretical framing and contextual analysis of disability employment systems.</w:t>
            </w:r>
          </w:p>
        </w:tc>
      </w:tr>
      <w:tr w:rsidR="2DC3521E" w:rsidRPr="00455FEF" w14:paraId="23330819" w14:textId="77777777" w:rsidTr="00FD12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1646A527" w14:textId="6BB14CD1" w:rsidR="2DC3521E" w:rsidRPr="00455FEF" w:rsidRDefault="2DC3521E" w:rsidP="002726F7">
            <w:r w:rsidRPr="00455FEF">
              <w:t>Postgraduate theses</w:t>
            </w:r>
          </w:p>
        </w:tc>
        <w:tc>
          <w:tcPr>
            <w:tcW w:w="673" w:type="pct"/>
          </w:tcPr>
          <w:p w14:paraId="12BF8ED7" w14:textId="7537EB2E"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3</w:t>
            </w:r>
          </w:p>
        </w:tc>
        <w:tc>
          <w:tcPr>
            <w:tcW w:w="1556" w:type="pct"/>
          </w:tcPr>
          <w:p w14:paraId="6A85946F" w14:textId="06638682"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Doctoral or postgraduate research examining disability employment and related labour market issues.</w:t>
            </w:r>
          </w:p>
        </w:tc>
        <w:tc>
          <w:tcPr>
            <w:tcW w:w="1721" w:type="pct"/>
          </w:tcPr>
          <w:p w14:paraId="4BA6AA69" w14:textId="506EA9BD"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Contributed detailed empirical research not yet published in journal form.</w:t>
            </w:r>
          </w:p>
        </w:tc>
      </w:tr>
      <w:tr w:rsidR="2DC3521E" w:rsidRPr="00455FEF" w14:paraId="4732FFAF" w14:textId="77777777" w:rsidTr="00FD125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3F8359D6" w14:textId="7AA81F53" w:rsidR="2DC3521E" w:rsidRPr="00455FEF" w:rsidRDefault="2DC3521E" w:rsidP="002726F7">
            <w:r w:rsidRPr="00455FEF">
              <w:t>Conference papers</w:t>
            </w:r>
          </w:p>
        </w:tc>
        <w:tc>
          <w:tcPr>
            <w:tcW w:w="673" w:type="pct"/>
          </w:tcPr>
          <w:p w14:paraId="340BB88E" w14:textId="1B8C10ED"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2</w:t>
            </w:r>
          </w:p>
        </w:tc>
        <w:tc>
          <w:tcPr>
            <w:tcW w:w="1556" w:type="pct"/>
          </w:tcPr>
          <w:p w14:paraId="0AB4EFEB" w14:textId="2182166C"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Peer-reviewed conference publications.</w:t>
            </w:r>
          </w:p>
        </w:tc>
        <w:tc>
          <w:tcPr>
            <w:tcW w:w="1721" w:type="pct"/>
          </w:tcPr>
          <w:p w14:paraId="4DD3F7E7" w14:textId="402DB7ED" w:rsidR="2DC3521E" w:rsidRPr="00455FEF" w:rsidRDefault="2DC3521E" w:rsidP="002726F7">
            <w:pPr>
              <w:cnfStyle w:val="000000010000" w:firstRow="0" w:lastRow="0" w:firstColumn="0" w:lastColumn="0" w:oddVBand="0" w:evenVBand="0" w:oddHBand="0" w:evenHBand="1" w:firstRowFirstColumn="0" w:firstRowLastColumn="0" w:lastRowFirstColumn="0" w:lastRowLastColumn="0"/>
            </w:pPr>
            <w:r w:rsidRPr="00455FEF">
              <w:t>Provided emerging research findings relevant to employer engagement and disability employment.</w:t>
            </w:r>
          </w:p>
        </w:tc>
      </w:tr>
      <w:tr w:rsidR="2DC3521E" w:rsidRPr="00455FEF" w14:paraId="7B84C06D" w14:textId="77777777" w:rsidTr="00FD12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50" w:type="pct"/>
          </w:tcPr>
          <w:p w14:paraId="447E6256" w14:textId="1DA8D63D" w:rsidR="2DC3521E" w:rsidRPr="00455FEF" w:rsidRDefault="2DC3521E" w:rsidP="002726F7">
            <w:r w:rsidRPr="00455FEF">
              <w:t>Other correspondence material</w:t>
            </w:r>
          </w:p>
        </w:tc>
        <w:tc>
          <w:tcPr>
            <w:tcW w:w="673" w:type="pct"/>
          </w:tcPr>
          <w:p w14:paraId="4A15CF6B" w14:textId="2932F746"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1</w:t>
            </w:r>
          </w:p>
        </w:tc>
        <w:tc>
          <w:tcPr>
            <w:tcW w:w="1556" w:type="pct"/>
          </w:tcPr>
          <w:p w14:paraId="22F2259E" w14:textId="00D0589F"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Communication materials shared with the research team.</w:t>
            </w:r>
          </w:p>
        </w:tc>
        <w:tc>
          <w:tcPr>
            <w:tcW w:w="1721" w:type="pct"/>
          </w:tcPr>
          <w:p w14:paraId="5E229B03" w14:textId="30D2958D" w:rsidR="2DC3521E" w:rsidRPr="00455FEF" w:rsidRDefault="2DC3521E" w:rsidP="002726F7">
            <w:pPr>
              <w:cnfStyle w:val="000000100000" w:firstRow="0" w:lastRow="0" w:firstColumn="0" w:lastColumn="0" w:oddVBand="0" w:evenVBand="0" w:oddHBand="1" w:evenHBand="0" w:firstRowFirstColumn="0" w:firstRowLastColumn="0" w:lastRowFirstColumn="0" w:lastRowLastColumn="0"/>
            </w:pPr>
            <w:r w:rsidRPr="00455FEF">
              <w:t>Included for record completeness but not central to the synthesis.</w:t>
            </w:r>
          </w:p>
        </w:tc>
      </w:tr>
    </w:tbl>
    <w:p w14:paraId="1A2915D0" w14:textId="77777777" w:rsidR="00FD125F" w:rsidRDefault="00FD125F" w:rsidP="002726F7">
      <w:pPr>
        <w:rPr>
          <w:highlight w:val="yellow"/>
        </w:rPr>
        <w:sectPr w:rsidR="00FD125F" w:rsidSect="00FD125F">
          <w:pgSz w:w="16838" w:h="11906" w:orient="landscape" w:code="9"/>
          <w:pgMar w:top="1134" w:right="1134" w:bottom="1134" w:left="1134" w:header="454" w:footer="0" w:gutter="0"/>
          <w:cols w:space="708"/>
          <w:docGrid w:linePitch="360"/>
        </w:sectPr>
      </w:pPr>
    </w:p>
    <w:p w14:paraId="235550F6" w14:textId="65EBE8B2" w:rsidR="006A0BD4" w:rsidRPr="00CC6638" w:rsidRDefault="0BA15539" w:rsidP="0018796A">
      <w:pPr>
        <w:pStyle w:val="Heading1"/>
      </w:pPr>
      <w:bookmarkStart w:id="33" w:name="_Toc232075648"/>
      <w:r w:rsidRPr="009848E8">
        <w:lastRenderedPageBreak/>
        <w:t>Appendix E</w:t>
      </w:r>
      <w:r w:rsidR="0018796A">
        <w:t>.</w:t>
      </w:r>
      <w:r w:rsidR="2C3D33B3" w:rsidRPr="009848E8">
        <w:t xml:space="preserve"> AERO (</w:t>
      </w:r>
      <w:r w:rsidR="00FD5B10">
        <w:t>C</w:t>
      </w:r>
      <w:r w:rsidR="00FD125F">
        <w:t>entre</w:t>
      </w:r>
      <w:r w:rsidR="00FD5B10">
        <w:t xml:space="preserve"> </w:t>
      </w:r>
      <w:r w:rsidR="00FD125F">
        <w:t>for</w:t>
      </w:r>
      <w:r w:rsidR="00FD5B10">
        <w:t xml:space="preserve"> I</w:t>
      </w:r>
      <w:r w:rsidR="00FD125F">
        <w:t xml:space="preserve">nclusive </w:t>
      </w:r>
      <w:r w:rsidR="00FD5B10">
        <w:t>E</w:t>
      </w:r>
      <w:r w:rsidR="00FD125F">
        <w:t>mployment</w:t>
      </w:r>
      <w:r w:rsidR="2C3D33B3" w:rsidRPr="009848E8">
        <w:t xml:space="preserve">) </w:t>
      </w:r>
      <w:r w:rsidR="0018796A" w:rsidRPr="009848E8">
        <w:t>evidence standards ratings of included peer-reviewed studies</w:t>
      </w:r>
      <w:bookmarkEnd w:id="33"/>
    </w:p>
    <w:p w14:paraId="235B3222" w14:textId="35BD348A" w:rsidR="006A0BD4" w:rsidRPr="00CC6638" w:rsidRDefault="2C3D33B3" w:rsidP="002726F7">
      <w:r w:rsidRPr="10D3787E">
        <w:t>This table presents the peer-reviewed studies included in the synthesis and documents their classification against the Australian Education Research Organisation (AERO) Standards of Evidence (Levels 1–4). It supports transparency in evidence appraisal and enables comparison of the extent to which included studies substantiate causal claims regarding ‘what works’, while recognising methodological diversity and contextual variation.</w:t>
      </w:r>
    </w:p>
    <w:tbl>
      <w:tblPr>
        <w:tblStyle w:val="CIETable"/>
        <w:tblW w:w="5000" w:type="pct"/>
        <w:tblLook w:val="04A0" w:firstRow="1" w:lastRow="0" w:firstColumn="1" w:lastColumn="0" w:noHBand="0" w:noVBand="1"/>
      </w:tblPr>
      <w:tblGrid>
        <w:gridCol w:w="5825"/>
        <w:gridCol w:w="1565"/>
        <w:gridCol w:w="808"/>
        <w:gridCol w:w="2443"/>
        <w:gridCol w:w="1838"/>
        <w:gridCol w:w="2081"/>
      </w:tblGrid>
      <w:tr w:rsidR="002A728D" w14:paraId="00085F40" w14:textId="77777777" w:rsidTr="002A728D">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1890" w:type="pct"/>
          </w:tcPr>
          <w:p w14:paraId="55DF3E93" w14:textId="0714634A" w:rsidR="002A728D" w:rsidRDefault="002A728D" w:rsidP="002A728D">
            <w:pPr>
              <w:pStyle w:val="TableHeading"/>
            </w:pPr>
            <w:r w:rsidRPr="10D3787E">
              <w:t>Full citation</w:t>
            </w:r>
          </w:p>
        </w:tc>
        <w:tc>
          <w:tcPr>
            <w:tcW w:w="557" w:type="pct"/>
          </w:tcPr>
          <w:p w14:paraId="62391396" w14:textId="2E59DB24" w:rsidR="002A728D" w:rsidRDefault="002A728D" w:rsidP="002A728D">
            <w:pPr>
              <w:pStyle w:val="TableHeading"/>
              <w:cnfStyle w:val="100000000000" w:firstRow="1" w:lastRow="0" w:firstColumn="0" w:lastColumn="0" w:oddVBand="0" w:evenVBand="0" w:oddHBand="0" w:evenHBand="0" w:firstRowFirstColumn="0" w:firstRowLastColumn="0" w:lastRowFirstColumn="0" w:lastRowLastColumn="0"/>
            </w:pPr>
            <w:r w:rsidRPr="10D3787E">
              <w:t>Country</w:t>
            </w:r>
          </w:p>
        </w:tc>
        <w:tc>
          <w:tcPr>
            <w:tcW w:w="375" w:type="pct"/>
          </w:tcPr>
          <w:p w14:paraId="15FFE663" w14:textId="77777777" w:rsidR="002A728D" w:rsidRDefault="002A728D" w:rsidP="002A728D">
            <w:pPr>
              <w:pStyle w:val="TableHeading"/>
              <w:cnfStyle w:val="100000000000" w:firstRow="1" w:lastRow="0" w:firstColumn="0" w:lastColumn="0" w:oddVBand="0" w:evenVBand="0" w:oddHBand="0" w:evenHBand="0" w:firstRowFirstColumn="0" w:firstRowLastColumn="0" w:lastRowFirstColumn="0" w:lastRowLastColumn="0"/>
            </w:pPr>
            <w:r w:rsidRPr="10D3787E">
              <w:t>AERO</w:t>
            </w:r>
          </w:p>
          <w:p w14:paraId="1621893B" w14:textId="153631AB" w:rsidR="002A728D" w:rsidRPr="10D3787E" w:rsidRDefault="002A728D" w:rsidP="002A728D">
            <w:pPr>
              <w:pStyle w:val="TableHeading"/>
              <w:cnfStyle w:val="100000000000" w:firstRow="1" w:lastRow="0" w:firstColumn="0" w:lastColumn="0" w:oddVBand="0" w:evenVBand="0" w:oddHBand="0" w:evenHBand="0" w:firstRowFirstColumn="0" w:firstRowLastColumn="0" w:lastRowFirstColumn="0" w:lastRowLastColumn="0"/>
            </w:pPr>
            <w:r>
              <w:t>Level</w:t>
            </w:r>
          </w:p>
        </w:tc>
        <w:tc>
          <w:tcPr>
            <w:tcW w:w="782" w:type="pct"/>
          </w:tcPr>
          <w:p w14:paraId="1D6CBD9D" w14:textId="5F568B0E" w:rsidR="002A728D" w:rsidRDefault="002A728D" w:rsidP="002A728D">
            <w:pPr>
              <w:pStyle w:val="TableHeading"/>
              <w:cnfStyle w:val="100000000000" w:firstRow="1" w:lastRow="0" w:firstColumn="0" w:lastColumn="0" w:oddVBand="0" w:evenVBand="0" w:oddHBand="0" w:evenHBand="0" w:firstRowFirstColumn="0" w:firstRowLastColumn="0" w:lastRowFirstColumn="0" w:lastRowLastColumn="0"/>
            </w:pPr>
            <w:r w:rsidRPr="10D3787E">
              <w:t>Design</w:t>
            </w:r>
          </w:p>
        </w:tc>
        <w:tc>
          <w:tcPr>
            <w:tcW w:w="655" w:type="pct"/>
          </w:tcPr>
          <w:p w14:paraId="7CFE73B8" w14:textId="621272B4" w:rsidR="002A728D" w:rsidRDefault="002A728D" w:rsidP="002A728D">
            <w:pPr>
              <w:pStyle w:val="TableHeading"/>
              <w:cnfStyle w:val="100000000000" w:firstRow="1" w:lastRow="0" w:firstColumn="0" w:lastColumn="0" w:oddVBand="0" w:evenVBand="0" w:oddHBand="0" w:evenHBand="0" w:firstRowFirstColumn="0" w:firstRowLastColumn="0" w:lastRowFirstColumn="0" w:lastRowLastColumn="0"/>
            </w:pPr>
            <w:r w:rsidRPr="10D3787E">
              <w:t>Effect direction</w:t>
            </w:r>
          </w:p>
        </w:tc>
        <w:tc>
          <w:tcPr>
            <w:tcW w:w="741" w:type="pct"/>
          </w:tcPr>
          <w:p w14:paraId="207CA58B" w14:textId="599E887B" w:rsidR="002A728D" w:rsidRDefault="002A728D" w:rsidP="002A728D">
            <w:pPr>
              <w:pStyle w:val="TableHeading"/>
              <w:cnfStyle w:val="100000000000" w:firstRow="1" w:lastRow="0" w:firstColumn="0" w:lastColumn="0" w:oddVBand="0" w:evenVBand="0" w:oddHBand="0" w:evenHBand="0" w:firstRowFirstColumn="0" w:firstRowLastColumn="0" w:lastRowFirstColumn="0" w:lastRowLastColumn="0"/>
            </w:pPr>
            <w:r w:rsidRPr="10D3787E">
              <w:t>Notes</w:t>
            </w:r>
          </w:p>
        </w:tc>
      </w:tr>
      <w:tr w:rsidR="002A728D" w14:paraId="61C5DED1"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C56F344" w14:textId="09E27F01" w:rsidR="002A728D" w:rsidRDefault="002A728D" w:rsidP="002A728D">
            <w:r w:rsidRPr="10D3787E">
              <w:t xml:space="preserve">Aksnes, S., &amp; Breit, E. (2025). Varieties of engagement: Exploring the micro-practices of managers in employing disadvantaged jobseekers. JOURNAL OF SOCIAL POLICY. (WOS:001433326200001). </w:t>
            </w:r>
            <w:hyperlink r:id="rId18">
              <w:r w:rsidRPr="002A728D">
                <w:rPr>
                  <w:rStyle w:val="Hyperlink"/>
                </w:rPr>
                <w:t>https://doi.org/10.1017/S0047279425000030</w:t>
              </w:r>
            </w:hyperlink>
          </w:p>
        </w:tc>
        <w:tc>
          <w:tcPr>
            <w:tcW w:w="557" w:type="pct"/>
          </w:tcPr>
          <w:p w14:paraId="7812648D" w14:textId="7051B508"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Norway</w:t>
            </w:r>
          </w:p>
        </w:tc>
        <w:tc>
          <w:tcPr>
            <w:tcW w:w="375" w:type="pct"/>
          </w:tcPr>
          <w:p w14:paraId="1FFE5005" w14:textId="5B1C2E75"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0BDE3BC2" w14:textId="69E20C4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Qualitative</w:t>
            </w:r>
          </w:p>
        </w:tc>
        <w:tc>
          <w:tcPr>
            <w:tcW w:w="655" w:type="pct"/>
          </w:tcPr>
          <w:p w14:paraId="239EAC87" w14:textId="4170638B"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 (descriptive)</w:t>
            </w:r>
          </w:p>
        </w:tc>
        <w:tc>
          <w:tcPr>
            <w:tcW w:w="741" w:type="pct"/>
          </w:tcPr>
          <w:p w14:paraId="5B1344C0" w14:textId="54702D6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Micro-practices of managers; strong insight, no outcome testing</w:t>
            </w:r>
          </w:p>
        </w:tc>
      </w:tr>
      <w:tr w:rsidR="002A728D" w14:paraId="6CF6AC5A"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EB6C2A3" w14:textId="03183DD2" w:rsidR="002A728D" w:rsidRDefault="002A728D" w:rsidP="002A728D">
            <w:r w:rsidRPr="10D3787E">
              <w:t xml:space="preserve">Araten-Bergman, T. (2016). Managers’ hiring intentions and the actual hiring of qualified workers with disabilities. International Journal of Human Resource Management, 27(14), 1510–1530. (116263431). </w:t>
            </w:r>
            <w:hyperlink r:id="rId19">
              <w:r w:rsidRPr="002A728D">
                <w:rPr>
                  <w:rStyle w:val="Hyperlink"/>
                </w:rPr>
                <w:t>https://doi.org/10.1080/09585192.2015.112846</w:t>
              </w:r>
              <w:r w:rsidRPr="002A728D">
                <w:rPr>
                  <w:rStyle w:val="Hyperlink"/>
                </w:rPr>
                <w:lastRenderedPageBreak/>
                <w:t>6</w:t>
              </w:r>
            </w:hyperlink>
          </w:p>
        </w:tc>
        <w:tc>
          <w:tcPr>
            <w:tcW w:w="557" w:type="pct"/>
          </w:tcPr>
          <w:p w14:paraId="5AF6DEBC" w14:textId="745788C4"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Israel</w:t>
            </w:r>
          </w:p>
        </w:tc>
        <w:tc>
          <w:tcPr>
            <w:tcW w:w="375" w:type="pct"/>
          </w:tcPr>
          <w:p w14:paraId="7F1744D7" w14:textId="632F2754"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7D17B11B" w14:textId="1BAE0C3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Quantitative (survey + behavioural)</w:t>
            </w:r>
          </w:p>
        </w:tc>
        <w:tc>
          <w:tcPr>
            <w:tcW w:w="655" w:type="pct"/>
          </w:tcPr>
          <w:p w14:paraId="0446CDA4" w14:textId="56D389F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35C81055" w14:textId="62ABE30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Links intentions to hiring behaviour; correlational</w:t>
            </w:r>
          </w:p>
        </w:tc>
      </w:tr>
      <w:tr w:rsidR="002A728D" w14:paraId="5CE0B195"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A62E9AA" w14:textId="2CCFD341" w:rsidR="002A728D" w:rsidRDefault="002A728D" w:rsidP="002A728D">
            <w:r w:rsidRPr="10D3787E">
              <w:t xml:space="preserve">Bezyak J., Chan F., Tansey T.N., Wu J.-R., Iwanaga K., &amp; Lee D. (2024). Changing Human Resource Professionals from Gatekeepers to Enablers of Disability Employment: Lessons Learned from Disability-Employment Research. Journal of Vocational Rehabilitation, ((Bezyak) University of Northern Colorado, Greeley, CO, United </w:t>
            </w:r>
            <w:proofErr w:type="gramStart"/>
            <w:r w:rsidRPr="10D3787E">
              <w:t>States(</w:t>
            </w:r>
            <w:proofErr w:type="gramEnd"/>
            <w:r w:rsidRPr="10D3787E">
              <w:t xml:space="preserve">Chan, Tansey) University of Wisconsin-Madison, Madison, WI, United </w:t>
            </w:r>
            <w:proofErr w:type="gramStart"/>
            <w:r w:rsidRPr="10D3787E">
              <w:t>States(</w:t>
            </w:r>
            <w:proofErr w:type="gramEnd"/>
            <w:r w:rsidRPr="10D3787E">
              <w:t xml:space="preserve">Wu) Northeastern Illinois University, Chicago, IL, United </w:t>
            </w:r>
            <w:proofErr w:type="gramStart"/>
            <w:r w:rsidRPr="10D3787E">
              <w:t>States(</w:t>
            </w:r>
            <w:proofErr w:type="gramEnd"/>
            <w:r w:rsidRPr="10D3787E">
              <w:t xml:space="preserve">Iwanaga) Virginia Commonwealth University, Rich), 10522263241300813. (2039510398). </w:t>
            </w:r>
            <w:hyperlink r:id="rId20">
              <w:r w:rsidRPr="002A728D">
                <w:rPr>
                  <w:rStyle w:val="Hyperlink"/>
                  <w:rFonts w:asciiTheme="minorHAnsi" w:hAnsiTheme="minorHAnsi"/>
                </w:rPr>
                <w:t>https://doi.org/10.1177/10522263241300813</w:t>
              </w:r>
            </w:hyperlink>
          </w:p>
        </w:tc>
        <w:tc>
          <w:tcPr>
            <w:tcW w:w="557" w:type="pct"/>
          </w:tcPr>
          <w:p w14:paraId="107E5B7D" w14:textId="46198E9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1DE80D09" w14:textId="23049FC7"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5A71EFA2" w14:textId="1CBD1C01"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Conceptual / synthesis</w:t>
            </w:r>
          </w:p>
        </w:tc>
        <w:tc>
          <w:tcPr>
            <w:tcW w:w="655" w:type="pct"/>
          </w:tcPr>
          <w:p w14:paraId="5A2FFF4C" w14:textId="1D1DF07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 (theoretical)</w:t>
            </w:r>
          </w:p>
        </w:tc>
        <w:tc>
          <w:tcPr>
            <w:tcW w:w="741" w:type="pct"/>
          </w:tcPr>
          <w:p w14:paraId="75C92547" w14:textId="3D769B51"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HR transformation framing; no empirical testing</w:t>
            </w:r>
          </w:p>
        </w:tc>
      </w:tr>
      <w:tr w:rsidR="002A728D" w14:paraId="39B23CE4"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F0284E0" w14:textId="06C08F6B" w:rsidR="002A728D" w:rsidRDefault="002A728D" w:rsidP="002A728D">
            <w:r w:rsidRPr="10D3787E">
              <w:t xml:space="preserve">Blajeski, S. M., Smith, M. J., Harrington, M. M., Johnson, J. M., Oulvey, E. A., Mueser, K. T., McGurk, S. R., &amp; Razzano, L. A. (2023). Critical </w:t>
            </w:r>
            <w:r w:rsidRPr="10D3787E">
              <w:lastRenderedPageBreak/>
              <w:t xml:space="preserve">Elements in the Experience of Virtual Reality Job Interview Training for Unemployed Individuals With Serious Mental Illness: Implications for IPS Supported Employment. Psychiatric Rehabilitation Journal, 46(4), 353–359. (174600217). </w:t>
            </w:r>
            <w:hyperlink r:id="rId21">
              <w:r w:rsidRPr="002A728D">
                <w:rPr>
                  <w:rStyle w:val="Hyperlink"/>
                  <w:rFonts w:asciiTheme="minorHAnsi" w:hAnsiTheme="minorHAnsi"/>
                </w:rPr>
                <w:t>https://doi.org/10.1037/prj0000574</w:t>
              </w:r>
            </w:hyperlink>
          </w:p>
        </w:tc>
        <w:tc>
          <w:tcPr>
            <w:tcW w:w="557" w:type="pct"/>
          </w:tcPr>
          <w:p w14:paraId="32F8351A" w14:textId="39FD7B4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USA</w:t>
            </w:r>
          </w:p>
        </w:tc>
        <w:tc>
          <w:tcPr>
            <w:tcW w:w="375" w:type="pct"/>
          </w:tcPr>
          <w:p w14:paraId="2FCB57A6" w14:textId="03725C1B"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7946CD49" w14:textId="51186444"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 methods (feasibility)</w:t>
            </w:r>
          </w:p>
        </w:tc>
        <w:tc>
          <w:tcPr>
            <w:tcW w:w="655" w:type="pct"/>
          </w:tcPr>
          <w:p w14:paraId="1D3401E0" w14:textId="418B948C"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4FB2B5F6" w14:textId="3E46F39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 xml:space="preserve">Small intervention (VR training); </w:t>
            </w:r>
            <w:r w:rsidRPr="10D3787E">
              <w:lastRenderedPageBreak/>
              <w:t>limited generalisability</w:t>
            </w:r>
          </w:p>
        </w:tc>
      </w:tr>
      <w:tr w:rsidR="002A728D" w14:paraId="01BD56CE"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16B5903" w14:textId="3A42C21A" w:rsidR="002A728D" w:rsidRDefault="002A728D" w:rsidP="002A728D">
            <w:r w:rsidRPr="10D3787E">
              <w:lastRenderedPageBreak/>
              <w:t xml:space="preserve">Bosman, R., Van Heijster, H., Borghouts, I., &amp; Freese, C. (2025). A Scoping Review on the Conceptualisation of Employer Engagement in the Employment of Vulnerable Workers: An Interdisciplinary Perspective. Social Policy and Society, 1–30. </w:t>
            </w:r>
            <w:hyperlink r:id="rId22">
              <w:r w:rsidRPr="002A728D">
                <w:rPr>
                  <w:rStyle w:val="Hyperlink"/>
                  <w:rFonts w:asciiTheme="minorHAnsi" w:hAnsiTheme="minorHAnsi"/>
                </w:rPr>
                <w:t>https://doi.org/10.1017/S1474746425100870</w:t>
              </w:r>
            </w:hyperlink>
          </w:p>
        </w:tc>
        <w:tc>
          <w:tcPr>
            <w:tcW w:w="557" w:type="pct"/>
          </w:tcPr>
          <w:p w14:paraId="7CC80379" w14:textId="65892F1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Multi-country</w:t>
            </w:r>
          </w:p>
        </w:tc>
        <w:tc>
          <w:tcPr>
            <w:tcW w:w="375" w:type="pct"/>
          </w:tcPr>
          <w:p w14:paraId="3579053B" w14:textId="55441DDF"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1–2</w:t>
            </w:r>
          </w:p>
        </w:tc>
        <w:tc>
          <w:tcPr>
            <w:tcW w:w="782" w:type="pct"/>
          </w:tcPr>
          <w:p w14:paraId="0F7BD7ED" w14:textId="6826D9A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Scoping review</w:t>
            </w:r>
          </w:p>
        </w:tc>
        <w:tc>
          <w:tcPr>
            <w:tcW w:w="655" w:type="pct"/>
          </w:tcPr>
          <w:p w14:paraId="18C9E933" w14:textId="44CF2C1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Pr>
          <w:p w14:paraId="1F35B77C" w14:textId="44787DD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Conceptual mapping of employer engagement</w:t>
            </w:r>
          </w:p>
        </w:tc>
      </w:tr>
      <w:tr w:rsidR="002A728D" w14:paraId="43021E1A"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E75326E" w14:textId="19A3744F" w:rsidR="002A728D" w:rsidRDefault="002A728D" w:rsidP="002A728D">
            <w:r w:rsidRPr="10D3787E">
              <w:t xml:space="preserve">Breit, E., Brathen, M., &amp; Sadeghi, T. (2025). Distinctions between inclusive and non-inclusive companies for persons with disability: Exploring the impact of COM-B and HRM practices. WORK-A JOURNAL OF </w:t>
            </w:r>
            <w:r w:rsidRPr="10D3787E">
              <w:lastRenderedPageBreak/>
              <w:t xml:space="preserve">PREVENTION ASSESSMENT &amp; REHABILITATION, 81(2), 2651–2661. (WOS:001464107200001). </w:t>
            </w:r>
            <w:hyperlink r:id="rId23">
              <w:r w:rsidRPr="002A728D">
                <w:rPr>
                  <w:rStyle w:val="Hyperlink"/>
                  <w:rFonts w:asciiTheme="minorHAnsi" w:hAnsiTheme="minorHAnsi"/>
                </w:rPr>
                <w:t>https://doi.org/10.1177/10519815251320275</w:t>
              </w:r>
            </w:hyperlink>
          </w:p>
        </w:tc>
        <w:tc>
          <w:tcPr>
            <w:tcW w:w="557" w:type="pct"/>
          </w:tcPr>
          <w:p w14:paraId="0CED98AB" w14:textId="5B8CEE5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Norway</w:t>
            </w:r>
          </w:p>
        </w:tc>
        <w:tc>
          <w:tcPr>
            <w:tcW w:w="375" w:type="pct"/>
          </w:tcPr>
          <w:p w14:paraId="06A9CC51" w14:textId="313AD858"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1E699C2A" w14:textId="16A9AEF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Quantitative (comparative firms)</w:t>
            </w:r>
          </w:p>
        </w:tc>
        <w:tc>
          <w:tcPr>
            <w:tcW w:w="655" w:type="pct"/>
          </w:tcPr>
          <w:p w14:paraId="0F923F8C" w14:textId="2CFEF2EF"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21D0D135" w14:textId="7AE4C92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HRM practices associated with inclusion</w:t>
            </w:r>
          </w:p>
        </w:tc>
      </w:tr>
      <w:tr w:rsidR="002A728D" w14:paraId="5AE7BC5E"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C127622" w14:textId="1AD3A860" w:rsidR="002A728D" w:rsidRDefault="002A728D" w:rsidP="002A728D">
            <w:r w:rsidRPr="10D3787E">
              <w:t xml:space="preserve">Brinck E.A., Brehmer C.E., Anderson C.A., Gonzalez R., Tansey T.N., &amp; Bishop M. (2026). Serving Older Adults with Disabilities: Recognizing the Impact of Assisting Individuals to Stay Employed Versus Obtain Employment. Journal of Vocational Rehabilitation, ((Brinck, Brehmer, Anderson, Tansey, Bishop) Wisconsin Center for Education Research-Innovative Partnership for Advancing Rehabilitation Research and Practice (IPARRT), University of Wisconsin-Madison, Madison, WI, United </w:t>
            </w:r>
            <w:proofErr w:type="gramStart"/>
            <w:r w:rsidRPr="10D3787E">
              <w:t>States(</w:t>
            </w:r>
            <w:proofErr w:type="gramEnd"/>
            <w:r w:rsidRPr="10D3787E">
              <w:t xml:space="preserve">Gonzalez) The University of). (2042873337). </w:t>
            </w:r>
            <w:hyperlink r:id="rId24">
              <w:r w:rsidRPr="002A728D">
                <w:rPr>
                  <w:rStyle w:val="Hyperlink"/>
                  <w:rFonts w:asciiTheme="minorHAnsi" w:hAnsiTheme="minorHAnsi"/>
                </w:rPr>
                <w:t>https://doi.org/10.1177/10522263251413</w:t>
              </w:r>
              <w:r w:rsidRPr="000008CB">
                <w:rPr>
                  <w:rStyle w:val="Hyperlink"/>
                </w:rPr>
                <w:t>286</w:t>
              </w:r>
            </w:hyperlink>
          </w:p>
        </w:tc>
        <w:tc>
          <w:tcPr>
            <w:tcW w:w="557" w:type="pct"/>
          </w:tcPr>
          <w:p w14:paraId="57540E96" w14:textId="7FB90FD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4ACDF70E" w14:textId="398A63C3"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1348D22F" w14:textId="0FA1BCA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Conceptual / policy</w:t>
            </w:r>
          </w:p>
        </w:tc>
        <w:tc>
          <w:tcPr>
            <w:tcW w:w="655" w:type="pct"/>
          </w:tcPr>
          <w:p w14:paraId="03C94740" w14:textId="7E21B3A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Pr>
          <w:p w14:paraId="7DD6E85B" w14:textId="35E6933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Retention vs entry framing</w:t>
            </w:r>
          </w:p>
        </w:tc>
      </w:tr>
      <w:tr w:rsidR="002A728D" w14:paraId="2E1AACD6"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4B5ADC6" w14:textId="2966F69E" w:rsidR="002A728D" w:rsidRDefault="002A728D" w:rsidP="002A728D">
            <w:r w:rsidRPr="10D3787E">
              <w:lastRenderedPageBreak/>
              <w:t xml:space="preserve">Burke, J., Bezyak, J., Fraser, R. T., Pete, J., Ditchman, N., &amp; Chan, F. (2013). Employers’ Attitudes Towards Hiring and Retaining People with Disabilities: A Review of the Literature. Australian Journal of Rehabilitation Counselling, 19(1), 21–38. (99116137). </w:t>
            </w:r>
            <w:hyperlink r:id="rId25">
              <w:r w:rsidRPr="002A728D">
                <w:rPr>
                  <w:rStyle w:val="Hyperlink"/>
                  <w:rFonts w:asciiTheme="minorHAnsi" w:hAnsiTheme="minorHAnsi"/>
                </w:rPr>
                <w:t>https://doi.org/10.1017/jrc.2013.2</w:t>
              </w:r>
            </w:hyperlink>
          </w:p>
        </w:tc>
        <w:tc>
          <w:tcPr>
            <w:tcW w:w="557" w:type="pct"/>
          </w:tcPr>
          <w:p w14:paraId="54AF1104" w14:textId="76B281C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Australia</w:t>
            </w:r>
          </w:p>
        </w:tc>
        <w:tc>
          <w:tcPr>
            <w:tcW w:w="375" w:type="pct"/>
          </w:tcPr>
          <w:p w14:paraId="20CD70E1" w14:textId="0D2207BC"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14BD5DCC" w14:textId="38FEC4B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Literature review</w:t>
            </w:r>
          </w:p>
        </w:tc>
        <w:tc>
          <w:tcPr>
            <w:tcW w:w="655" w:type="pct"/>
          </w:tcPr>
          <w:p w14:paraId="642C83D8" w14:textId="215D113C"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w:t>
            </w:r>
          </w:p>
        </w:tc>
        <w:tc>
          <w:tcPr>
            <w:tcW w:w="741" w:type="pct"/>
          </w:tcPr>
          <w:p w14:paraId="161B22E7" w14:textId="4CDA856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Narrative review of employer attitudes</w:t>
            </w:r>
          </w:p>
        </w:tc>
      </w:tr>
      <w:tr w:rsidR="002A728D" w14:paraId="521647FE"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52808BFD" w14:textId="66F8D75B" w:rsidR="002A728D" w:rsidRDefault="002A728D" w:rsidP="002A728D">
            <w:r w:rsidRPr="10D3787E">
              <w:t xml:space="preserve">Carpenter, C., &amp; Daly, J. (2019). Creating an Employment Collaborative. Journal of Vocational Rehabilitation, 50(3), 331–338. (136564581). </w:t>
            </w:r>
            <w:hyperlink r:id="rId26">
              <w:r w:rsidRPr="002A728D">
                <w:rPr>
                  <w:rStyle w:val="Hyperlink"/>
                </w:rPr>
                <w:t>https://doi.org/10.3233/JVR-191015</w:t>
              </w:r>
            </w:hyperlink>
          </w:p>
        </w:tc>
        <w:tc>
          <w:tcPr>
            <w:tcW w:w="557" w:type="pct"/>
          </w:tcPr>
          <w:p w14:paraId="62365E88" w14:textId="4FC63227"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74622926" w14:textId="6D8F6D3E"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55DB9E83" w14:textId="0BC735A8"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Case study</w:t>
            </w:r>
          </w:p>
        </w:tc>
        <w:tc>
          <w:tcPr>
            <w:tcW w:w="655" w:type="pct"/>
          </w:tcPr>
          <w:p w14:paraId="4B252282" w14:textId="2DB8251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28F53944" w14:textId="4EC3F36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Employment collaborative model</w:t>
            </w:r>
          </w:p>
        </w:tc>
      </w:tr>
      <w:tr w:rsidR="002A728D" w14:paraId="3344391F"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58F1CC9E" w14:textId="71F3F6B0" w:rsidR="002A728D" w:rsidRDefault="002A728D" w:rsidP="002A728D">
            <w:r w:rsidRPr="10D3787E">
              <w:t>Carter, E. W., Trainor, A. A., Cakiroglu, O., Cole, O., Swedeen, B., Ditchman, N., &amp; Owens, L. (2009). Exploring school-employer partnerships to expand career development and early work experiences for youth with disabilities. Career Development for Exceptional Individuals, 32(3), 145–159. (2009-</w:t>
            </w:r>
            <w:r w:rsidRPr="10D3787E">
              <w:lastRenderedPageBreak/>
              <w:t xml:space="preserve">22831-003). </w:t>
            </w:r>
            <w:hyperlink r:id="rId27">
              <w:r w:rsidRPr="002A728D">
                <w:rPr>
                  <w:rStyle w:val="Hyperlink"/>
                  <w:rFonts w:asciiTheme="minorHAnsi" w:hAnsiTheme="minorHAnsi"/>
                </w:rPr>
                <w:t>https://doi.org/10.1177/0885728809344590</w:t>
              </w:r>
            </w:hyperlink>
          </w:p>
        </w:tc>
        <w:tc>
          <w:tcPr>
            <w:tcW w:w="557" w:type="pct"/>
          </w:tcPr>
          <w:p w14:paraId="33B755ED" w14:textId="4F83CFE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USA</w:t>
            </w:r>
          </w:p>
        </w:tc>
        <w:tc>
          <w:tcPr>
            <w:tcW w:w="375" w:type="pct"/>
          </w:tcPr>
          <w:p w14:paraId="6545A756" w14:textId="325EDB56"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22FA2A33" w14:textId="4CD367E5"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 methods</w:t>
            </w:r>
          </w:p>
        </w:tc>
        <w:tc>
          <w:tcPr>
            <w:tcW w:w="655" w:type="pct"/>
          </w:tcPr>
          <w:p w14:paraId="14C46D08" w14:textId="6FDFA66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4C48A112" w14:textId="2B8A22D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School–employer partnerships; no causal design</w:t>
            </w:r>
          </w:p>
        </w:tc>
      </w:tr>
      <w:tr w:rsidR="002A728D" w14:paraId="753B7E27"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155F088" w14:textId="2B067B06" w:rsidR="002A728D" w:rsidRDefault="002A728D" w:rsidP="002A728D">
            <w:r w:rsidRPr="10D3787E">
              <w:t xml:space="preserve">Chan F, Strauser D, Gervey R, &amp; Lee E. (2010). Introduction to Demand-Side Factors Related to Employment of People with Disabilities. Journal of Occupational Rehabilitation, 20(4), 407–411. (104942522). </w:t>
            </w:r>
            <w:hyperlink r:id="rId28">
              <w:r w:rsidRPr="002A728D">
                <w:rPr>
                  <w:rStyle w:val="Hyperlink"/>
                  <w:rFonts w:asciiTheme="minorHAnsi" w:hAnsiTheme="minorHAnsi"/>
                </w:rPr>
                <w:t>https://doi.org/10.1007/s10926-010-9243-7</w:t>
              </w:r>
            </w:hyperlink>
          </w:p>
        </w:tc>
        <w:tc>
          <w:tcPr>
            <w:tcW w:w="557" w:type="pct"/>
          </w:tcPr>
          <w:p w14:paraId="3566DC31" w14:textId="30CAB6A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4DA35977" w14:textId="7C1136CC"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47ABDEA5" w14:textId="3033C89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Conceptual</w:t>
            </w:r>
          </w:p>
        </w:tc>
        <w:tc>
          <w:tcPr>
            <w:tcW w:w="655" w:type="pct"/>
          </w:tcPr>
          <w:p w14:paraId="1CB16F2C" w14:textId="079F490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Neutral</w:t>
            </w:r>
          </w:p>
        </w:tc>
        <w:tc>
          <w:tcPr>
            <w:tcW w:w="741" w:type="pct"/>
          </w:tcPr>
          <w:p w14:paraId="139584AD" w14:textId="42A2A588"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Demand-side framework</w:t>
            </w:r>
          </w:p>
        </w:tc>
      </w:tr>
      <w:tr w:rsidR="002A728D" w14:paraId="28237AAF" w14:textId="77777777" w:rsidTr="002A728D">
        <w:trPr>
          <w:cnfStyle w:val="000000010000" w:firstRow="0" w:lastRow="0" w:firstColumn="0" w:lastColumn="0" w:oddVBand="0" w:evenVBand="0" w:oddHBand="0" w:evenHBand="1" w:firstRowFirstColumn="0" w:firstRowLastColumn="0" w:lastRowFirstColumn="0" w:lastRowLastColumn="0"/>
          <w:trHeight w:val="1950"/>
        </w:trPr>
        <w:tc>
          <w:tcPr>
            <w:cnfStyle w:val="001000000000" w:firstRow="0" w:lastRow="0" w:firstColumn="1" w:lastColumn="0" w:oddVBand="0" w:evenVBand="0" w:oddHBand="0" w:evenHBand="0" w:firstRowFirstColumn="0" w:firstRowLastColumn="0" w:lastRowFirstColumn="0" w:lastRowLastColumn="0"/>
            <w:tcW w:w="1890" w:type="pct"/>
          </w:tcPr>
          <w:p w14:paraId="03861179" w14:textId="7DFBD4E4" w:rsidR="002A728D" w:rsidRDefault="002A728D" w:rsidP="002A728D">
            <w:r w:rsidRPr="10D3787E">
              <w:t xml:space="preserve">Chan F, Strauser D, Maher P, Lee E, Jones R, &amp; Johnson ET. (2010). Demand-Side Factors Related to Employment of People with Disabilities: A Survey of Employers in the Midwest Region of the United States. Journal of Occupational Rehabilitation, 20(4), 412–419. (104942520). </w:t>
            </w:r>
            <w:hyperlink r:id="rId29">
              <w:r w:rsidRPr="002A728D">
                <w:rPr>
                  <w:rStyle w:val="Hyperlink"/>
                  <w:rFonts w:asciiTheme="minorHAnsi" w:hAnsiTheme="minorHAnsi"/>
                </w:rPr>
                <w:t>https://doi.org/10.1007/s10926-010-9252-6</w:t>
              </w:r>
            </w:hyperlink>
          </w:p>
        </w:tc>
        <w:tc>
          <w:tcPr>
            <w:tcW w:w="557" w:type="pct"/>
          </w:tcPr>
          <w:p w14:paraId="3F738611" w14:textId="69C7C62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USA</w:t>
            </w:r>
          </w:p>
        </w:tc>
        <w:tc>
          <w:tcPr>
            <w:tcW w:w="375" w:type="pct"/>
          </w:tcPr>
          <w:p w14:paraId="72003AD3" w14:textId="3B703808"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0E74F20D" w14:textId="2916FD4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Survey</w:t>
            </w:r>
          </w:p>
        </w:tc>
        <w:tc>
          <w:tcPr>
            <w:tcW w:w="655" w:type="pct"/>
          </w:tcPr>
          <w:p w14:paraId="7AC61813" w14:textId="73FEF70C"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60217C6F" w14:textId="46AD815F"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Employer factors influencing hiring</w:t>
            </w:r>
          </w:p>
        </w:tc>
      </w:tr>
      <w:tr w:rsidR="002A728D" w14:paraId="66505319"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38DBB4D" w14:textId="41FC3274" w:rsidR="002A728D" w:rsidRDefault="002A728D" w:rsidP="002A728D">
            <w:r w:rsidRPr="10D3787E">
              <w:lastRenderedPageBreak/>
              <w:t xml:space="preserve">Che, X. X., &amp; Liu, W. (2017). The Best Practice in Researcher Employer Collaboration: A Study about Employer Practices around Disability. Analyses of Social Issues &amp; Public Policy, 17(1), 409–412. (126964258). </w:t>
            </w:r>
            <w:hyperlink r:id="rId30">
              <w:r w:rsidRPr="002A728D">
                <w:rPr>
                  <w:rStyle w:val="Hyperlink"/>
                </w:rPr>
                <w:t>https://doi.org/10.1111/asap.12138</w:t>
              </w:r>
            </w:hyperlink>
          </w:p>
        </w:tc>
        <w:tc>
          <w:tcPr>
            <w:tcW w:w="557" w:type="pct"/>
          </w:tcPr>
          <w:p w14:paraId="6306B7AC" w14:textId="6BFDFD1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Global</w:t>
            </w:r>
          </w:p>
        </w:tc>
        <w:tc>
          <w:tcPr>
            <w:tcW w:w="375" w:type="pct"/>
          </w:tcPr>
          <w:p w14:paraId="1CB0CBF4" w14:textId="5B22516A"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70042DCC" w14:textId="44160B0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Conceptual / case reflection</w:t>
            </w:r>
          </w:p>
        </w:tc>
        <w:tc>
          <w:tcPr>
            <w:tcW w:w="655" w:type="pct"/>
          </w:tcPr>
          <w:p w14:paraId="0D380539" w14:textId="254C2F0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0DC11AB6" w14:textId="705E775B"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Employer-researcher collaboration</w:t>
            </w:r>
          </w:p>
        </w:tc>
      </w:tr>
      <w:tr w:rsidR="002A728D" w14:paraId="6746C752"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D825EAA" w14:textId="04C6B0E2" w:rsidR="002A728D" w:rsidRDefault="002A728D" w:rsidP="002A728D">
            <w:r w:rsidRPr="10D3787E">
              <w:t xml:space="preserve">Choudhury Kaul, S., Alam, Q., &amp; Sandhu, M. S. (2022). Why Disability Mainstreaming is Good for Business: A New Narrative. Journal of Business Ethics, 177(4), 861–873. (156839330). </w:t>
            </w:r>
            <w:hyperlink r:id="rId31">
              <w:r w:rsidRPr="002A728D">
                <w:rPr>
                  <w:rStyle w:val="Hyperlink"/>
                </w:rPr>
                <w:t>https://doi.org/10.1007/s10551-022-05095-0</w:t>
              </w:r>
            </w:hyperlink>
          </w:p>
        </w:tc>
        <w:tc>
          <w:tcPr>
            <w:tcW w:w="557" w:type="pct"/>
          </w:tcPr>
          <w:p w14:paraId="2F6FAB18" w14:textId="6BF2BA2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Global</w:t>
            </w:r>
          </w:p>
        </w:tc>
        <w:tc>
          <w:tcPr>
            <w:tcW w:w="375" w:type="pct"/>
          </w:tcPr>
          <w:p w14:paraId="6E4323C1" w14:textId="4E9A266D"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197524E8" w14:textId="24F88CE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Conceptual</w:t>
            </w:r>
          </w:p>
        </w:tc>
        <w:tc>
          <w:tcPr>
            <w:tcW w:w="655" w:type="pct"/>
          </w:tcPr>
          <w:p w14:paraId="2A014B99" w14:textId="6634B03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38C7832E" w14:textId="18A6305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Business case for disability inclusion</w:t>
            </w:r>
          </w:p>
        </w:tc>
      </w:tr>
      <w:tr w:rsidR="002A728D" w14:paraId="434EFE98"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2AC72DD0" w14:textId="629AD59C" w:rsidR="002A728D" w:rsidRDefault="002A728D" w:rsidP="002A728D">
            <w:r w:rsidRPr="10D3787E">
              <w:t xml:space="preserve">De Dios Perez B., das Nair R., &amp; Radford K. (2023). A mixed-methods feasibility case series of a job retention vocational rehabilitation intervention for people with multiple sclerosis. Disability and Rehabilitation, ((De Dios Perez, Radford) Centre for Rehabilitation and Ageing Research, School of Medicine, University of </w:t>
            </w:r>
            <w:r w:rsidRPr="10D3787E">
              <w:lastRenderedPageBreak/>
              <w:t xml:space="preserve">Nottingham, Nottingham, United </w:t>
            </w:r>
            <w:proofErr w:type="gramStart"/>
            <w:r w:rsidRPr="10D3787E">
              <w:t>Kingdom(</w:t>
            </w:r>
            <w:proofErr w:type="gramEnd"/>
            <w:r w:rsidRPr="10D3787E">
              <w:t xml:space="preserve">das Nair) Mental Health&amp;Clinical Neurosciences, School of Medicine, University of Nottingham, Nottingham, Un), 1–12. (640434504). </w:t>
            </w:r>
            <w:hyperlink r:id="rId32">
              <w:r w:rsidRPr="002A728D">
                <w:rPr>
                  <w:rStyle w:val="Hyperlink"/>
                </w:rPr>
                <w:t>https://doi.org/10.1080/09638288.2023.2181411</w:t>
              </w:r>
            </w:hyperlink>
          </w:p>
        </w:tc>
        <w:tc>
          <w:tcPr>
            <w:tcW w:w="557" w:type="pct"/>
          </w:tcPr>
          <w:p w14:paraId="3666B605" w14:textId="0EC1ED8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UK</w:t>
            </w:r>
          </w:p>
        </w:tc>
        <w:tc>
          <w:tcPr>
            <w:tcW w:w="375" w:type="pct"/>
          </w:tcPr>
          <w:p w14:paraId="3D8D266A" w14:textId="0AC0F20D"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569C5BCC" w14:textId="3354214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 methods feasibility</w:t>
            </w:r>
          </w:p>
        </w:tc>
        <w:tc>
          <w:tcPr>
            <w:tcW w:w="655" w:type="pct"/>
          </w:tcPr>
          <w:p w14:paraId="59FD6658" w14:textId="6C99E1D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2CF95C15" w14:textId="338EAC0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Job retention intervention; small-scale</w:t>
            </w:r>
          </w:p>
        </w:tc>
      </w:tr>
      <w:tr w:rsidR="002A728D" w14:paraId="2452728C"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C3575DD" w14:textId="7E3EB7F8" w:rsidR="002A728D" w:rsidRDefault="002A728D" w:rsidP="002A728D">
            <w:r w:rsidRPr="10D3787E">
              <w:t xml:space="preserve">De Dios Pérez, B., das Nair, R., &amp; Radford, K. (2024). A mixed-methods feasibility case series of a job retention vocational rehabilitation intervention for people with multiple sclerosis. Disability and Rehabilitation: An International, Multidisciplinary Journal, 46(5), 875–886. (2024-61860-005). </w:t>
            </w:r>
            <w:hyperlink r:id="rId33">
              <w:r w:rsidRPr="002A728D">
                <w:rPr>
                  <w:rStyle w:val="Hyperlink"/>
                </w:rPr>
                <w:t>https://doi.org/10.1080/09638288.2023.2181411</w:t>
              </w:r>
            </w:hyperlink>
          </w:p>
        </w:tc>
        <w:tc>
          <w:tcPr>
            <w:tcW w:w="557" w:type="pct"/>
          </w:tcPr>
          <w:p w14:paraId="315D1C91" w14:textId="3EB13E8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UK</w:t>
            </w:r>
          </w:p>
        </w:tc>
        <w:tc>
          <w:tcPr>
            <w:tcW w:w="375" w:type="pct"/>
          </w:tcPr>
          <w:p w14:paraId="083DE014" w14:textId="27129705"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7F1A3A28" w14:textId="42350CE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 methods feasibility</w:t>
            </w:r>
          </w:p>
        </w:tc>
        <w:tc>
          <w:tcPr>
            <w:tcW w:w="655" w:type="pct"/>
          </w:tcPr>
          <w:p w14:paraId="79CD7348" w14:textId="25DF4CE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2CB91F78" w14:textId="6FF39E6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Job retention intervention; small-scale</w:t>
            </w:r>
          </w:p>
        </w:tc>
      </w:tr>
      <w:tr w:rsidR="002A728D" w14:paraId="65731200"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5D8757EF" w14:textId="699EA7C4" w:rsidR="002A728D" w:rsidRDefault="002A728D" w:rsidP="002A728D">
            <w:r w:rsidRPr="10D3787E">
              <w:t xml:space="preserve">Derbyshire, D. W., Jeanes, E., Khedmati Morasae, E., Reh, S., &amp; Rogers, M. (2024). Employer-focused interventions targeting </w:t>
            </w:r>
            <w:r w:rsidRPr="10D3787E">
              <w:lastRenderedPageBreak/>
              <w:t xml:space="preserve">disability employment: A systematic review. Social Science &amp; Medicine, 347, N.PAG-N.PAG. (176632329). </w:t>
            </w:r>
            <w:hyperlink r:id="rId34">
              <w:r w:rsidRPr="002A728D">
                <w:rPr>
                  <w:rStyle w:val="Hyperlink"/>
                </w:rPr>
                <w:t>https://doi.org/10.1016/j.socscimed.2024.116742</w:t>
              </w:r>
            </w:hyperlink>
          </w:p>
        </w:tc>
        <w:tc>
          <w:tcPr>
            <w:tcW w:w="557" w:type="pct"/>
          </w:tcPr>
          <w:p w14:paraId="5F92FE1B" w14:textId="61FC9D37"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Multi-country</w:t>
            </w:r>
          </w:p>
        </w:tc>
        <w:tc>
          <w:tcPr>
            <w:tcW w:w="375" w:type="pct"/>
          </w:tcPr>
          <w:p w14:paraId="1454E275" w14:textId="0F385A6F"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3</w:t>
            </w:r>
          </w:p>
        </w:tc>
        <w:tc>
          <w:tcPr>
            <w:tcW w:w="782" w:type="pct"/>
          </w:tcPr>
          <w:p w14:paraId="1B36D395" w14:textId="4830D47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Systematic review</w:t>
            </w:r>
          </w:p>
        </w:tc>
        <w:tc>
          <w:tcPr>
            <w:tcW w:w="655" w:type="pct"/>
          </w:tcPr>
          <w:p w14:paraId="7DC68FB3" w14:textId="4A302976"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0C8346F8" w14:textId="54A07D5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Strongest synthesis of employer-</w:t>
            </w:r>
            <w:r w:rsidRPr="10D3787E">
              <w:lastRenderedPageBreak/>
              <w:t>focused interventions</w:t>
            </w:r>
          </w:p>
        </w:tc>
      </w:tr>
      <w:tr w:rsidR="002A728D" w14:paraId="16C4FD6B"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B1969FC" w14:textId="4BA9F7CB" w:rsidR="002A728D" w:rsidRDefault="002A728D" w:rsidP="002A728D">
            <w:r w:rsidRPr="10D3787E">
              <w:lastRenderedPageBreak/>
              <w:t xml:space="preserve">dos Santos, B. B., Nascimento, J. dos S., &amp; Alonso, C. M. do C. (2025). Accommodations in the workplace for cancer survivors: A systematic review. Work, 82(4), 982–993. (189710098). </w:t>
            </w:r>
            <w:hyperlink r:id="rId35">
              <w:r w:rsidRPr="002A728D">
                <w:rPr>
                  <w:rStyle w:val="Hyperlink"/>
                </w:rPr>
                <w:t>https://doi.org/10.1177/10519815251357580</w:t>
              </w:r>
            </w:hyperlink>
          </w:p>
        </w:tc>
        <w:tc>
          <w:tcPr>
            <w:tcW w:w="557" w:type="pct"/>
          </w:tcPr>
          <w:p w14:paraId="42497730" w14:textId="06E23A7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Multi-country</w:t>
            </w:r>
          </w:p>
        </w:tc>
        <w:tc>
          <w:tcPr>
            <w:tcW w:w="375" w:type="pct"/>
          </w:tcPr>
          <w:p w14:paraId="56E41B75" w14:textId="7FF20FF7"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2–3</w:t>
            </w:r>
          </w:p>
        </w:tc>
        <w:tc>
          <w:tcPr>
            <w:tcW w:w="782" w:type="pct"/>
          </w:tcPr>
          <w:p w14:paraId="1AF02E70" w14:textId="398C4FF4"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Systematic review</w:t>
            </w:r>
          </w:p>
        </w:tc>
        <w:tc>
          <w:tcPr>
            <w:tcW w:w="655" w:type="pct"/>
          </w:tcPr>
          <w:p w14:paraId="555C5D18" w14:textId="7DF45F0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26D71320" w14:textId="4E32E5C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Workplace accommodations; moderate strength</w:t>
            </w:r>
          </w:p>
        </w:tc>
      </w:tr>
      <w:tr w:rsidR="002A728D" w14:paraId="3BD4E30D"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F79E030" w14:textId="5468E846" w:rsidR="002A728D" w:rsidRDefault="002A728D" w:rsidP="002A728D">
            <w:r w:rsidRPr="10D3787E">
              <w:t xml:space="preserve">Enehaug, H., Spjelkavik, Ø., Falkum, E., &amp; Frøyland, K. (2021). Workplace Inclusion Competence and Employer Engagement. Nordic Journal of Working Life Studies. </w:t>
            </w:r>
            <w:hyperlink r:id="rId36">
              <w:r w:rsidRPr="002A728D">
                <w:rPr>
                  <w:rStyle w:val="Hyperlink"/>
                </w:rPr>
                <w:t>https://doi.org/10.18291/njwls.128260</w:t>
              </w:r>
            </w:hyperlink>
          </w:p>
        </w:tc>
        <w:tc>
          <w:tcPr>
            <w:tcW w:w="557" w:type="pct"/>
          </w:tcPr>
          <w:p w14:paraId="0E98C93B" w14:textId="0E98034B"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Nordic</w:t>
            </w:r>
          </w:p>
        </w:tc>
        <w:tc>
          <w:tcPr>
            <w:tcW w:w="375" w:type="pct"/>
          </w:tcPr>
          <w:p w14:paraId="1A562628" w14:textId="045B670D"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1–2</w:t>
            </w:r>
          </w:p>
        </w:tc>
        <w:tc>
          <w:tcPr>
            <w:tcW w:w="782" w:type="pct"/>
          </w:tcPr>
          <w:p w14:paraId="5232F45C" w14:textId="76FE7186"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 / qualitative</w:t>
            </w:r>
          </w:p>
        </w:tc>
        <w:tc>
          <w:tcPr>
            <w:tcW w:w="655" w:type="pct"/>
          </w:tcPr>
          <w:p w14:paraId="5178FD0F" w14:textId="2767CC6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496A4604" w14:textId="755B3B4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Inclusion competence; practice-focused</w:t>
            </w:r>
          </w:p>
        </w:tc>
      </w:tr>
      <w:tr w:rsidR="002A728D" w14:paraId="54216262"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FCE7D2D" w14:textId="7EADBC45" w:rsidR="002A728D" w:rsidRDefault="002A728D" w:rsidP="002A728D">
            <w:r w:rsidRPr="10D3787E">
              <w:t xml:space="preserve">FRØYLAND, K., ANDREASSEN, T. A., &amp; INNVÆR, S. (2019). Contrasting Supply-side, Demand-side and Combined Approaches to </w:t>
            </w:r>
            <w:r w:rsidRPr="10D3787E">
              <w:lastRenderedPageBreak/>
              <w:t xml:space="preserve">Labour Market Integration. Journal of Social Policy, 48(2), 311–328. (135256975). </w:t>
            </w:r>
            <w:hyperlink r:id="rId37">
              <w:r w:rsidRPr="002A728D">
                <w:rPr>
                  <w:rStyle w:val="Hyperlink"/>
                </w:rPr>
                <w:t>https://doi.org/10.1017/S0047279418000491</w:t>
              </w:r>
            </w:hyperlink>
          </w:p>
        </w:tc>
        <w:tc>
          <w:tcPr>
            <w:tcW w:w="557" w:type="pct"/>
          </w:tcPr>
          <w:p w14:paraId="67D96E90" w14:textId="4A2ED16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Norway</w:t>
            </w:r>
          </w:p>
        </w:tc>
        <w:tc>
          <w:tcPr>
            <w:tcW w:w="375" w:type="pct"/>
          </w:tcPr>
          <w:p w14:paraId="1F57DA3E" w14:textId="418D1BFD"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22A14ECE" w14:textId="6598509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Comparative policy</w:t>
            </w:r>
          </w:p>
        </w:tc>
        <w:tc>
          <w:tcPr>
            <w:tcW w:w="655" w:type="pct"/>
          </w:tcPr>
          <w:p w14:paraId="6442E77B" w14:textId="6287B5F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w:t>
            </w:r>
          </w:p>
        </w:tc>
        <w:tc>
          <w:tcPr>
            <w:tcW w:w="741" w:type="pct"/>
          </w:tcPr>
          <w:p w14:paraId="76C82495" w14:textId="28F4247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 xml:space="preserve">Supply vs demand </w:t>
            </w:r>
            <w:r w:rsidRPr="10D3787E">
              <w:lastRenderedPageBreak/>
              <w:t>approaches</w:t>
            </w:r>
          </w:p>
        </w:tc>
      </w:tr>
      <w:tr w:rsidR="002A728D" w14:paraId="60E3FB7E"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9B8D66E" w14:textId="2CE6D22E" w:rsidR="002A728D" w:rsidRDefault="002A728D" w:rsidP="002A728D">
            <w:r w:rsidRPr="10D3787E">
              <w:lastRenderedPageBreak/>
              <w:t xml:space="preserve">Frøyland, K., Breit, E., &amp; Spjelkavik, Ø. (2025). Engaged employers – engaged workplaces? Exploring workplace resistance to work inclusion of Persons with Disabilities (PwD). Work, 82(1), 111–119. (187409760). </w:t>
            </w:r>
            <w:hyperlink r:id="rId38">
              <w:r w:rsidRPr="002A728D">
                <w:rPr>
                  <w:rStyle w:val="Hyperlink"/>
                </w:rPr>
                <w:t>https://doi.org/10.1177/10519815251335786</w:t>
              </w:r>
            </w:hyperlink>
          </w:p>
        </w:tc>
        <w:tc>
          <w:tcPr>
            <w:tcW w:w="557" w:type="pct"/>
          </w:tcPr>
          <w:p w14:paraId="7FDB5BB2" w14:textId="29C5DC7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Norway</w:t>
            </w:r>
          </w:p>
        </w:tc>
        <w:tc>
          <w:tcPr>
            <w:tcW w:w="375" w:type="pct"/>
          </w:tcPr>
          <w:p w14:paraId="3D0DEE09" w14:textId="5D779093"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02416C89" w14:textId="70F3338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Qualitative</w:t>
            </w:r>
          </w:p>
        </w:tc>
        <w:tc>
          <w:tcPr>
            <w:tcW w:w="655" w:type="pct"/>
          </w:tcPr>
          <w:p w14:paraId="2189401F" w14:textId="3568D08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Pr>
          <w:p w14:paraId="74D053D8" w14:textId="10D6CFB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Workplace resistance to inclusion</w:t>
            </w:r>
          </w:p>
        </w:tc>
      </w:tr>
      <w:tr w:rsidR="002A728D" w14:paraId="68731258"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2D2BD38E" w14:textId="3D467D3F" w:rsidR="002A728D" w:rsidRDefault="002A728D" w:rsidP="002A728D">
            <w:r w:rsidRPr="10D3787E">
              <w:t xml:space="preserve">Froyland, K., &amp; Nordberg, T. (2025). Wadel’s Concept of ‘incorporation’: A Means of Improving Sustainable Work Inclusion? NORDIC JOURNAL OF WORKING LIFE STUDIES, 15(1), 5–27. (WOS:001437317600002). </w:t>
            </w:r>
            <w:hyperlink r:id="rId39">
              <w:r w:rsidRPr="002A728D">
                <w:rPr>
                  <w:rStyle w:val="Hyperlink"/>
                </w:rPr>
                <w:t>https://doi.org/10.18291/njwls.147335</w:t>
              </w:r>
            </w:hyperlink>
          </w:p>
        </w:tc>
        <w:tc>
          <w:tcPr>
            <w:tcW w:w="557" w:type="pct"/>
          </w:tcPr>
          <w:p w14:paraId="42916362" w14:textId="0C14F76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Nordic</w:t>
            </w:r>
          </w:p>
        </w:tc>
        <w:tc>
          <w:tcPr>
            <w:tcW w:w="375" w:type="pct"/>
          </w:tcPr>
          <w:p w14:paraId="010C387D" w14:textId="4EF2452C"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2000D7A1" w14:textId="18CCBA1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Conceptual / qualitative</w:t>
            </w:r>
          </w:p>
        </w:tc>
        <w:tc>
          <w:tcPr>
            <w:tcW w:w="655" w:type="pct"/>
          </w:tcPr>
          <w:p w14:paraId="401BEC3C" w14:textId="597B416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w:t>
            </w:r>
          </w:p>
        </w:tc>
        <w:tc>
          <w:tcPr>
            <w:tcW w:w="741" w:type="pct"/>
          </w:tcPr>
          <w:p w14:paraId="646AC6EE" w14:textId="20CE2D10"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Incorporation concept</w:t>
            </w:r>
          </w:p>
        </w:tc>
      </w:tr>
      <w:tr w:rsidR="002A728D" w14:paraId="51928754"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72F1FA1" w14:textId="724D1028" w:rsidR="002A728D" w:rsidRDefault="002A728D" w:rsidP="002A728D">
            <w:r w:rsidRPr="10D3787E">
              <w:t xml:space="preserve">Habeck R, Hunt A, Rachel CH, Kregel J, &amp; Chan F. (2010). Employee Retention and Integrated Disability Management Practices </w:t>
            </w:r>
            <w:r w:rsidRPr="10D3787E">
              <w:lastRenderedPageBreak/>
              <w:t xml:space="preserve">as Demand Side Factors. Journal of Occupational Rehabilitation, 20(4), 443–455. (104942511). </w:t>
            </w:r>
            <w:hyperlink r:id="rId40">
              <w:r w:rsidRPr="002A728D">
                <w:rPr>
                  <w:rStyle w:val="Hyperlink"/>
                </w:rPr>
                <w:t>https://doi.org/10.1007/s10926-009-9225-9</w:t>
              </w:r>
            </w:hyperlink>
          </w:p>
        </w:tc>
        <w:tc>
          <w:tcPr>
            <w:tcW w:w="557" w:type="pct"/>
          </w:tcPr>
          <w:p w14:paraId="44F66B99" w14:textId="2175458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USA</w:t>
            </w:r>
          </w:p>
        </w:tc>
        <w:tc>
          <w:tcPr>
            <w:tcW w:w="375" w:type="pct"/>
          </w:tcPr>
          <w:p w14:paraId="05785F60" w14:textId="3F5486CC"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0896160D" w14:textId="226B326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Quantitative</w:t>
            </w:r>
          </w:p>
        </w:tc>
        <w:tc>
          <w:tcPr>
            <w:tcW w:w="655" w:type="pct"/>
          </w:tcPr>
          <w:p w14:paraId="06AD9A1F" w14:textId="363FC4C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456DC6FE" w14:textId="771CEB5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 xml:space="preserve">Disability management linked to </w:t>
            </w:r>
            <w:r w:rsidRPr="10D3787E">
              <w:lastRenderedPageBreak/>
              <w:t>retention</w:t>
            </w:r>
          </w:p>
        </w:tc>
      </w:tr>
      <w:tr w:rsidR="002A728D" w14:paraId="56A34CDB"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9D96DEA" w14:textId="3A9DF093" w:rsidR="002A728D" w:rsidRDefault="002A728D" w:rsidP="002A728D">
            <w:r w:rsidRPr="10D3787E">
              <w:lastRenderedPageBreak/>
              <w:t xml:space="preserve">Habeck R, Kregel J, Head C, &amp; Yasuda S. (2007). Salient and subtle aspects of demand side approaches for employment retention: Lessons for public policymakers. Journal of Vocational Rehabilitation, 26(1), 21–27. (106121077). </w:t>
            </w:r>
            <w:hyperlink r:id="rId41">
              <w:r w:rsidRPr="002A728D">
                <w:rPr>
                  <w:rStyle w:val="Hyperlink"/>
                </w:rPr>
                <w:t>https://doi.org/10.3233/jvr-2007-00359</w:t>
              </w:r>
            </w:hyperlink>
          </w:p>
        </w:tc>
        <w:tc>
          <w:tcPr>
            <w:tcW w:w="557" w:type="pct"/>
          </w:tcPr>
          <w:p w14:paraId="37BA65B5" w14:textId="6EF8A454"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USA</w:t>
            </w:r>
          </w:p>
        </w:tc>
        <w:tc>
          <w:tcPr>
            <w:tcW w:w="375" w:type="pct"/>
          </w:tcPr>
          <w:p w14:paraId="59C438CF" w14:textId="28C40379"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19E6E0D8" w14:textId="7B648160"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Policy analysis</w:t>
            </w:r>
          </w:p>
        </w:tc>
        <w:tc>
          <w:tcPr>
            <w:tcW w:w="655" w:type="pct"/>
          </w:tcPr>
          <w:p w14:paraId="394AB457" w14:textId="1CE44AC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3EDC6EA9" w14:textId="006D60A5"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Demand-side retention strategies</w:t>
            </w:r>
          </w:p>
        </w:tc>
      </w:tr>
      <w:tr w:rsidR="002A728D" w14:paraId="1C6878EF"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B85AA10" w14:textId="552EBF48" w:rsidR="002A728D" w:rsidRDefault="002A728D" w:rsidP="002A728D">
            <w:r w:rsidRPr="10D3787E">
              <w:t xml:space="preserve">Haines, K., Soldner, J., Zhang, L., Saint Laurent, M., Knabe, B., West-Evans, K., Mock, L., &amp; Foley, S. (2018). Vocational rehabilitation and business relations: Preliminary indicators of state VR agency capacity. JOURNAL OF VOCATIONAL REHABILITATION, 48(1), 133–145. (WOS:000426253900011). </w:t>
            </w:r>
            <w:hyperlink r:id="rId42">
              <w:r w:rsidRPr="002A728D">
                <w:rPr>
                  <w:rStyle w:val="Hyperlink"/>
                </w:rPr>
                <w:t>https://doi.org/10.3233/JVR-170921</w:t>
              </w:r>
            </w:hyperlink>
          </w:p>
        </w:tc>
        <w:tc>
          <w:tcPr>
            <w:tcW w:w="557" w:type="pct"/>
          </w:tcPr>
          <w:p w14:paraId="11543F3D" w14:textId="7FD2BEB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48E3103C" w14:textId="02C5F7C0"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5A111D73" w14:textId="69A3B85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Quantitative</w:t>
            </w:r>
          </w:p>
        </w:tc>
        <w:tc>
          <w:tcPr>
            <w:tcW w:w="655" w:type="pct"/>
          </w:tcPr>
          <w:p w14:paraId="281BAB89" w14:textId="024FE3F3"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0A4340E2" w14:textId="5485E2ED"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VR agency capacity and employer engagement</w:t>
            </w:r>
          </w:p>
        </w:tc>
      </w:tr>
      <w:tr w:rsidR="002A728D" w14:paraId="346035A5"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48FCD5F" w14:textId="7509F97A" w:rsidR="002A728D" w:rsidRDefault="002A728D" w:rsidP="002A728D">
            <w:r w:rsidRPr="10D3787E">
              <w:lastRenderedPageBreak/>
              <w:t xml:space="preserve">Harris, C., Switzer, E., &amp; Gower, W. S. (2017). The Diversity Partners Project: Multi-systemic knowledge translation and business engagement strategies to improve employment of people with disabilities. Journal of Vocational Rehabilitation, 46(3), 273–285. (123414259). </w:t>
            </w:r>
            <w:hyperlink r:id="rId43">
              <w:r w:rsidRPr="002A728D">
                <w:rPr>
                  <w:rStyle w:val="Hyperlink"/>
                </w:rPr>
                <w:t>https://doi.org/10.3233/JVR-170862</w:t>
              </w:r>
            </w:hyperlink>
          </w:p>
        </w:tc>
        <w:tc>
          <w:tcPr>
            <w:tcW w:w="557" w:type="pct"/>
          </w:tcPr>
          <w:p w14:paraId="0B6EE357" w14:textId="7E8B4F14"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USA</w:t>
            </w:r>
          </w:p>
        </w:tc>
        <w:tc>
          <w:tcPr>
            <w:tcW w:w="375" w:type="pct"/>
          </w:tcPr>
          <w:p w14:paraId="7048DEAF" w14:textId="7FBE3C77"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0DE481D2" w14:textId="13DF158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Programme evaluation</w:t>
            </w:r>
          </w:p>
        </w:tc>
        <w:tc>
          <w:tcPr>
            <w:tcW w:w="655" w:type="pct"/>
          </w:tcPr>
          <w:p w14:paraId="2748FA5A" w14:textId="165DE0E5"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15A0C826" w14:textId="45DCC5D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Multi-system engagement strategy</w:t>
            </w:r>
          </w:p>
        </w:tc>
      </w:tr>
      <w:tr w:rsidR="002A728D" w14:paraId="1305CAFF"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AFE9E1F" w14:textId="164F83EF" w:rsidR="002A728D" w:rsidRDefault="002A728D" w:rsidP="002A728D">
            <w:r w:rsidRPr="10D3787E">
              <w:t>Havranek, J. E. (2005). Review of Working relationships: Creating career opportunities for job seekers with disabilities through employer partnerships. Journal of Applied Rehabilitation Counseling, 36(2), 43–43. (2005-07980-009).</w:t>
            </w:r>
          </w:p>
        </w:tc>
        <w:tc>
          <w:tcPr>
            <w:tcW w:w="557" w:type="pct"/>
          </w:tcPr>
          <w:p w14:paraId="75BF0B11" w14:textId="0077EE87"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757F8E72" w14:textId="40229885"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24D33BD0" w14:textId="1ED892A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Book review</w:t>
            </w:r>
          </w:p>
        </w:tc>
        <w:tc>
          <w:tcPr>
            <w:tcW w:w="655" w:type="pct"/>
          </w:tcPr>
          <w:p w14:paraId="2F013ECE" w14:textId="70309AF7"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Neutral</w:t>
            </w:r>
          </w:p>
        </w:tc>
        <w:tc>
          <w:tcPr>
            <w:tcW w:w="741" w:type="pct"/>
          </w:tcPr>
          <w:p w14:paraId="59EDF090" w14:textId="047DB07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Commentary only</w:t>
            </w:r>
          </w:p>
        </w:tc>
      </w:tr>
      <w:tr w:rsidR="002A728D" w14:paraId="73AD622A"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0889546" w14:textId="4431C7B2" w:rsidR="002A728D" w:rsidRDefault="002A728D" w:rsidP="002A728D">
            <w:r w:rsidRPr="10D3787E">
              <w:t xml:space="preserve">Hyggen, C., &amp; Vedeler, J. (2021). Employer Engagement and Active Labour Market Policies. Evidence from a Norwegian Multi-Method Study. SOCIAL POLICY AND SOCIETY, 20(4), 548–560. (WOS:000721235400004). </w:t>
            </w:r>
            <w:hyperlink r:id="rId44">
              <w:r w:rsidRPr="002A728D">
                <w:rPr>
                  <w:rStyle w:val="Hyperlink"/>
                </w:rPr>
                <w:t>https://doi.org/10.1017/S1474746420000421</w:t>
              </w:r>
            </w:hyperlink>
          </w:p>
        </w:tc>
        <w:tc>
          <w:tcPr>
            <w:tcW w:w="557" w:type="pct"/>
          </w:tcPr>
          <w:p w14:paraId="34DEFEB7" w14:textId="5B95F7BF"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Norway</w:t>
            </w:r>
          </w:p>
        </w:tc>
        <w:tc>
          <w:tcPr>
            <w:tcW w:w="375" w:type="pct"/>
          </w:tcPr>
          <w:p w14:paraId="053CCC32" w14:textId="0A41F751"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2F13A286" w14:textId="5A40DBC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Multi-method</w:t>
            </w:r>
          </w:p>
        </w:tc>
        <w:tc>
          <w:tcPr>
            <w:tcW w:w="655" w:type="pct"/>
          </w:tcPr>
          <w:p w14:paraId="780E44B1" w14:textId="1F74F64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4A070700" w14:textId="0DCFDBA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ALMP employer engagement</w:t>
            </w:r>
          </w:p>
        </w:tc>
      </w:tr>
      <w:tr w:rsidR="002A728D" w14:paraId="58AD6CF0"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28B18EE" w14:textId="25B4C54D" w:rsidR="002A728D" w:rsidRDefault="002A728D" w:rsidP="002A728D">
            <w:r w:rsidRPr="10D3787E">
              <w:t>Ingold, J., Kakhkharov, J., &amp; Lee, Q. Y. (2025). The Case for Reorienting Active Labour Market Policies Towards the Demand</w:t>
            </w:r>
            <w:r w:rsidRPr="10D3787E">
              <w:rPr>
                <w:rFonts w:ascii="Cambria Math" w:eastAsia="Cambria Math" w:hAnsi="Cambria Math" w:cs="Cambria Math"/>
              </w:rPr>
              <w:t>‐</w:t>
            </w:r>
            <w:r w:rsidRPr="10D3787E">
              <w:t xml:space="preserve">Side. Australian Economic Review, 58(4), 326–331. </w:t>
            </w:r>
            <w:hyperlink r:id="rId45">
              <w:r w:rsidRPr="002A728D">
                <w:rPr>
                  <w:rStyle w:val="Hyperlink"/>
                </w:rPr>
                <w:t>https://doi.org/10.1111/1467-8462.70035</w:t>
              </w:r>
            </w:hyperlink>
          </w:p>
          <w:p w14:paraId="398AD304" w14:textId="0630B721" w:rsidR="002A728D" w:rsidRDefault="002A728D" w:rsidP="002A728D">
            <w:r w:rsidRPr="10D3787E">
              <w:t xml:space="preserve"> </w:t>
            </w:r>
          </w:p>
        </w:tc>
        <w:tc>
          <w:tcPr>
            <w:tcW w:w="557" w:type="pct"/>
          </w:tcPr>
          <w:p w14:paraId="4C34A784" w14:textId="6C5819F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Australia / OECD</w:t>
            </w:r>
          </w:p>
        </w:tc>
        <w:tc>
          <w:tcPr>
            <w:tcW w:w="375" w:type="pct"/>
          </w:tcPr>
          <w:p w14:paraId="67E7FDD4" w14:textId="1FB99F77"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44282195" w14:textId="44B17BD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Policy analysis / conceptual</w:t>
            </w:r>
          </w:p>
        </w:tc>
        <w:tc>
          <w:tcPr>
            <w:tcW w:w="655" w:type="pct"/>
          </w:tcPr>
          <w:p w14:paraId="01DB6B9B" w14:textId="7629042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 (normative)</w:t>
            </w:r>
          </w:p>
        </w:tc>
        <w:tc>
          <w:tcPr>
            <w:tcW w:w="741" w:type="pct"/>
          </w:tcPr>
          <w:p w14:paraId="1C5E6FF2" w14:textId="342323A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Argues for demand-side reorientation; no empirical testing of outcomes. Strong policy relevance, weak causal evidence.</w:t>
            </w:r>
          </w:p>
        </w:tc>
      </w:tr>
      <w:tr w:rsidR="002A728D" w14:paraId="2C3D4494"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A2E93E4" w14:textId="208E073B" w:rsidR="002A728D" w:rsidRDefault="002A728D" w:rsidP="002A728D">
            <w:r w:rsidRPr="10D3787E">
              <w:t xml:space="preserve">Ingold, J. (2018). Employer engagement in active labour market programmes: The role of boundary spanners. Public Administration, 96(4), 707–720. </w:t>
            </w:r>
            <w:hyperlink r:id="rId46">
              <w:r w:rsidRPr="002A728D">
                <w:rPr>
                  <w:rStyle w:val="Hyperlink"/>
                </w:rPr>
                <w:t>https://doi.org/10.1111/padm.12545</w:t>
              </w:r>
            </w:hyperlink>
          </w:p>
          <w:p w14:paraId="0746048C" w14:textId="3095EA0A" w:rsidR="002A728D" w:rsidRDefault="002A728D" w:rsidP="002A728D">
            <w:r w:rsidRPr="10D3787E">
              <w:t xml:space="preserve"> </w:t>
            </w:r>
          </w:p>
        </w:tc>
        <w:tc>
          <w:tcPr>
            <w:tcW w:w="557" w:type="pct"/>
          </w:tcPr>
          <w:p w14:paraId="14872F88" w14:textId="27C253B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UK</w:t>
            </w:r>
          </w:p>
        </w:tc>
        <w:tc>
          <w:tcPr>
            <w:tcW w:w="375" w:type="pct"/>
          </w:tcPr>
          <w:p w14:paraId="762C7D67" w14:textId="2F27652F"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1D3A87D3" w14:textId="07AC4054"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Qualitative (interviews, case study)</w:t>
            </w:r>
          </w:p>
        </w:tc>
        <w:tc>
          <w:tcPr>
            <w:tcW w:w="655" w:type="pct"/>
          </w:tcPr>
          <w:p w14:paraId="6687C55F" w14:textId="36BE5FA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4C61DB73" w14:textId="49CDB01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 xml:space="preserve">Examines “boundary spanners” in employer engagement; rich mechanism insight but no outcome or </w:t>
            </w:r>
            <w:r w:rsidRPr="10D3787E">
              <w:lastRenderedPageBreak/>
              <w:t>effectiveness testing.</w:t>
            </w:r>
          </w:p>
        </w:tc>
      </w:tr>
      <w:tr w:rsidR="002A728D" w14:paraId="3689C4CE"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5B8A6AA" w14:textId="4F470B01" w:rsidR="002A728D" w:rsidRDefault="002A728D" w:rsidP="002A728D">
            <w:r w:rsidRPr="10D3787E">
              <w:lastRenderedPageBreak/>
              <w:t xml:space="preserve">Ingold, J., Knox, A., Macaulay, L., &amp; Senewiratne, S. (2023). ‘What about me?’: An analysis of employers’ engagement with employment service providers in Australia. Journal of Industrial Relations, 65(3), 251–273. </w:t>
            </w:r>
            <w:hyperlink r:id="rId47">
              <w:r w:rsidRPr="002A728D">
                <w:rPr>
                  <w:rStyle w:val="Hyperlink"/>
                </w:rPr>
                <w:t>https://doi.org/10.1177/00221856231159512</w:t>
              </w:r>
            </w:hyperlink>
          </w:p>
          <w:p w14:paraId="67DF19C9" w14:textId="7791B675" w:rsidR="002A728D" w:rsidRDefault="002A728D" w:rsidP="002A728D">
            <w:r w:rsidRPr="10D3787E">
              <w:t xml:space="preserve"> </w:t>
            </w:r>
          </w:p>
        </w:tc>
        <w:tc>
          <w:tcPr>
            <w:tcW w:w="557" w:type="pct"/>
          </w:tcPr>
          <w:p w14:paraId="1D565A48" w14:textId="3B256736"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Australia</w:t>
            </w:r>
          </w:p>
        </w:tc>
        <w:tc>
          <w:tcPr>
            <w:tcW w:w="375" w:type="pct"/>
          </w:tcPr>
          <w:p w14:paraId="3B68D313" w14:textId="15618475"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2BA84F71" w14:textId="6B1FBB7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Qualitative (employer interviews)</w:t>
            </w:r>
          </w:p>
        </w:tc>
        <w:tc>
          <w:tcPr>
            <w:tcW w:w="655" w:type="pct"/>
          </w:tcPr>
          <w:p w14:paraId="207D5A17" w14:textId="3B3913E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Pr>
          <w:p w14:paraId="31EE334A" w14:textId="4AD5056B"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Highly relevant Australian study; captures employer experiences and tensions but purely descriptive (no causal inference).</w:t>
            </w:r>
          </w:p>
        </w:tc>
      </w:tr>
      <w:tr w:rsidR="002A728D" w14:paraId="436005F6"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7DA9A31" w14:textId="53669E49" w:rsidR="002A728D" w:rsidRDefault="002A728D" w:rsidP="002A728D">
            <w:r w:rsidRPr="10D3787E">
              <w:t xml:space="preserve">Ingold, J., &amp; Stuart, M. (2015). The Demand-Side of Active Labour Market Policies: A Regional Study of Employer Engagement in the Work Programme. J. Soc. Pol., 44(3), 443–462. </w:t>
            </w:r>
            <w:hyperlink r:id="rId48">
              <w:r w:rsidRPr="002A728D">
                <w:rPr>
                  <w:rStyle w:val="Hyperlink"/>
                </w:rPr>
                <w:t>https://doi.org/10.1017/S0047279414000890</w:t>
              </w:r>
            </w:hyperlink>
          </w:p>
          <w:p w14:paraId="311588E7" w14:textId="2F52D715" w:rsidR="002A728D" w:rsidRDefault="002A728D" w:rsidP="002A728D">
            <w:r w:rsidRPr="10D3787E">
              <w:t xml:space="preserve"> </w:t>
            </w:r>
          </w:p>
        </w:tc>
        <w:tc>
          <w:tcPr>
            <w:tcW w:w="557" w:type="pct"/>
          </w:tcPr>
          <w:p w14:paraId="0BEB061F" w14:textId="660A4A3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UK</w:t>
            </w:r>
          </w:p>
        </w:tc>
        <w:tc>
          <w:tcPr>
            <w:tcW w:w="375" w:type="pct"/>
          </w:tcPr>
          <w:p w14:paraId="161F5F56" w14:textId="592341D0"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298F360A" w14:textId="2329D00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 methods (regional study)</w:t>
            </w:r>
          </w:p>
        </w:tc>
        <w:tc>
          <w:tcPr>
            <w:tcW w:w="655" w:type="pct"/>
          </w:tcPr>
          <w:p w14:paraId="5ECD1A36" w14:textId="6226A015"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Mixed–Positive</w:t>
            </w:r>
          </w:p>
        </w:tc>
        <w:tc>
          <w:tcPr>
            <w:tcW w:w="741" w:type="pct"/>
          </w:tcPr>
          <w:p w14:paraId="3265E169" w14:textId="3390C28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 xml:space="preserve">Identifies patterns in employer engagement in ALMPs; provides associational evidence, not </w:t>
            </w:r>
            <w:r w:rsidRPr="10D3787E">
              <w:lastRenderedPageBreak/>
              <w:t>causal.</w:t>
            </w:r>
          </w:p>
        </w:tc>
      </w:tr>
      <w:tr w:rsidR="002A728D" w14:paraId="65894C71"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C7D1095" w14:textId="624F55E3" w:rsidR="002A728D" w:rsidRPr="002A728D" w:rsidRDefault="002A728D" w:rsidP="002A728D">
            <w:pPr>
              <w:rPr>
                <w:rStyle w:val="Hyperlink"/>
              </w:rPr>
            </w:pPr>
            <w:r w:rsidRPr="10D3787E">
              <w:lastRenderedPageBreak/>
              <w:t xml:space="preserve">Ingold, J., &amp; Valizade, D. (2017). Employers’ recruitment of disadvantaged groups: Exploring the effect of active labour market programme agencies as labour market intermediaries. Human Res Mgmt Journal, 27(4), 530–547. </w:t>
            </w:r>
            <w:hyperlink r:id="rId49">
              <w:r w:rsidRPr="002A728D">
                <w:rPr>
                  <w:rStyle w:val="Hyperlink"/>
                </w:rPr>
                <w:t>https://doi.org/10.1111/1748-8583.12154</w:t>
              </w:r>
            </w:hyperlink>
          </w:p>
          <w:p w14:paraId="7A7B2951" w14:textId="10ECC434" w:rsidR="002A728D" w:rsidRDefault="002A728D" w:rsidP="002A728D">
            <w:r w:rsidRPr="10D3787E">
              <w:t xml:space="preserve"> </w:t>
            </w:r>
          </w:p>
        </w:tc>
        <w:tc>
          <w:tcPr>
            <w:tcW w:w="557" w:type="pct"/>
          </w:tcPr>
          <w:p w14:paraId="5A0CE8D8" w14:textId="47F53213"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UK</w:t>
            </w:r>
          </w:p>
        </w:tc>
        <w:tc>
          <w:tcPr>
            <w:tcW w:w="375" w:type="pct"/>
          </w:tcPr>
          <w:p w14:paraId="442DB57F" w14:textId="38A0A314"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31726C5B" w14:textId="5000A7A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Quantitative (survey analysis)</w:t>
            </w:r>
          </w:p>
        </w:tc>
        <w:tc>
          <w:tcPr>
            <w:tcW w:w="655" w:type="pct"/>
          </w:tcPr>
          <w:p w14:paraId="6C5A117F" w14:textId="2716D257"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6A7E9686" w14:textId="4C88E4E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Shows intermediaries influence recruitment of disadvantaged groups; correlational relationships.</w:t>
            </w:r>
          </w:p>
        </w:tc>
      </w:tr>
      <w:tr w:rsidR="002A728D" w14:paraId="7E876AE1" w14:textId="77777777" w:rsidTr="002A728D">
        <w:trPr>
          <w:cnfStyle w:val="000000010000" w:firstRow="0" w:lastRow="0" w:firstColumn="0" w:lastColumn="0" w:oddVBand="0" w:evenVBand="0" w:oddHBand="0" w:evenHBand="1" w:firstRowFirstColumn="0" w:firstRowLastColumn="0" w:lastRowFirstColumn="0" w:lastRowLastColumn="0"/>
          <w:trHeight w:val="2775"/>
        </w:trPr>
        <w:tc>
          <w:tcPr>
            <w:cnfStyle w:val="001000000000" w:firstRow="0" w:lastRow="0" w:firstColumn="1" w:lastColumn="0" w:oddVBand="0" w:evenVBand="0" w:oddHBand="0" w:evenHBand="0" w:firstRowFirstColumn="0" w:firstRowLastColumn="0" w:lastRowFirstColumn="0" w:lastRowLastColumn="0"/>
            <w:tcW w:w="1890" w:type="pct"/>
          </w:tcPr>
          <w:p w14:paraId="065147BE" w14:textId="05DDB904" w:rsidR="002A728D" w:rsidRDefault="002A728D" w:rsidP="002A728D">
            <w:r w:rsidRPr="76BF6B29">
              <w:t xml:space="preserve">Irwin, P. (2008). Competencies and employer engagement. Asia Pacific Education Review, 9(1), 63–69. </w:t>
            </w:r>
            <w:hyperlink r:id="rId50">
              <w:r w:rsidRPr="002A728D">
                <w:rPr>
                  <w:rStyle w:val="Hyperlink"/>
                </w:rPr>
                <w:t>https://doi.org/10.1007/BF03025826</w:t>
              </w:r>
            </w:hyperlink>
          </w:p>
        </w:tc>
        <w:tc>
          <w:tcPr>
            <w:tcW w:w="557" w:type="pct"/>
          </w:tcPr>
          <w:p w14:paraId="0F94C25B" w14:textId="52E8BC3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76BF6B29">
              <w:t>Global</w:t>
            </w:r>
          </w:p>
        </w:tc>
        <w:tc>
          <w:tcPr>
            <w:tcW w:w="375" w:type="pct"/>
          </w:tcPr>
          <w:p w14:paraId="0EC54C54" w14:textId="059CF9EE" w:rsidR="002A728D" w:rsidRPr="76BF6B29" w:rsidRDefault="002A728D" w:rsidP="002A728D">
            <w:pPr>
              <w:cnfStyle w:val="000000010000" w:firstRow="0" w:lastRow="0" w:firstColumn="0" w:lastColumn="0" w:oddVBand="0" w:evenVBand="0" w:oddHBand="0" w:evenHBand="1" w:firstRowFirstColumn="0" w:firstRowLastColumn="0" w:lastRowFirstColumn="0" w:lastRowLastColumn="0"/>
            </w:pPr>
            <w:r w:rsidRPr="76BF6B29">
              <w:t>1</w:t>
            </w:r>
          </w:p>
        </w:tc>
        <w:tc>
          <w:tcPr>
            <w:tcW w:w="782" w:type="pct"/>
          </w:tcPr>
          <w:p w14:paraId="7F7D96E6" w14:textId="48B97B8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76BF6B29">
              <w:t>Conceptual</w:t>
            </w:r>
          </w:p>
        </w:tc>
        <w:tc>
          <w:tcPr>
            <w:tcW w:w="655" w:type="pct"/>
          </w:tcPr>
          <w:p w14:paraId="12289FDB" w14:textId="79726B9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76BF6B29">
              <w:t>Neutral</w:t>
            </w:r>
          </w:p>
        </w:tc>
        <w:tc>
          <w:tcPr>
            <w:tcW w:w="741" w:type="pct"/>
          </w:tcPr>
          <w:p w14:paraId="5F895444" w14:textId="3D11C97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76BF6B29">
              <w:t>Competency framework for employer engagement; no empirical validation.</w:t>
            </w:r>
          </w:p>
        </w:tc>
      </w:tr>
      <w:tr w:rsidR="002A728D" w14:paraId="00D1EABE"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59613C9" w14:textId="6AC6D97F" w:rsidR="002A728D" w:rsidRDefault="002A728D" w:rsidP="002A728D">
            <w:r w:rsidRPr="10D3787E">
              <w:t xml:space="preserve">Jammaers, E., &amp; Zanoni, P. (2021). The Identity Regulation of Disabled Employees: Unveiling the ‘varieties of ableism’ in </w:t>
            </w:r>
            <w:r w:rsidRPr="10D3787E">
              <w:lastRenderedPageBreak/>
              <w:t xml:space="preserve">employers’ socio-ideological control. Organization Studies, 42(3), 429–452. (148906327). </w:t>
            </w:r>
            <w:hyperlink r:id="rId51">
              <w:r w:rsidRPr="002A728D">
                <w:rPr>
                  <w:rStyle w:val="Hyperlink"/>
                </w:rPr>
                <w:t>https://doi.org/10.1177/0170840619900292</w:t>
              </w:r>
            </w:hyperlink>
          </w:p>
          <w:p w14:paraId="734FA015" w14:textId="3C8C9755" w:rsidR="002A728D" w:rsidRDefault="002A728D" w:rsidP="002A728D">
            <w:r w:rsidRPr="10D3787E">
              <w:t xml:space="preserve"> </w:t>
            </w:r>
          </w:p>
        </w:tc>
        <w:tc>
          <w:tcPr>
            <w:tcW w:w="557" w:type="pct"/>
          </w:tcPr>
          <w:p w14:paraId="702D8C7F" w14:textId="19751E91"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Global</w:t>
            </w:r>
          </w:p>
        </w:tc>
        <w:tc>
          <w:tcPr>
            <w:tcW w:w="375" w:type="pct"/>
          </w:tcPr>
          <w:p w14:paraId="1D242326" w14:textId="722CD3C2"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32ADB75C" w14:textId="5A2A204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Conceptual</w:t>
            </w:r>
          </w:p>
        </w:tc>
        <w:tc>
          <w:tcPr>
            <w:tcW w:w="655" w:type="pct"/>
          </w:tcPr>
          <w:p w14:paraId="73405530" w14:textId="5ADB6906"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Neutral</w:t>
            </w:r>
          </w:p>
        </w:tc>
        <w:tc>
          <w:tcPr>
            <w:tcW w:w="741" w:type="pct"/>
          </w:tcPr>
          <w:p w14:paraId="1803AE78" w14:textId="304ECAE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 xml:space="preserve">Competency framework for employer </w:t>
            </w:r>
            <w:r w:rsidRPr="10D3787E">
              <w:lastRenderedPageBreak/>
              <w:t>engagement; no empirical validation.</w:t>
            </w:r>
          </w:p>
        </w:tc>
      </w:tr>
      <w:tr w:rsidR="002A728D" w14:paraId="64714F6A"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8CECFFF" w14:textId="0B62A772" w:rsidR="002A728D" w:rsidRDefault="002A728D" w:rsidP="002A728D">
            <w:r w:rsidRPr="10D3787E">
              <w:lastRenderedPageBreak/>
              <w:t>Ingold</w:t>
            </w:r>
            <w:r>
              <w:t>, J</w:t>
            </w:r>
            <w:r w:rsidRPr="10D3787E">
              <w:t xml:space="preserve">. (2020). Employers’ perspectives on benefit conditionality in the UK and Denmark. Soc Policy Adm, 54(2), 236–249. </w:t>
            </w:r>
            <w:hyperlink r:id="rId52">
              <w:r w:rsidRPr="002A728D">
                <w:rPr>
                  <w:rStyle w:val="Hyperlink"/>
                </w:rPr>
                <w:t>https://doi.org/10.1111/spol.12552</w:t>
              </w:r>
            </w:hyperlink>
          </w:p>
          <w:p w14:paraId="718BC12E" w14:textId="0F995D5B" w:rsidR="002A728D" w:rsidRDefault="002A728D" w:rsidP="002A728D">
            <w:r w:rsidRPr="10D3787E">
              <w:t xml:space="preserve"> </w:t>
            </w:r>
          </w:p>
        </w:tc>
        <w:tc>
          <w:tcPr>
            <w:tcW w:w="557" w:type="pct"/>
          </w:tcPr>
          <w:p w14:paraId="0028D167" w14:textId="64893300"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Europe</w:t>
            </w:r>
          </w:p>
        </w:tc>
        <w:tc>
          <w:tcPr>
            <w:tcW w:w="375" w:type="pct"/>
          </w:tcPr>
          <w:p w14:paraId="01714368" w14:textId="3CC4B170"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1F9AAB47" w14:textId="5A0809E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Qualitative (critical case study)</w:t>
            </w:r>
          </w:p>
        </w:tc>
        <w:tc>
          <w:tcPr>
            <w:tcW w:w="655" w:type="pct"/>
          </w:tcPr>
          <w:p w14:paraId="049B8B14" w14:textId="30997F4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Mixed/Negative</w:t>
            </w:r>
          </w:p>
        </w:tc>
        <w:tc>
          <w:tcPr>
            <w:tcW w:w="741" w:type="pct"/>
          </w:tcPr>
          <w:p w14:paraId="18ADC769" w14:textId="5869698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Examines ableism and identity regulation; strong theoretical contribution but not designed to test effectiveness.</w:t>
            </w:r>
          </w:p>
        </w:tc>
      </w:tr>
      <w:tr w:rsidR="002A728D" w14:paraId="2366EA80"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83DC49D" w14:textId="1F47F48D" w:rsidR="002A728D" w:rsidRDefault="002A728D" w:rsidP="002A728D">
            <w:r w:rsidRPr="10D3787E">
              <w:t xml:space="preserve">Kang, D. (2013). Why would companies not employ people with disabilities in Korea? Asia Pacific Journal of Social Work and Development, 23(3), 222–229. </w:t>
            </w:r>
            <w:hyperlink r:id="rId53">
              <w:r w:rsidRPr="002A728D">
                <w:rPr>
                  <w:rStyle w:val="Hyperlink"/>
                </w:rPr>
                <w:t>https://doi.org/10.1080/02185385.2013.818202</w:t>
              </w:r>
            </w:hyperlink>
          </w:p>
          <w:p w14:paraId="49182C34" w14:textId="79DAC36D" w:rsidR="002A728D" w:rsidRDefault="002A728D" w:rsidP="002A728D">
            <w:r w:rsidRPr="10D3787E">
              <w:t xml:space="preserve"> </w:t>
            </w:r>
          </w:p>
        </w:tc>
        <w:tc>
          <w:tcPr>
            <w:tcW w:w="557" w:type="pct"/>
          </w:tcPr>
          <w:p w14:paraId="474F1C4F" w14:textId="00D9AED6"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UK/Denmark</w:t>
            </w:r>
          </w:p>
        </w:tc>
        <w:tc>
          <w:tcPr>
            <w:tcW w:w="375" w:type="pct"/>
          </w:tcPr>
          <w:p w14:paraId="5B52ED40" w14:textId="60D7E82F"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00B66932" w14:textId="436D834D"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Qualitative (comparative interviews)</w:t>
            </w:r>
          </w:p>
        </w:tc>
        <w:tc>
          <w:tcPr>
            <w:tcW w:w="655" w:type="pct"/>
          </w:tcPr>
          <w:p w14:paraId="181EF24D" w14:textId="337ADDC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Pr>
          <w:p w14:paraId="5E740B50" w14:textId="09D906D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 xml:space="preserve">Employer perspectives on conditionality; informative for </w:t>
            </w:r>
            <w:r w:rsidRPr="10D3787E">
              <w:lastRenderedPageBreak/>
              <w:t>context but no evidence of what works.</w:t>
            </w:r>
          </w:p>
        </w:tc>
      </w:tr>
      <w:tr w:rsidR="002A728D" w14:paraId="41F40D0E"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92AC133" w14:textId="407E954C" w:rsidR="002A728D" w:rsidRDefault="002A728D" w:rsidP="002A728D">
            <w:r w:rsidRPr="10D3787E">
              <w:lastRenderedPageBreak/>
              <w:t xml:space="preserve">Kersten, A., van Woerkom, M., Geuskens, G. A., &amp; Blonk, R. W. B. (2024). Correction: Organisational policies and practices for the inclusion of vulnerable workers: A scoping review of the employer’s perspective. Journal of Occupational Rehabilitation, 34(4), 925–925. (2025-44914-017). </w:t>
            </w:r>
            <w:hyperlink r:id="rId54">
              <w:r w:rsidRPr="002A728D">
                <w:rPr>
                  <w:rStyle w:val="Hyperlink"/>
                </w:rPr>
                <w:t>https://doi.org/10.1007/s10926-024-10242-7</w:t>
              </w:r>
            </w:hyperlink>
          </w:p>
          <w:p w14:paraId="533F7102" w14:textId="3A7FF95F" w:rsidR="002A728D" w:rsidRDefault="002A728D" w:rsidP="002A728D">
            <w:r w:rsidRPr="10D3787E">
              <w:t xml:space="preserve"> </w:t>
            </w:r>
          </w:p>
        </w:tc>
        <w:tc>
          <w:tcPr>
            <w:tcW w:w="557" w:type="pct"/>
          </w:tcPr>
          <w:p w14:paraId="38942638" w14:textId="2E05262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Multi-country</w:t>
            </w:r>
          </w:p>
        </w:tc>
        <w:tc>
          <w:tcPr>
            <w:tcW w:w="375" w:type="pct"/>
          </w:tcPr>
          <w:p w14:paraId="24447CB9" w14:textId="55F32C63"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N/A</w:t>
            </w:r>
          </w:p>
        </w:tc>
        <w:tc>
          <w:tcPr>
            <w:tcW w:w="782" w:type="pct"/>
          </w:tcPr>
          <w:p w14:paraId="34383B92" w14:textId="1739ECF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Correction (scoping review)</w:t>
            </w:r>
          </w:p>
        </w:tc>
        <w:tc>
          <w:tcPr>
            <w:tcW w:w="655" w:type="pct"/>
          </w:tcPr>
          <w:p w14:paraId="68E972C0" w14:textId="5D7170D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N/A</w:t>
            </w:r>
          </w:p>
        </w:tc>
        <w:tc>
          <w:tcPr>
            <w:tcW w:w="741" w:type="pct"/>
          </w:tcPr>
          <w:p w14:paraId="28127841" w14:textId="2016C46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Correction notice; not an empirical study</w:t>
            </w:r>
          </w:p>
        </w:tc>
      </w:tr>
      <w:tr w:rsidR="002A728D" w14:paraId="2400EA0D"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8E3CB4C" w14:textId="4E895022" w:rsidR="002A728D" w:rsidRDefault="002A728D" w:rsidP="002A728D">
            <w:r w:rsidRPr="10D3787E">
              <w:t xml:space="preserve">Kersten A., van Woerkom M., Geuskens G.A., &amp; Blonk R.W.B. (2023). Organisational Policies and Practices for the Inclusion of Vulnerable Workers: A Scoping Review of the Employer’s Perspective. Journal of Occupational Rehabilitation, 33(2), 245–266. (638985605). </w:t>
            </w:r>
            <w:hyperlink r:id="rId55">
              <w:r w:rsidRPr="002A728D">
                <w:rPr>
                  <w:rStyle w:val="Hyperlink"/>
                </w:rPr>
                <w:t>https://doi.org/10.1007/s10926-</w:t>
              </w:r>
              <w:r w:rsidRPr="002A728D">
                <w:rPr>
                  <w:rStyle w:val="Hyperlink"/>
                </w:rPr>
                <w:lastRenderedPageBreak/>
                <w:t>022-10067-2</w:t>
              </w:r>
            </w:hyperlink>
          </w:p>
          <w:p w14:paraId="28EA809A" w14:textId="676BFC0D" w:rsidR="002A728D" w:rsidRDefault="002A728D" w:rsidP="002A728D">
            <w:r w:rsidRPr="10D3787E">
              <w:t xml:space="preserve"> </w:t>
            </w:r>
          </w:p>
        </w:tc>
        <w:tc>
          <w:tcPr>
            <w:tcW w:w="557" w:type="pct"/>
          </w:tcPr>
          <w:p w14:paraId="3A70FE6A" w14:textId="7445A557"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Multi-country</w:t>
            </w:r>
          </w:p>
        </w:tc>
        <w:tc>
          <w:tcPr>
            <w:tcW w:w="375" w:type="pct"/>
          </w:tcPr>
          <w:p w14:paraId="097B87D5" w14:textId="6CFABF95"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1–2</w:t>
            </w:r>
          </w:p>
        </w:tc>
        <w:tc>
          <w:tcPr>
            <w:tcW w:w="782" w:type="pct"/>
          </w:tcPr>
          <w:p w14:paraId="0116BC23" w14:textId="190FAD6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Scoping review</w:t>
            </w:r>
          </w:p>
        </w:tc>
        <w:tc>
          <w:tcPr>
            <w:tcW w:w="655" w:type="pct"/>
          </w:tcPr>
          <w:p w14:paraId="4413A84C" w14:textId="0D946CC6"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Pr>
          <w:p w14:paraId="18DFD329" w14:textId="5365BF0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Maps organisational practices; limited evidence of effectiveness</w:t>
            </w:r>
          </w:p>
        </w:tc>
      </w:tr>
      <w:tr w:rsidR="002A728D" w14:paraId="5B4A191D"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6FE1049" w14:textId="4F9350E3" w:rsidR="002A728D" w:rsidRDefault="002A728D" w:rsidP="002A728D">
            <w:r w:rsidRPr="10D3787E">
              <w:t xml:space="preserve">Kersten A., van Woerkom M., Geuskens G.A., &amp; Blonk R.W.B. (2025). The Relationship Between Strategic Human Resource Management Practices and the Employment of Vulnerable Workers: A Two-Wave Study Among Employers. Journal of Occupational Rehabilitation, 35(2), 294–305. (644168995). </w:t>
            </w:r>
            <w:hyperlink r:id="rId56">
              <w:r w:rsidRPr="002A728D">
                <w:rPr>
                  <w:rStyle w:val="Hyperlink"/>
                </w:rPr>
                <w:t>https://doi.org/10.1007/s10926-024-10197-9</w:t>
              </w:r>
            </w:hyperlink>
          </w:p>
          <w:p w14:paraId="14181036" w14:textId="5B7A4BAB" w:rsidR="002A728D" w:rsidRDefault="002A728D" w:rsidP="002A728D">
            <w:r w:rsidRPr="10D3787E">
              <w:t xml:space="preserve"> </w:t>
            </w:r>
          </w:p>
        </w:tc>
        <w:tc>
          <w:tcPr>
            <w:tcW w:w="557" w:type="pct"/>
          </w:tcPr>
          <w:p w14:paraId="7EE476AE" w14:textId="4A085E6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Netherlands</w:t>
            </w:r>
          </w:p>
        </w:tc>
        <w:tc>
          <w:tcPr>
            <w:tcW w:w="375" w:type="pct"/>
          </w:tcPr>
          <w:p w14:paraId="0CCEF129" w14:textId="6A94AD5D"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3</w:t>
            </w:r>
          </w:p>
        </w:tc>
        <w:tc>
          <w:tcPr>
            <w:tcW w:w="782" w:type="pct"/>
          </w:tcPr>
          <w:p w14:paraId="08AE67F1" w14:textId="4761C4F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Longitudinal (two-wave)</w:t>
            </w:r>
          </w:p>
        </w:tc>
        <w:tc>
          <w:tcPr>
            <w:tcW w:w="655" w:type="pct"/>
          </w:tcPr>
          <w:p w14:paraId="10C9F84B" w14:textId="14047CD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1DC86DCE" w14:textId="48697F8C"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Stronger design linking HRM practices to employment outcomes</w:t>
            </w:r>
          </w:p>
        </w:tc>
      </w:tr>
      <w:tr w:rsidR="002A728D" w14:paraId="4956466C"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2E8319A" w14:textId="15AEF476" w:rsidR="002A728D" w:rsidRDefault="002A728D" w:rsidP="002A728D">
            <w:r w:rsidRPr="10D3787E">
              <w:t xml:space="preserve">Kim, J. (2022). Diversity field officer service: An evaluation of an employer engagement strategy trialed in Geelong, Australia. JOURNAL OF VOCATIONAL REHABILITATION, 57(3), 215–223. (WOS:000887969000002). </w:t>
            </w:r>
            <w:hyperlink r:id="rId57">
              <w:r w:rsidRPr="002A728D">
                <w:rPr>
                  <w:rStyle w:val="Hyperlink"/>
                </w:rPr>
                <w:t>https://doi.org/10.3233/JVR-221212</w:t>
              </w:r>
            </w:hyperlink>
          </w:p>
          <w:p w14:paraId="42EAD53C" w14:textId="68FBE655" w:rsidR="002A728D" w:rsidRDefault="002A728D" w:rsidP="002A728D">
            <w:r w:rsidRPr="10D3787E">
              <w:lastRenderedPageBreak/>
              <w:t xml:space="preserve"> </w:t>
            </w:r>
          </w:p>
        </w:tc>
        <w:tc>
          <w:tcPr>
            <w:tcW w:w="557" w:type="pct"/>
          </w:tcPr>
          <w:p w14:paraId="7F6B295D" w14:textId="084B0D43"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Australia</w:t>
            </w:r>
          </w:p>
        </w:tc>
        <w:tc>
          <w:tcPr>
            <w:tcW w:w="375" w:type="pct"/>
          </w:tcPr>
          <w:p w14:paraId="6BB3A9D8" w14:textId="64CBBAC0"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7AB22007" w14:textId="58CA809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Programme evaluation</w:t>
            </w:r>
          </w:p>
        </w:tc>
        <w:tc>
          <w:tcPr>
            <w:tcW w:w="655" w:type="pct"/>
          </w:tcPr>
          <w:p w14:paraId="2F5D5E18" w14:textId="606E600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5134893D" w14:textId="212DAC8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Evaluates employer engagement intervention; contextually relevant but non-experimental</w:t>
            </w:r>
          </w:p>
        </w:tc>
      </w:tr>
      <w:tr w:rsidR="002A728D" w14:paraId="50CDBAC5"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51F98389" w14:textId="200B3248" w:rsidR="002A728D" w:rsidRDefault="002A728D" w:rsidP="002A728D">
            <w:r w:rsidRPr="10D3787E">
              <w:t>Komesaroff, F., Monson-Wilbraham, L., DeLiseo, M., &amp; Clarke, K. (2025). Community Investment Committee Practice Guide.</w:t>
            </w:r>
          </w:p>
        </w:tc>
        <w:tc>
          <w:tcPr>
            <w:tcW w:w="557" w:type="pct"/>
          </w:tcPr>
          <w:p w14:paraId="277620BB" w14:textId="378ABDD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Australia</w:t>
            </w:r>
          </w:p>
        </w:tc>
        <w:tc>
          <w:tcPr>
            <w:tcW w:w="375" w:type="pct"/>
          </w:tcPr>
          <w:p w14:paraId="55BC42C3" w14:textId="76C83C27"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184DF053" w14:textId="1E9F062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Practice guide / grey literature</w:t>
            </w:r>
          </w:p>
        </w:tc>
        <w:tc>
          <w:tcPr>
            <w:tcW w:w="655" w:type="pct"/>
          </w:tcPr>
          <w:p w14:paraId="037B7C33" w14:textId="5168400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62F8BCB2" w14:textId="613060E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Practice-based guidance; no empirical testing</w:t>
            </w:r>
          </w:p>
        </w:tc>
      </w:tr>
      <w:tr w:rsidR="002A728D" w14:paraId="05066FFA"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6A96475" w14:textId="75677EA1" w:rsidR="002A728D" w:rsidRDefault="002A728D" w:rsidP="002A728D">
            <w:r w:rsidRPr="10D3787E">
              <w:t xml:space="preserve">Levine, S., Shapiro, D., Brown, C., &amp; Tenney, L. (2024). Employer Engagement Strategies to Promote and Add Evidence-Based Chronic Disease Prevention and Management Programs as a Covered Benefit. OCCUPATIONAL HEALTH SCIENCE, 8(2), 365–382. (WOS:001194841300001). </w:t>
            </w:r>
            <w:hyperlink r:id="rId58">
              <w:r w:rsidRPr="002A728D">
                <w:rPr>
                  <w:rStyle w:val="Hyperlink"/>
                </w:rPr>
                <w:t>https://doi.org/10.1007/s41542-024-00185-z</w:t>
              </w:r>
            </w:hyperlink>
          </w:p>
        </w:tc>
        <w:tc>
          <w:tcPr>
            <w:tcW w:w="557" w:type="pct"/>
          </w:tcPr>
          <w:p w14:paraId="2FD4D7D6" w14:textId="426F946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0067F59A" w14:textId="7AB88D4A"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63199A1E" w14:textId="333481E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Applied review / programme analysis</w:t>
            </w:r>
          </w:p>
        </w:tc>
        <w:tc>
          <w:tcPr>
            <w:tcW w:w="655" w:type="pct"/>
          </w:tcPr>
          <w:p w14:paraId="36094575" w14:textId="0B6AD40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7F351E11" w14:textId="0FD7515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Employer engagement strategies; moderate empirical grounding</w:t>
            </w:r>
          </w:p>
        </w:tc>
      </w:tr>
      <w:tr w:rsidR="002A728D" w14:paraId="1E4A2C04"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4F55605" w14:textId="59573FEE" w:rsidR="002A728D" w:rsidRDefault="002A728D" w:rsidP="002A728D">
            <w:r w:rsidRPr="10D3787E">
              <w:t>Luecking, R. G., Cuozzo, L., &amp; Buchanan, L. (2006). Demand-side Workforce Needs and the Potential for Job Customization. Journal of Applied Rehabilitation Counseling, 37(4), 5–13. (2007-00812-002).</w:t>
            </w:r>
          </w:p>
        </w:tc>
        <w:tc>
          <w:tcPr>
            <w:tcW w:w="557" w:type="pct"/>
          </w:tcPr>
          <w:p w14:paraId="43BB97D1" w14:textId="3A1DE7E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USA</w:t>
            </w:r>
          </w:p>
        </w:tc>
        <w:tc>
          <w:tcPr>
            <w:tcW w:w="375" w:type="pct"/>
          </w:tcPr>
          <w:p w14:paraId="391707A0" w14:textId="15114A18"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7BE8F8B8" w14:textId="71BEA04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Conceptual / practice</w:t>
            </w:r>
          </w:p>
        </w:tc>
        <w:tc>
          <w:tcPr>
            <w:tcW w:w="655" w:type="pct"/>
          </w:tcPr>
          <w:p w14:paraId="606340F3" w14:textId="5A91C50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4C06CD67" w14:textId="4312DA6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Job customisation framework; no empirical testing</w:t>
            </w:r>
          </w:p>
        </w:tc>
      </w:tr>
      <w:tr w:rsidR="002A728D" w14:paraId="23673DEB"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560EC18C" w14:textId="0DA2335A" w:rsidR="002A728D" w:rsidRDefault="002A728D" w:rsidP="002A728D">
            <w:r w:rsidRPr="10D3787E">
              <w:lastRenderedPageBreak/>
              <w:t xml:space="preserve">Main, C. J., Shaw, W. S., &amp; The Hopkinton Conference Working Group on Workplace Disability Prevention. (2016). Employer policies and practices to manage and prevent disability: Conclusion to the special issue. Journal of Occupational Rehabilitation, 26(4), 490–498. (2016-55119-009). </w:t>
            </w:r>
            <w:hyperlink r:id="rId59">
              <w:r w:rsidRPr="002A728D">
                <w:rPr>
                  <w:rStyle w:val="Hyperlink"/>
                </w:rPr>
                <w:t>https://doi.org/10.1007/s10926-016-9655-0</w:t>
              </w:r>
            </w:hyperlink>
          </w:p>
        </w:tc>
        <w:tc>
          <w:tcPr>
            <w:tcW w:w="557" w:type="pct"/>
          </w:tcPr>
          <w:p w14:paraId="60984775" w14:textId="5CC881E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Global</w:t>
            </w:r>
          </w:p>
        </w:tc>
        <w:tc>
          <w:tcPr>
            <w:tcW w:w="375" w:type="pct"/>
          </w:tcPr>
          <w:p w14:paraId="1FC03D82" w14:textId="53543816"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5C89B47A" w14:textId="0ECB13B8"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Review / commentary</w:t>
            </w:r>
          </w:p>
        </w:tc>
        <w:tc>
          <w:tcPr>
            <w:tcW w:w="655" w:type="pct"/>
          </w:tcPr>
          <w:p w14:paraId="3096B71E" w14:textId="4591561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0A3BE09C" w14:textId="04A2AE51"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Synthesis of employer policies; not systematic</w:t>
            </w:r>
          </w:p>
        </w:tc>
      </w:tr>
      <w:tr w:rsidR="002A728D" w14:paraId="76B0978F"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CC33A0A" w14:textId="63CB8CB8" w:rsidR="002A728D" w:rsidRDefault="002A728D" w:rsidP="002A728D">
            <w:r w:rsidRPr="10D3787E">
              <w:t>Main C.J. &amp; Shaw W.S. (2016). Employer Policies and Practices to Manage and Prevent Disability: Conclusion to the Special Issue. Journal of Occupational Rehabilitation, 26(4), 490–498. (620419310).</w:t>
            </w:r>
          </w:p>
        </w:tc>
        <w:tc>
          <w:tcPr>
            <w:tcW w:w="557" w:type="pct"/>
          </w:tcPr>
          <w:p w14:paraId="6F8BDCF9" w14:textId="421AB76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Global</w:t>
            </w:r>
          </w:p>
        </w:tc>
        <w:tc>
          <w:tcPr>
            <w:tcW w:w="375" w:type="pct"/>
          </w:tcPr>
          <w:p w14:paraId="796B0458" w14:textId="60F874C3"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23A64010" w14:textId="134FDA0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Review / commentary</w:t>
            </w:r>
          </w:p>
        </w:tc>
        <w:tc>
          <w:tcPr>
            <w:tcW w:w="655" w:type="pct"/>
          </w:tcPr>
          <w:p w14:paraId="563689FC" w14:textId="23F395A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3FACDD8F" w14:textId="55374AA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Duplicate/variant; same classification</w:t>
            </w:r>
          </w:p>
        </w:tc>
      </w:tr>
      <w:tr w:rsidR="002A728D" w14:paraId="50619BEA"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5A5FF81" w14:textId="58E26D78" w:rsidR="002A728D" w:rsidRDefault="002A728D" w:rsidP="002A728D">
            <w:r w:rsidRPr="10D3787E">
              <w:t xml:space="preserve">McDonnall, M. (2017). Working With Business: Counselor Expectations, Actions, and Challenges. REHABILITATION RESEARCH POLICY AND EDUCATION, 31(2), 135–145. (WOS:000443423700005). </w:t>
            </w:r>
            <w:hyperlink r:id="rId60">
              <w:r w:rsidRPr="002A728D">
                <w:rPr>
                  <w:rStyle w:val="Hyperlink"/>
                </w:rPr>
                <w:t>https://doi.org/10.1891/2168-6653.31.2.135</w:t>
              </w:r>
            </w:hyperlink>
          </w:p>
        </w:tc>
        <w:tc>
          <w:tcPr>
            <w:tcW w:w="557" w:type="pct"/>
          </w:tcPr>
          <w:p w14:paraId="71ED3A6F" w14:textId="570B124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USA</w:t>
            </w:r>
          </w:p>
        </w:tc>
        <w:tc>
          <w:tcPr>
            <w:tcW w:w="375" w:type="pct"/>
          </w:tcPr>
          <w:p w14:paraId="4A085953" w14:textId="36A455B3"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6405BEB8" w14:textId="62EA1A8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Qualitative</w:t>
            </w:r>
          </w:p>
        </w:tc>
        <w:tc>
          <w:tcPr>
            <w:tcW w:w="655" w:type="pct"/>
          </w:tcPr>
          <w:p w14:paraId="6A1213CB" w14:textId="24EF55B8"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5AC68C19" w14:textId="011E496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Practitioner perspectives on employer engagement</w:t>
            </w:r>
          </w:p>
        </w:tc>
      </w:tr>
      <w:tr w:rsidR="002A728D" w14:paraId="23AC206C"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4275C48" w14:textId="6984D0F0" w:rsidR="002A728D" w:rsidRDefault="002A728D" w:rsidP="002A728D">
            <w:r w:rsidRPr="10D3787E">
              <w:t xml:space="preserve">McDonnall, M. C., &amp; Antonelli, K. (2020). The Impact of a Brief Meeting on Employer Attitudes, Knowledge, and Intent to Hire. Rehabilitation Counseling Bulletin, 63(3), 131–142. (142360531). </w:t>
            </w:r>
            <w:hyperlink r:id="rId61">
              <w:r w:rsidRPr="002A728D">
                <w:rPr>
                  <w:rStyle w:val="Hyperlink"/>
                </w:rPr>
                <w:t>https://doi.org/10.1177/0034355219889409</w:t>
              </w:r>
            </w:hyperlink>
          </w:p>
        </w:tc>
        <w:tc>
          <w:tcPr>
            <w:tcW w:w="557" w:type="pct"/>
          </w:tcPr>
          <w:p w14:paraId="00046C58" w14:textId="6C555D1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USA</w:t>
            </w:r>
          </w:p>
        </w:tc>
        <w:tc>
          <w:tcPr>
            <w:tcW w:w="375" w:type="pct"/>
          </w:tcPr>
          <w:p w14:paraId="3ECFDADB" w14:textId="59788D57"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3</w:t>
            </w:r>
          </w:p>
        </w:tc>
        <w:tc>
          <w:tcPr>
            <w:tcW w:w="782" w:type="pct"/>
          </w:tcPr>
          <w:p w14:paraId="7A19E05A" w14:textId="60BFF2B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Experimental</w:t>
            </w:r>
          </w:p>
        </w:tc>
        <w:tc>
          <w:tcPr>
            <w:tcW w:w="655" w:type="pct"/>
          </w:tcPr>
          <w:p w14:paraId="4F15CBFD" w14:textId="07CC507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43E7FD54" w14:textId="3B25FFF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Strong causal evidence (intervention on employer attitudes)</w:t>
            </w:r>
          </w:p>
        </w:tc>
      </w:tr>
      <w:tr w:rsidR="002A728D" w14:paraId="5C8068E3"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2448023F" w14:textId="334AB98D" w:rsidR="002A728D" w:rsidRDefault="002A728D" w:rsidP="002A728D">
            <w:r w:rsidRPr="10D3787E">
              <w:t xml:space="preserve">McDonnall, M. C., &amp; Sui, Z. (2019). Effectiveness of a business development training for rehabilitation counselors who work with consumers who are blind or visually impaired. Rehabilitation Counseling Bulletin, 63(1), 25–34. (2019-55309-003). </w:t>
            </w:r>
            <w:hyperlink r:id="rId62">
              <w:r w:rsidRPr="002A728D">
                <w:rPr>
                  <w:rStyle w:val="Hyperlink"/>
                </w:rPr>
                <w:t>https://doi.org/10.1177/0034355218796276</w:t>
              </w:r>
            </w:hyperlink>
          </w:p>
        </w:tc>
        <w:tc>
          <w:tcPr>
            <w:tcW w:w="557" w:type="pct"/>
          </w:tcPr>
          <w:p w14:paraId="0F7FA099" w14:textId="1A555DDB"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1526837B" w14:textId="00D3303B"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0AAB0EE0" w14:textId="6C084AB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Intervention study</w:t>
            </w:r>
          </w:p>
        </w:tc>
        <w:tc>
          <w:tcPr>
            <w:tcW w:w="655" w:type="pct"/>
          </w:tcPr>
          <w:p w14:paraId="3A695DDC" w14:textId="3EB8453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32A154A4" w14:textId="2F78EC57"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Training effectiveness; non-experimental design</w:t>
            </w:r>
          </w:p>
        </w:tc>
      </w:tr>
      <w:tr w:rsidR="002A728D" w14:paraId="2FA7E1A2"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26569ABA" w14:textId="24C2E55F" w:rsidR="002A728D" w:rsidRDefault="002A728D" w:rsidP="002A728D">
            <w:r w:rsidRPr="10D3787E">
              <w:t xml:space="preserve">McDonnall, M., Cmar, J., &amp; Tatch, A. (2020). Importance of agency context for long-term effectiveness of a business development training for rehabilitation counselors. JOURNAL OF VOCATIONAL </w:t>
            </w:r>
            <w:r w:rsidRPr="10D3787E">
              <w:lastRenderedPageBreak/>
              <w:t xml:space="preserve">REHABILITATION, 53(1), 1–16. (WOS:000546999700001). </w:t>
            </w:r>
            <w:hyperlink r:id="rId63">
              <w:r w:rsidRPr="002A728D">
                <w:rPr>
                  <w:rStyle w:val="Hyperlink"/>
                </w:rPr>
                <w:t>https://doi.org/10.3233/JVR-201081</w:t>
              </w:r>
            </w:hyperlink>
          </w:p>
        </w:tc>
        <w:tc>
          <w:tcPr>
            <w:tcW w:w="557" w:type="pct"/>
          </w:tcPr>
          <w:p w14:paraId="62BA7178" w14:textId="3896DBE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USA</w:t>
            </w:r>
          </w:p>
        </w:tc>
        <w:tc>
          <w:tcPr>
            <w:tcW w:w="375" w:type="pct"/>
          </w:tcPr>
          <w:p w14:paraId="16D6BF86" w14:textId="40EDF0F2"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73FD5BE6" w14:textId="017C410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 methods</w:t>
            </w:r>
          </w:p>
        </w:tc>
        <w:tc>
          <w:tcPr>
            <w:tcW w:w="655" w:type="pct"/>
          </w:tcPr>
          <w:p w14:paraId="76DF581C" w14:textId="109969F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19C4145A" w14:textId="4BB3DEA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 xml:space="preserve">Contextual factors influencing intervention </w:t>
            </w:r>
            <w:r w:rsidRPr="10D3787E">
              <w:lastRenderedPageBreak/>
              <w:t>outcomes</w:t>
            </w:r>
          </w:p>
        </w:tc>
      </w:tr>
      <w:tr w:rsidR="002A728D" w14:paraId="1662157B"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A8AFA3B" w14:textId="2093321A" w:rsidR="002A728D" w:rsidRDefault="002A728D" w:rsidP="002A728D">
            <w:r w:rsidRPr="10D3787E">
              <w:lastRenderedPageBreak/>
              <w:t xml:space="preserve">Muenchberger, H., Kendall, E., &amp; Mills, E. (2006). Creating successful rehabilitation partnerships between health professionals and employers. The International Journal of Disability Management Research, 1(1), 10–20. (2008-18560-003). </w:t>
            </w:r>
            <w:hyperlink r:id="rId64">
              <w:r w:rsidRPr="002A728D">
                <w:rPr>
                  <w:rStyle w:val="Hyperlink"/>
                </w:rPr>
                <w:t>https://doi.org/10.1375/jdmr.1.1.10</w:t>
              </w:r>
            </w:hyperlink>
          </w:p>
        </w:tc>
        <w:tc>
          <w:tcPr>
            <w:tcW w:w="557" w:type="pct"/>
          </w:tcPr>
          <w:p w14:paraId="65F39E7B" w14:textId="69AD2550"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Australia</w:t>
            </w:r>
          </w:p>
        </w:tc>
        <w:tc>
          <w:tcPr>
            <w:tcW w:w="375" w:type="pct"/>
          </w:tcPr>
          <w:p w14:paraId="3A45CF4E" w14:textId="03413F86"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2EC832EA" w14:textId="5D4BA6AB"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Qualitative</w:t>
            </w:r>
          </w:p>
        </w:tc>
        <w:tc>
          <w:tcPr>
            <w:tcW w:w="655" w:type="pct"/>
          </w:tcPr>
          <w:p w14:paraId="40BDB502" w14:textId="42DA862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64F8FBD0" w14:textId="09A745B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Employer–health partnerships; descriptive</w:t>
            </w:r>
          </w:p>
        </w:tc>
      </w:tr>
      <w:tr w:rsidR="002A728D" w14:paraId="571E1F61"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8AD54C7" w14:textId="2C26F680" w:rsidR="002A728D" w:rsidRDefault="002A728D" w:rsidP="002A728D">
            <w:r w:rsidRPr="10D3787E">
              <w:t xml:space="preserve">Müller, E., VanGilder, R., &amp; Kiasi, D. (2018). Employer satisfaction with Project SEARCH interns, hires, and support received from Project SEARCH teams. Journal of Vocational Rehabilitation, 49(3), 339–350. (133954139). </w:t>
            </w:r>
            <w:hyperlink r:id="rId65">
              <w:r w:rsidRPr="002A728D">
                <w:rPr>
                  <w:rStyle w:val="Hyperlink"/>
                </w:rPr>
                <w:t>https://doi.org/10.3233/JVR-180978</w:t>
              </w:r>
            </w:hyperlink>
          </w:p>
        </w:tc>
        <w:tc>
          <w:tcPr>
            <w:tcW w:w="557" w:type="pct"/>
          </w:tcPr>
          <w:p w14:paraId="269F1DA8" w14:textId="434ED56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USA</w:t>
            </w:r>
          </w:p>
        </w:tc>
        <w:tc>
          <w:tcPr>
            <w:tcW w:w="375" w:type="pct"/>
          </w:tcPr>
          <w:p w14:paraId="5A12FAB2" w14:textId="792E9AD1"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6C4044D0" w14:textId="18BB074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Survey</w:t>
            </w:r>
          </w:p>
        </w:tc>
        <w:tc>
          <w:tcPr>
            <w:tcW w:w="655" w:type="pct"/>
          </w:tcPr>
          <w:p w14:paraId="48894C1E" w14:textId="2849005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72637574" w14:textId="7FB6CE7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Employer satisfaction with supported employment model</w:t>
            </w:r>
          </w:p>
        </w:tc>
      </w:tr>
      <w:tr w:rsidR="002A728D" w14:paraId="2DABA53A"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27CE0603" w14:textId="07DD2D0C" w:rsidR="002A728D" w:rsidRDefault="002A728D" w:rsidP="002A728D">
            <w:r w:rsidRPr="10D3787E">
              <w:t xml:space="preserve">Munsell, E. G. S., Kudla, A., Su, H., Wong, J., Crown, D., Capraro, P., Trierweiler, R., Park, </w:t>
            </w:r>
            <w:r w:rsidRPr="10D3787E">
              <w:lastRenderedPageBreak/>
              <w:t xml:space="preserve">M., &amp; Heinemann, A. W. (2024). Employers’ Perceptions of Challenges and Strategies in Hiring, Retaining, and Promoting Employees With Physical Disabilities. Rehabilitation Counseling Bulletin, 67(3), 177–189. </w:t>
            </w:r>
            <w:hyperlink r:id="rId66">
              <w:r w:rsidRPr="002A728D">
                <w:rPr>
                  <w:rStyle w:val="Hyperlink"/>
                </w:rPr>
                <w:t>https://doi.org/10.1177/00343552221130304</w:t>
              </w:r>
            </w:hyperlink>
          </w:p>
        </w:tc>
        <w:tc>
          <w:tcPr>
            <w:tcW w:w="557" w:type="pct"/>
          </w:tcPr>
          <w:p w14:paraId="1E84A8A3" w14:textId="62CC91A6"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USA</w:t>
            </w:r>
          </w:p>
        </w:tc>
        <w:tc>
          <w:tcPr>
            <w:tcW w:w="375" w:type="pct"/>
          </w:tcPr>
          <w:p w14:paraId="16BB0E53" w14:textId="0BF64B67"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5850F24B" w14:textId="475EB10D"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 methods</w:t>
            </w:r>
          </w:p>
        </w:tc>
        <w:tc>
          <w:tcPr>
            <w:tcW w:w="655" w:type="pct"/>
          </w:tcPr>
          <w:p w14:paraId="09DDBED6" w14:textId="2E96F7E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6278F750" w14:textId="6D65EEA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 xml:space="preserve">Employer strategies for </w:t>
            </w:r>
            <w:r w:rsidRPr="10D3787E">
              <w:lastRenderedPageBreak/>
              <w:t>hiring/retention</w:t>
            </w:r>
          </w:p>
        </w:tc>
      </w:tr>
      <w:tr w:rsidR="002A728D" w14:paraId="74154132"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3C97640A" w14:textId="3E990A4D" w:rsidR="002A728D" w:rsidRDefault="002A728D" w:rsidP="002A728D">
            <w:r w:rsidRPr="10D3787E">
              <w:lastRenderedPageBreak/>
              <w:t xml:space="preserve">Murphy, K. M., Rasmussen, J., Trevino, S., &amp; Scardaville, M. (2024). Business Engagement Strategies for Vocational Rehabilitation Professionals: A Scoping Review. Rehabilitation Counseling Bulletin, 68(1), 55–70. (180428392). </w:t>
            </w:r>
            <w:hyperlink r:id="rId67">
              <w:r w:rsidRPr="002A728D">
                <w:rPr>
                  <w:rStyle w:val="Hyperlink"/>
                </w:rPr>
                <w:t>https://doi.org/10.1177/00343552231176535</w:t>
              </w:r>
            </w:hyperlink>
          </w:p>
        </w:tc>
        <w:tc>
          <w:tcPr>
            <w:tcW w:w="557" w:type="pct"/>
          </w:tcPr>
          <w:p w14:paraId="6D3B7257" w14:textId="23FAF2A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Multi-country</w:t>
            </w:r>
          </w:p>
        </w:tc>
        <w:tc>
          <w:tcPr>
            <w:tcW w:w="375" w:type="pct"/>
          </w:tcPr>
          <w:p w14:paraId="0E1EEBEA" w14:textId="02B7620C"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1–2</w:t>
            </w:r>
          </w:p>
        </w:tc>
        <w:tc>
          <w:tcPr>
            <w:tcW w:w="782" w:type="pct"/>
          </w:tcPr>
          <w:p w14:paraId="3BA5E84D" w14:textId="56C63CFF"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Scoping review</w:t>
            </w:r>
          </w:p>
        </w:tc>
        <w:tc>
          <w:tcPr>
            <w:tcW w:w="655" w:type="pct"/>
          </w:tcPr>
          <w:p w14:paraId="59936D42" w14:textId="49C0239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Mixed</w:t>
            </w:r>
          </w:p>
        </w:tc>
        <w:tc>
          <w:tcPr>
            <w:tcW w:w="741" w:type="pct"/>
          </w:tcPr>
          <w:p w14:paraId="7DC26658" w14:textId="5294066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Synthesises engagement strategies; limited causal evidence</w:t>
            </w:r>
          </w:p>
        </w:tc>
      </w:tr>
      <w:tr w:rsidR="002A728D" w14:paraId="3D9FD261"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58D3521D" w14:textId="0E13510D" w:rsidR="002A728D" w:rsidRDefault="002A728D" w:rsidP="002A728D">
            <w:r w:rsidRPr="10D3787E">
              <w:t xml:space="preserve">Nicholas, D., Mitchell, W., Dudley, C., &amp; Zulla, R. (2019). Perspectives of employers about hiring individuals with autism spectrum disorder: Evaluating a cohort of employers engaged in a job-readiness initiative. Journal of Vocational Rehabilitation, 50(3), 353–364. (136564584). </w:t>
            </w:r>
            <w:hyperlink r:id="rId68">
              <w:r w:rsidRPr="002A728D">
                <w:rPr>
                  <w:rStyle w:val="Hyperlink"/>
                </w:rPr>
                <w:t>https://doi.org/10.3233/JVR-191018</w:t>
              </w:r>
            </w:hyperlink>
          </w:p>
        </w:tc>
        <w:tc>
          <w:tcPr>
            <w:tcW w:w="557" w:type="pct"/>
          </w:tcPr>
          <w:p w14:paraId="0F6945BA" w14:textId="73FA74B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Canada</w:t>
            </w:r>
          </w:p>
        </w:tc>
        <w:tc>
          <w:tcPr>
            <w:tcW w:w="375" w:type="pct"/>
          </w:tcPr>
          <w:p w14:paraId="23E8B251" w14:textId="50391F9B"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516CC18D" w14:textId="50FD63C1"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Survey (employers)</w:t>
            </w:r>
          </w:p>
        </w:tc>
        <w:tc>
          <w:tcPr>
            <w:tcW w:w="655" w:type="pct"/>
          </w:tcPr>
          <w:p w14:paraId="13E69BF4" w14:textId="5CCB328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22224CD2" w14:textId="094B537B"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Employer perspectives within intervention context; correlational</w:t>
            </w:r>
          </w:p>
        </w:tc>
      </w:tr>
      <w:tr w:rsidR="002A728D" w14:paraId="6A5A7EC0"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27B4EE8" w14:textId="56F5407C" w:rsidR="002A728D" w:rsidRDefault="002A728D" w:rsidP="002A728D">
            <w:r w:rsidRPr="10D3787E">
              <w:t xml:space="preserve">O’Bryan, A., Daston, M. M., &amp; Riehle, E. (2014). Employer engagement that works: The European expansion of Project SEARCH. Journal of Vocational Rehabilitation, 41(1), 45–51. (103965612). </w:t>
            </w:r>
            <w:hyperlink r:id="rId69">
              <w:r w:rsidRPr="002A728D">
                <w:rPr>
                  <w:rStyle w:val="Hyperlink"/>
                </w:rPr>
                <w:t>https://doi.org/10.3233/JVR-140697</w:t>
              </w:r>
            </w:hyperlink>
          </w:p>
        </w:tc>
        <w:tc>
          <w:tcPr>
            <w:tcW w:w="557" w:type="pct"/>
          </w:tcPr>
          <w:p w14:paraId="1E7D6875" w14:textId="1D43F6E1"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Europe</w:t>
            </w:r>
          </w:p>
        </w:tc>
        <w:tc>
          <w:tcPr>
            <w:tcW w:w="375" w:type="pct"/>
          </w:tcPr>
          <w:p w14:paraId="60A54780" w14:textId="3A7E4E75"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1–2</w:t>
            </w:r>
          </w:p>
        </w:tc>
        <w:tc>
          <w:tcPr>
            <w:tcW w:w="782" w:type="pct"/>
          </w:tcPr>
          <w:p w14:paraId="2DAEE72F" w14:textId="361F0F9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Case study / programme expansion</w:t>
            </w:r>
          </w:p>
        </w:tc>
        <w:tc>
          <w:tcPr>
            <w:tcW w:w="655" w:type="pct"/>
          </w:tcPr>
          <w:p w14:paraId="7B584A24" w14:textId="1B668C7D"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43343D3D" w14:textId="57FF130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Project SEARCH model; practice-based evidence</w:t>
            </w:r>
          </w:p>
        </w:tc>
      </w:tr>
      <w:tr w:rsidR="002A728D" w14:paraId="010D149F"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67083EE9" w14:textId="16A3121F" w:rsidR="002A728D" w:rsidRDefault="002A728D" w:rsidP="002A728D">
            <w:r w:rsidRPr="10D3787E">
              <w:t xml:space="preserve">Raynor, O., Hayward, K., Semenza, G., &amp; Stoffmacher, B. (2018). Community Conversations to Increase Employment Opportunities for Young Adults With Developmental Disabilities in California. Journal of Disability Policy Studies, 28(4), 203–215. </w:t>
            </w:r>
            <w:hyperlink r:id="rId70">
              <w:r w:rsidRPr="002A728D">
                <w:rPr>
                  <w:rStyle w:val="Hyperlink"/>
                </w:rPr>
                <w:t>https://doi.org/10.1177/1044207317739405</w:t>
              </w:r>
            </w:hyperlink>
          </w:p>
        </w:tc>
        <w:tc>
          <w:tcPr>
            <w:tcW w:w="557" w:type="pct"/>
          </w:tcPr>
          <w:p w14:paraId="76CDA178" w14:textId="6EA5802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1C240297" w14:textId="1A94C47C"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75A952C6" w14:textId="09A50E58"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Programme evaluation</w:t>
            </w:r>
          </w:p>
        </w:tc>
        <w:tc>
          <w:tcPr>
            <w:tcW w:w="655" w:type="pct"/>
          </w:tcPr>
          <w:p w14:paraId="1307F2AB" w14:textId="49F4442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3AE65749" w14:textId="3C31663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Community engagement initiative; non-experimental</w:t>
            </w:r>
          </w:p>
        </w:tc>
      </w:tr>
      <w:tr w:rsidR="002A728D" w14:paraId="4244E9A9"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660C40B" w14:textId="6A67A7EC" w:rsidR="002A728D" w:rsidRDefault="002A728D" w:rsidP="002A728D">
            <w:r w:rsidRPr="10D3787E">
              <w:t xml:space="preserve">Reardon, K., Rowe, D. A., Unruh, D. K., &amp; Bromley, K. W. (2025). Business Factors That Influence Employer Perceptions Toward Hiring, Recruiting, and Retaining Individuals </w:t>
            </w:r>
            <w:r w:rsidRPr="10D3787E">
              <w:lastRenderedPageBreak/>
              <w:t xml:space="preserve">With Disabilities. Journal of Applied Rehabilitation Counseling, 56(4), 358–377. </w:t>
            </w:r>
            <w:hyperlink r:id="rId71">
              <w:r w:rsidRPr="002A728D">
                <w:rPr>
                  <w:rStyle w:val="Hyperlink"/>
                </w:rPr>
                <w:t>https://doi.org/10.1891/JARC-2025-0021</w:t>
              </w:r>
            </w:hyperlink>
          </w:p>
        </w:tc>
        <w:tc>
          <w:tcPr>
            <w:tcW w:w="557" w:type="pct"/>
          </w:tcPr>
          <w:p w14:paraId="7F61BA43" w14:textId="3013CBC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USA</w:t>
            </w:r>
          </w:p>
        </w:tc>
        <w:tc>
          <w:tcPr>
            <w:tcW w:w="375" w:type="pct"/>
          </w:tcPr>
          <w:p w14:paraId="52F675C9" w14:textId="584284B0"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7FEF4E89" w14:textId="0116639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Survey</w:t>
            </w:r>
          </w:p>
        </w:tc>
        <w:tc>
          <w:tcPr>
            <w:tcW w:w="655" w:type="pct"/>
          </w:tcPr>
          <w:p w14:paraId="715BDE0F" w14:textId="7FEB164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0535C7EA" w14:textId="2BB96AF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 xml:space="preserve">Business factors shaping employer perceptions; </w:t>
            </w:r>
            <w:r w:rsidRPr="10D3787E">
              <w:lastRenderedPageBreak/>
              <w:t>correlational</w:t>
            </w:r>
          </w:p>
        </w:tc>
      </w:tr>
      <w:tr w:rsidR="002A728D" w14:paraId="68DC9BAE"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73A67A69" w14:textId="57DB024D" w:rsidR="002A728D" w:rsidRDefault="002A728D" w:rsidP="002A728D">
            <w:r w:rsidRPr="10D3787E">
              <w:lastRenderedPageBreak/>
              <w:t xml:space="preserve">Reardon, K., Unruh, D. K., &amp; Rowe, D. A. (2025). Employer Perspectives Toward Hiring and Retaining Individuals with Disabilities: A National Survey of Entry-Level Employers. Journal of Vocational Rehabilitation, 62(3), 310–324. </w:t>
            </w:r>
            <w:hyperlink r:id="rId72">
              <w:r w:rsidRPr="002A728D">
                <w:rPr>
                  <w:rStyle w:val="Hyperlink"/>
                </w:rPr>
                <w:t>https://doi.org/10.1177/10522263251326524</w:t>
              </w:r>
            </w:hyperlink>
          </w:p>
        </w:tc>
        <w:tc>
          <w:tcPr>
            <w:tcW w:w="557" w:type="pct"/>
          </w:tcPr>
          <w:p w14:paraId="29EBA1CE" w14:textId="2B581FC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061FA1BB" w14:textId="0AE94442"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4FBFD0F2" w14:textId="050E0698"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Survey (national)</w:t>
            </w:r>
          </w:p>
        </w:tc>
        <w:tc>
          <w:tcPr>
            <w:tcW w:w="655" w:type="pct"/>
          </w:tcPr>
          <w:p w14:paraId="6B0AA786" w14:textId="56201AD1"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4204025F" w14:textId="1946B75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Large-scale employer survey; no causal testing</w:t>
            </w:r>
          </w:p>
        </w:tc>
      </w:tr>
      <w:tr w:rsidR="002A728D" w14:paraId="5F1E2A73"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12EA6894" w14:textId="32551ADB" w:rsidR="002A728D" w:rsidRDefault="002A728D" w:rsidP="002A728D">
            <w:r w:rsidRPr="10D3787E">
              <w:t xml:space="preserve">Reindrawati, D. Y., Noviyanti, U. D. E., Azmi, A., &amp; Wiranti, D. A. (2025). Disability-Friendly Hospitality Services as a Catalyst for Empowering Inclusive Tourism in Indonesia. Sustainability (Switzerland), 17(9). </w:t>
            </w:r>
            <w:hyperlink r:id="rId73">
              <w:r w:rsidRPr="002A728D">
                <w:rPr>
                  <w:rStyle w:val="Hyperlink"/>
                </w:rPr>
                <w:t>https://doi.org/10.3390/su17093785</w:t>
              </w:r>
            </w:hyperlink>
          </w:p>
        </w:tc>
        <w:tc>
          <w:tcPr>
            <w:tcW w:w="557" w:type="pct"/>
          </w:tcPr>
          <w:p w14:paraId="063D8EF3" w14:textId="6F2BFF0C"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Indonesia</w:t>
            </w:r>
          </w:p>
        </w:tc>
        <w:tc>
          <w:tcPr>
            <w:tcW w:w="375" w:type="pct"/>
          </w:tcPr>
          <w:p w14:paraId="13DE68B4" w14:textId="31EC562B"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50E8D37E" w14:textId="6093743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Case study / applied research</w:t>
            </w:r>
          </w:p>
        </w:tc>
        <w:tc>
          <w:tcPr>
            <w:tcW w:w="655" w:type="pct"/>
          </w:tcPr>
          <w:p w14:paraId="3E7EC8FF" w14:textId="4AE64130"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20C58FBD" w14:textId="75CF702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Inclusive tourism context; descriptive evidence</w:t>
            </w:r>
          </w:p>
        </w:tc>
      </w:tr>
      <w:tr w:rsidR="002A728D" w14:paraId="5DB740B1"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83D2A52" w14:textId="1F01F047" w:rsidR="002A728D" w:rsidRDefault="002A728D" w:rsidP="002A728D">
            <w:r w:rsidRPr="10D3787E">
              <w:t xml:space="preserve">Riesen, T., &amp; Oertle, K. M. (2019). Developing Work-based Learning Experiences for Students with Intellectual and </w:t>
            </w:r>
            <w:r w:rsidRPr="10D3787E">
              <w:lastRenderedPageBreak/>
              <w:t>Developmental Disabilities: A Preliminary Study of Employers’ Perspectives. Journal of Rehabilitation, 85(2), 27–36. (137509281).</w:t>
            </w:r>
          </w:p>
        </w:tc>
        <w:tc>
          <w:tcPr>
            <w:tcW w:w="557" w:type="pct"/>
          </w:tcPr>
          <w:p w14:paraId="23644555" w14:textId="316A01C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USA</w:t>
            </w:r>
          </w:p>
        </w:tc>
        <w:tc>
          <w:tcPr>
            <w:tcW w:w="375" w:type="pct"/>
          </w:tcPr>
          <w:p w14:paraId="586C912C" w14:textId="52B28051"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3E6C1877" w14:textId="35E62029"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Survey</w:t>
            </w:r>
          </w:p>
        </w:tc>
        <w:tc>
          <w:tcPr>
            <w:tcW w:w="655" w:type="pct"/>
          </w:tcPr>
          <w:p w14:paraId="6E183A9D" w14:textId="0BB3979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697F4BF8" w14:textId="16CEB79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 xml:space="preserve">Employer perspectives on work-based </w:t>
            </w:r>
            <w:r w:rsidRPr="10D3787E">
              <w:lastRenderedPageBreak/>
              <w:t>learning; associational</w:t>
            </w:r>
          </w:p>
        </w:tc>
      </w:tr>
      <w:tr w:rsidR="002A728D" w14:paraId="7B824EFD"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07DAED4" w14:textId="64EA6C93" w:rsidR="002A728D" w:rsidRDefault="002A728D" w:rsidP="002A728D">
            <w:r w:rsidRPr="10D3787E">
              <w:lastRenderedPageBreak/>
              <w:t xml:space="preserve">Strauser, D. G., Price, R. A., Brehmer, C. E., &amp; Strauser, D. R. (2026). Exploring Employer’s Successful Hiring and Retention Practices of Individuals with Disabilities. Rehabilitation Counseling Bulletin, 69(2), 109–119. </w:t>
            </w:r>
            <w:hyperlink r:id="rId74">
              <w:r w:rsidRPr="002A728D">
                <w:rPr>
                  <w:rStyle w:val="Hyperlink"/>
                </w:rPr>
                <w:t>https://doi.org/10.1177/00343552241265319</w:t>
              </w:r>
            </w:hyperlink>
          </w:p>
        </w:tc>
        <w:tc>
          <w:tcPr>
            <w:tcW w:w="557" w:type="pct"/>
          </w:tcPr>
          <w:p w14:paraId="48F20A0C" w14:textId="59F6467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USA</w:t>
            </w:r>
          </w:p>
        </w:tc>
        <w:tc>
          <w:tcPr>
            <w:tcW w:w="375" w:type="pct"/>
          </w:tcPr>
          <w:p w14:paraId="2AA74465" w14:textId="24F19552"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367DFA35" w14:textId="3C4E8092"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Quantitative</w:t>
            </w:r>
          </w:p>
        </w:tc>
        <w:tc>
          <w:tcPr>
            <w:tcW w:w="655" w:type="pct"/>
          </w:tcPr>
          <w:p w14:paraId="79A23A1A" w14:textId="3FEA607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78644704" w14:textId="75037A25"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Identifies hiring and retention practices; associational evidence</w:t>
            </w:r>
          </w:p>
        </w:tc>
      </w:tr>
      <w:tr w:rsidR="002A728D" w14:paraId="492AB299"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B6DC959" w14:textId="509ED58E" w:rsidR="002A728D" w:rsidRDefault="002A728D" w:rsidP="002A728D">
            <w:r w:rsidRPr="10D3787E">
              <w:t xml:space="preserve">Strindlund, L., Abrandt-Dahlgren, M., &amp; Ståhl, C. (2019). Employers’ views on disability, employability, and labor market inclusion: A phenomenographic study. Disability and Rehabilitation, 41(24), 2910–2917. </w:t>
            </w:r>
            <w:hyperlink r:id="rId75">
              <w:r w:rsidRPr="002A728D">
                <w:rPr>
                  <w:rStyle w:val="Hyperlink"/>
                </w:rPr>
                <w:t>https://doi.org/10.1080/09638288.2018.1481150</w:t>
              </w:r>
            </w:hyperlink>
          </w:p>
        </w:tc>
        <w:tc>
          <w:tcPr>
            <w:tcW w:w="557" w:type="pct"/>
          </w:tcPr>
          <w:p w14:paraId="78346D65" w14:textId="4052CF34"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Sweden</w:t>
            </w:r>
          </w:p>
        </w:tc>
        <w:tc>
          <w:tcPr>
            <w:tcW w:w="375" w:type="pct"/>
          </w:tcPr>
          <w:p w14:paraId="69F6BF40" w14:textId="62FA21DC"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w:t>
            </w:r>
          </w:p>
        </w:tc>
        <w:tc>
          <w:tcPr>
            <w:tcW w:w="782" w:type="pct"/>
          </w:tcPr>
          <w:p w14:paraId="7291D387" w14:textId="43F0AD6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Qualitative (phenomenographic)</w:t>
            </w:r>
          </w:p>
        </w:tc>
        <w:tc>
          <w:tcPr>
            <w:tcW w:w="655" w:type="pct"/>
          </w:tcPr>
          <w:p w14:paraId="10FF5C77" w14:textId="1F1223A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Pr>
          <w:p w14:paraId="5F94F992" w14:textId="32C9AA3D"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Employer understandings of disability; descriptive</w:t>
            </w:r>
          </w:p>
        </w:tc>
      </w:tr>
      <w:tr w:rsidR="002A728D" w14:paraId="05DFAB90"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244B2CB9" w14:textId="3FF3BCCB" w:rsidR="002A728D" w:rsidRDefault="002A728D" w:rsidP="002A728D">
            <w:r w:rsidRPr="10D3787E">
              <w:t xml:space="preserve">Tamburo, J., Switzer, E., &amp; Gower, W. S. (2019). Lessons from the Diversity Partners Project: Using knowledge translation to </w:t>
            </w:r>
            <w:r w:rsidRPr="10D3787E">
              <w:lastRenderedPageBreak/>
              <w:t xml:space="preserve">strengthen business engagement strategies and improve employment outcomes for job seekers with disabilities. Journal of Vocational Rehabilitation, 50(3), 291–299. (136564576). </w:t>
            </w:r>
            <w:hyperlink r:id="rId76">
              <w:r w:rsidRPr="002A728D">
                <w:rPr>
                  <w:rStyle w:val="Hyperlink"/>
                </w:rPr>
                <w:t>https://doi.org/10.3233/JVR-191010</w:t>
              </w:r>
            </w:hyperlink>
          </w:p>
        </w:tc>
        <w:tc>
          <w:tcPr>
            <w:tcW w:w="557" w:type="pct"/>
          </w:tcPr>
          <w:p w14:paraId="3810F22D" w14:textId="5A88A93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lastRenderedPageBreak/>
              <w:t>USA</w:t>
            </w:r>
          </w:p>
        </w:tc>
        <w:tc>
          <w:tcPr>
            <w:tcW w:w="375" w:type="pct"/>
          </w:tcPr>
          <w:p w14:paraId="2833A441" w14:textId="30F1E22B"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2</w:t>
            </w:r>
          </w:p>
        </w:tc>
        <w:tc>
          <w:tcPr>
            <w:tcW w:w="782" w:type="pct"/>
          </w:tcPr>
          <w:p w14:paraId="2F42A6A3" w14:textId="2B1A3A19"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Programme evaluation</w:t>
            </w:r>
          </w:p>
        </w:tc>
        <w:tc>
          <w:tcPr>
            <w:tcW w:w="655" w:type="pct"/>
          </w:tcPr>
          <w:p w14:paraId="1F2D9496" w14:textId="321AD657"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1A3F5B34" w14:textId="6A83BCB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 xml:space="preserve">Knowledge translation intervention; </w:t>
            </w:r>
            <w:r w:rsidRPr="10D3787E">
              <w:lastRenderedPageBreak/>
              <w:t>non-experimental</w:t>
            </w:r>
          </w:p>
        </w:tc>
      </w:tr>
      <w:tr w:rsidR="002A728D" w14:paraId="6CBA0A60"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24A1AF09" w14:textId="387E5F65" w:rsidR="002A728D" w:rsidRDefault="002A728D" w:rsidP="002A728D">
            <w:r w:rsidRPr="10D3787E">
              <w:lastRenderedPageBreak/>
              <w:t xml:space="preserve">Tsagaris, G. S., Keeler, J., Carpenter, C., Blatt, G. R., &amp; Seck, M. M. (2026). An Alternative Approach to Employment Service Supports: Utilizing Localized Collaboration and Business Engagement. Journal of Vocational Rehabilitation, 64(1), 103–112. (190326277). </w:t>
            </w:r>
            <w:hyperlink r:id="rId77">
              <w:r w:rsidRPr="002A728D">
                <w:rPr>
                  <w:rStyle w:val="Hyperlink"/>
                </w:rPr>
                <w:t>https://doi.org/10.1177/10522263251394313</w:t>
              </w:r>
            </w:hyperlink>
          </w:p>
        </w:tc>
        <w:tc>
          <w:tcPr>
            <w:tcW w:w="557" w:type="pct"/>
          </w:tcPr>
          <w:p w14:paraId="36CB2155" w14:textId="114C6BFD"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USA</w:t>
            </w:r>
          </w:p>
        </w:tc>
        <w:tc>
          <w:tcPr>
            <w:tcW w:w="375" w:type="pct"/>
          </w:tcPr>
          <w:p w14:paraId="61DCED87" w14:textId="4A7E5F04"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Level 1–2</w:t>
            </w:r>
          </w:p>
        </w:tc>
        <w:tc>
          <w:tcPr>
            <w:tcW w:w="782" w:type="pct"/>
          </w:tcPr>
          <w:p w14:paraId="4AF75D16" w14:textId="47B4102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Case study</w:t>
            </w:r>
          </w:p>
        </w:tc>
        <w:tc>
          <w:tcPr>
            <w:tcW w:w="655" w:type="pct"/>
          </w:tcPr>
          <w:p w14:paraId="3200CD06" w14:textId="17EBD84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07592AF6" w14:textId="776AA9B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Local collaboration model; practice-based evidence</w:t>
            </w:r>
          </w:p>
        </w:tc>
      </w:tr>
      <w:tr w:rsidR="002A728D" w14:paraId="75A1E3A5"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5DC44030" w14:textId="398F884F" w:rsidR="002A728D" w:rsidRDefault="002A728D" w:rsidP="002A728D">
            <w:r w:rsidRPr="10D3787E">
              <w:t xml:space="preserve">Ulstein, J. (2025). The Impact of Employer Characteristics on Sustaining Employment for Workers with Reduced Capacity: Evidence from Norwegian Register Data. Social Policy and Society, 24(2), 232–247. </w:t>
            </w:r>
            <w:hyperlink r:id="rId78">
              <w:r w:rsidRPr="002A728D">
                <w:rPr>
                  <w:rStyle w:val="Hyperlink"/>
                </w:rPr>
                <w:t>https://doi.org/10.1017/S1474746423000027</w:t>
              </w:r>
            </w:hyperlink>
          </w:p>
        </w:tc>
        <w:tc>
          <w:tcPr>
            <w:tcW w:w="557" w:type="pct"/>
          </w:tcPr>
          <w:p w14:paraId="15A6479A" w14:textId="0F033EEC"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Norway</w:t>
            </w:r>
          </w:p>
        </w:tc>
        <w:tc>
          <w:tcPr>
            <w:tcW w:w="375" w:type="pct"/>
          </w:tcPr>
          <w:p w14:paraId="56807ED7" w14:textId="6D0FFCA9"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3</w:t>
            </w:r>
          </w:p>
        </w:tc>
        <w:tc>
          <w:tcPr>
            <w:tcW w:w="782" w:type="pct"/>
          </w:tcPr>
          <w:p w14:paraId="47EA9C14" w14:textId="4178E89C"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Register data (quantitative)</w:t>
            </w:r>
          </w:p>
        </w:tc>
        <w:tc>
          <w:tcPr>
            <w:tcW w:w="655" w:type="pct"/>
          </w:tcPr>
          <w:p w14:paraId="1B16875D" w14:textId="65EBD85A"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Positive</w:t>
            </w:r>
          </w:p>
        </w:tc>
        <w:tc>
          <w:tcPr>
            <w:tcW w:w="741" w:type="pct"/>
          </w:tcPr>
          <w:p w14:paraId="5E1C2FE7" w14:textId="60B20263"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Strong observational design linking employer characteristics to outcomes</w:t>
            </w:r>
          </w:p>
        </w:tc>
      </w:tr>
      <w:tr w:rsidR="002A728D" w14:paraId="73FA84F6"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07D588F5" w14:textId="7B6B5150" w:rsidR="002A728D" w:rsidRDefault="002A728D" w:rsidP="002A728D">
            <w:r w:rsidRPr="10D3787E">
              <w:lastRenderedPageBreak/>
              <w:t xml:space="preserve">Valizade, D., Ingold, J., &amp; Stuart, M. (2023). Employer Participation in Active Labour Market Policies in the United Kingdom and Denmark: The Effect of Employer Associations as Social Networks and the Mediating Role of Collective Voice. Work, Employment and Society, 37(4), 991–1012. </w:t>
            </w:r>
            <w:hyperlink r:id="rId79">
              <w:r w:rsidRPr="002A728D">
                <w:rPr>
                  <w:rStyle w:val="Hyperlink"/>
                </w:rPr>
                <w:t>https://doi.org/10.1177/09500170211063094</w:t>
              </w:r>
            </w:hyperlink>
          </w:p>
        </w:tc>
        <w:tc>
          <w:tcPr>
            <w:tcW w:w="557" w:type="pct"/>
          </w:tcPr>
          <w:p w14:paraId="1AA5B4E0" w14:textId="689F0CD5"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UK/Denmark</w:t>
            </w:r>
          </w:p>
        </w:tc>
        <w:tc>
          <w:tcPr>
            <w:tcW w:w="375" w:type="pct"/>
          </w:tcPr>
          <w:p w14:paraId="08D857A5" w14:textId="195CC1EE"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2</w:t>
            </w:r>
          </w:p>
        </w:tc>
        <w:tc>
          <w:tcPr>
            <w:tcW w:w="782" w:type="pct"/>
          </w:tcPr>
          <w:p w14:paraId="49168E04" w14:textId="0103C63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Quantitative</w:t>
            </w:r>
          </w:p>
        </w:tc>
        <w:tc>
          <w:tcPr>
            <w:tcW w:w="655" w:type="pct"/>
          </w:tcPr>
          <w:p w14:paraId="7C9216A6" w14:textId="6D77A47A"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Positive</w:t>
            </w:r>
          </w:p>
        </w:tc>
        <w:tc>
          <w:tcPr>
            <w:tcW w:w="741" w:type="pct"/>
          </w:tcPr>
          <w:p w14:paraId="3D17EEA2" w14:textId="42B861BF"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Employer networks and ALMP participation; correlational</w:t>
            </w:r>
          </w:p>
        </w:tc>
      </w:tr>
      <w:tr w:rsidR="002A728D" w14:paraId="7289B7E7"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Pr>
          <w:p w14:paraId="48F35CB2" w14:textId="43F6AA0C" w:rsidR="002A728D" w:rsidRDefault="002A728D" w:rsidP="002A728D">
            <w:r w:rsidRPr="10D3787E">
              <w:t xml:space="preserve">Van Berkel, R. (2021). Employer Engagement in Promoting the Labour-Market Participation of Jobseekers with Disabilities. An Employer Perspective. Social Policy and Society, 20(4), 533–547. </w:t>
            </w:r>
            <w:hyperlink r:id="rId80">
              <w:r w:rsidRPr="002A728D">
                <w:rPr>
                  <w:rStyle w:val="Hyperlink"/>
                </w:rPr>
                <w:t>https://doi.org/10.1017/S147474642000038X</w:t>
              </w:r>
            </w:hyperlink>
          </w:p>
        </w:tc>
        <w:tc>
          <w:tcPr>
            <w:tcW w:w="557" w:type="pct"/>
          </w:tcPr>
          <w:p w14:paraId="2DC56845" w14:textId="3D425BC4"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Europe</w:t>
            </w:r>
          </w:p>
        </w:tc>
        <w:tc>
          <w:tcPr>
            <w:tcW w:w="375" w:type="pct"/>
          </w:tcPr>
          <w:p w14:paraId="7B964A5D" w14:textId="1688758B"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Pr>
          <w:p w14:paraId="55903E36" w14:textId="7E46C23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Conceptual / review</w:t>
            </w:r>
          </w:p>
        </w:tc>
        <w:tc>
          <w:tcPr>
            <w:tcW w:w="655" w:type="pct"/>
          </w:tcPr>
          <w:p w14:paraId="1D7D2324" w14:textId="3A3363E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Neutral</w:t>
            </w:r>
          </w:p>
        </w:tc>
        <w:tc>
          <w:tcPr>
            <w:tcW w:w="741" w:type="pct"/>
          </w:tcPr>
          <w:p w14:paraId="704EDDAA" w14:textId="0949BBEE"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Employer perspective framing; no empirical testing</w:t>
            </w:r>
          </w:p>
        </w:tc>
      </w:tr>
      <w:tr w:rsidR="002A728D" w14:paraId="01EA5F0F" w14:textId="77777777" w:rsidTr="002A72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Borders>
              <w:bottom w:val="single" w:sz="4" w:space="0" w:color="C0C0C0" w:themeColor="accent5"/>
            </w:tcBorders>
          </w:tcPr>
          <w:p w14:paraId="50396859" w14:textId="0AA2A11F" w:rsidR="002A728D" w:rsidRDefault="002A728D" w:rsidP="002A728D">
            <w:r w:rsidRPr="10D3787E">
              <w:t xml:space="preserve">van Berkel, R., &amp; Breit, E. (2025). Organizational Practices for the Inclusion of People with Disabilities. A Scoping Review. Journal of Occupational Rehabilitation, 35(3), 469–478. (187381853). </w:t>
            </w:r>
            <w:hyperlink r:id="rId81">
              <w:r w:rsidRPr="002A728D">
                <w:rPr>
                  <w:rStyle w:val="Hyperlink"/>
                </w:rPr>
                <w:t>https://doi.org/10.1007/s10926-024-10228-5</w:t>
              </w:r>
            </w:hyperlink>
          </w:p>
        </w:tc>
        <w:tc>
          <w:tcPr>
            <w:tcW w:w="557" w:type="pct"/>
            <w:tcBorders>
              <w:bottom w:val="single" w:sz="4" w:space="0" w:color="C0C0C0" w:themeColor="accent5"/>
            </w:tcBorders>
          </w:tcPr>
          <w:p w14:paraId="21664C5F" w14:textId="138ED942"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lastRenderedPageBreak/>
              <w:t>Multi-country</w:t>
            </w:r>
          </w:p>
        </w:tc>
        <w:tc>
          <w:tcPr>
            <w:tcW w:w="375" w:type="pct"/>
            <w:tcBorders>
              <w:bottom w:val="single" w:sz="4" w:space="0" w:color="C0C0C0" w:themeColor="accent5"/>
            </w:tcBorders>
          </w:tcPr>
          <w:p w14:paraId="3A1A58DF" w14:textId="0C12242D" w:rsidR="002A728D" w:rsidRPr="10D3787E" w:rsidRDefault="002A728D" w:rsidP="002A728D">
            <w:pPr>
              <w:cnfStyle w:val="000000100000" w:firstRow="0" w:lastRow="0" w:firstColumn="0" w:lastColumn="0" w:oddVBand="0" w:evenVBand="0" w:oddHBand="1" w:evenHBand="0" w:firstRowFirstColumn="0" w:firstRowLastColumn="0" w:lastRowFirstColumn="0" w:lastRowLastColumn="0"/>
            </w:pPr>
            <w:r w:rsidRPr="10D3787E">
              <w:t>1–2</w:t>
            </w:r>
          </w:p>
        </w:tc>
        <w:tc>
          <w:tcPr>
            <w:tcW w:w="782" w:type="pct"/>
            <w:tcBorders>
              <w:bottom w:val="single" w:sz="4" w:space="0" w:color="C0C0C0" w:themeColor="accent5"/>
            </w:tcBorders>
          </w:tcPr>
          <w:p w14:paraId="66D2897F" w14:textId="5D55A7F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Scoping review</w:t>
            </w:r>
          </w:p>
        </w:tc>
        <w:tc>
          <w:tcPr>
            <w:tcW w:w="655" w:type="pct"/>
            <w:tcBorders>
              <w:bottom w:val="single" w:sz="4" w:space="0" w:color="C0C0C0" w:themeColor="accent5"/>
            </w:tcBorders>
          </w:tcPr>
          <w:p w14:paraId="6A97335D" w14:textId="43F0004C"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Mixed</w:t>
            </w:r>
          </w:p>
        </w:tc>
        <w:tc>
          <w:tcPr>
            <w:tcW w:w="741" w:type="pct"/>
            <w:tcBorders>
              <w:bottom w:val="single" w:sz="4" w:space="0" w:color="C0C0C0" w:themeColor="accent5"/>
            </w:tcBorders>
          </w:tcPr>
          <w:p w14:paraId="330C92C2" w14:textId="0B117D2E" w:rsidR="002A728D" w:rsidRDefault="002A728D" w:rsidP="002A728D">
            <w:pPr>
              <w:cnfStyle w:val="000000100000" w:firstRow="0" w:lastRow="0" w:firstColumn="0" w:lastColumn="0" w:oddVBand="0" w:evenVBand="0" w:oddHBand="1" w:evenHBand="0" w:firstRowFirstColumn="0" w:firstRowLastColumn="0" w:lastRowFirstColumn="0" w:lastRowLastColumn="0"/>
            </w:pPr>
            <w:r w:rsidRPr="10D3787E">
              <w:t>Organisational practices; limited causal evidence</w:t>
            </w:r>
          </w:p>
        </w:tc>
      </w:tr>
      <w:tr w:rsidR="002A728D" w14:paraId="0AA7241A" w14:textId="77777777" w:rsidTr="002A728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0" w:type="pct"/>
            <w:tcBorders>
              <w:bottom w:val="single" w:sz="4" w:space="0" w:color="C0C0C0" w:themeColor="accent5"/>
            </w:tcBorders>
          </w:tcPr>
          <w:p w14:paraId="09116AE2" w14:textId="1AB141DB" w:rsidR="002A728D" w:rsidRDefault="002A728D" w:rsidP="002A728D">
            <w:r w:rsidRPr="10D3787E">
              <w:t xml:space="preserve">Van Berkel, R., Ingold, J., McGurk, P., Boselie, P., &amp; Bredgaard, T. (2017). Editorial introduction: An introduction to employer engagement in the field of HRM. Blending social policy and HRM research in promoting vulnerable groups’ labour. Human Res Mgmt Journal, 27(4), 503–513. </w:t>
            </w:r>
            <w:hyperlink r:id="rId82">
              <w:r w:rsidRPr="002A728D">
                <w:rPr>
                  <w:rStyle w:val="Hyperlink"/>
                </w:rPr>
                <w:t>https://doi.org/10.1111/1748-8583.12169</w:t>
              </w:r>
            </w:hyperlink>
          </w:p>
        </w:tc>
        <w:tc>
          <w:tcPr>
            <w:tcW w:w="557" w:type="pct"/>
            <w:tcBorders>
              <w:bottom w:val="single" w:sz="4" w:space="0" w:color="C0C0C0" w:themeColor="accent5"/>
            </w:tcBorders>
          </w:tcPr>
          <w:p w14:paraId="09114A87" w14:textId="4EDE1018"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Multi-country</w:t>
            </w:r>
          </w:p>
        </w:tc>
        <w:tc>
          <w:tcPr>
            <w:tcW w:w="375" w:type="pct"/>
            <w:tcBorders>
              <w:bottom w:val="single" w:sz="4" w:space="0" w:color="C0C0C0" w:themeColor="accent5"/>
            </w:tcBorders>
          </w:tcPr>
          <w:p w14:paraId="5B0251B3" w14:textId="2F027B2F" w:rsidR="002A728D" w:rsidRPr="10D3787E" w:rsidRDefault="002A728D" w:rsidP="002A728D">
            <w:pPr>
              <w:cnfStyle w:val="000000010000" w:firstRow="0" w:lastRow="0" w:firstColumn="0" w:lastColumn="0" w:oddVBand="0" w:evenVBand="0" w:oddHBand="0" w:evenHBand="1" w:firstRowFirstColumn="0" w:firstRowLastColumn="0" w:lastRowFirstColumn="0" w:lastRowLastColumn="0"/>
            </w:pPr>
            <w:r w:rsidRPr="10D3787E">
              <w:t>1</w:t>
            </w:r>
          </w:p>
        </w:tc>
        <w:tc>
          <w:tcPr>
            <w:tcW w:w="782" w:type="pct"/>
            <w:tcBorders>
              <w:bottom w:val="single" w:sz="4" w:space="0" w:color="C0C0C0" w:themeColor="accent5"/>
            </w:tcBorders>
          </w:tcPr>
          <w:p w14:paraId="4931820A" w14:textId="246BEA25"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Editorial / conceptual</w:t>
            </w:r>
          </w:p>
        </w:tc>
        <w:tc>
          <w:tcPr>
            <w:tcW w:w="655" w:type="pct"/>
            <w:tcBorders>
              <w:bottom w:val="single" w:sz="4" w:space="0" w:color="C0C0C0" w:themeColor="accent5"/>
            </w:tcBorders>
          </w:tcPr>
          <w:p w14:paraId="48417578" w14:textId="7CA3D2F6"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Neutral</w:t>
            </w:r>
          </w:p>
        </w:tc>
        <w:tc>
          <w:tcPr>
            <w:tcW w:w="741" w:type="pct"/>
            <w:tcBorders>
              <w:bottom w:val="single" w:sz="4" w:space="0" w:color="C0C0C0" w:themeColor="accent5"/>
            </w:tcBorders>
          </w:tcPr>
          <w:p w14:paraId="47ED6CC2" w14:textId="11399E0B" w:rsidR="002A728D" w:rsidRDefault="002A728D" w:rsidP="002A728D">
            <w:pPr>
              <w:cnfStyle w:val="000000010000" w:firstRow="0" w:lastRow="0" w:firstColumn="0" w:lastColumn="0" w:oddVBand="0" w:evenVBand="0" w:oddHBand="0" w:evenHBand="1" w:firstRowFirstColumn="0" w:firstRowLastColumn="0" w:lastRowFirstColumn="0" w:lastRowLastColumn="0"/>
            </w:pPr>
            <w:r w:rsidRPr="10D3787E">
              <w:t>Field framing; no empirical evidence</w:t>
            </w:r>
          </w:p>
        </w:tc>
      </w:tr>
    </w:tbl>
    <w:p w14:paraId="237D4D75" w14:textId="77777777" w:rsidR="00CD2087" w:rsidRDefault="00CD2087" w:rsidP="002726F7">
      <w:pPr>
        <w:sectPr w:rsidR="00CD2087" w:rsidSect="002E0324">
          <w:pgSz w:w="16838" w:h="11906" w:orient="landscape" w:code="9"/>
          <w:pgMar w:top="1134" w:right="1134" w:bottom="1134" w:left="1134" w:header="454" w:footer="0" w:gutter="0"/>
          <w:cols w:space="708"/>
          <w:docGrid w:linePitch="360"/>
        </w:sectPr>
      </w:pPr>
    </w:p>
    <w:p w14:paraId="37A6D716" w14:textId="0494AA3C" w:rsidR="009848E8" w:rsidRPr="00AF7D17" w:rsidRDefault="006A0BD4" w:rsidP="00AF7D17">
      <w:pPr>
        <w:pStyle w:val="Heading1"/>
      </w:pPr>
      <w:bookmarkStart w:id="34" w:name="_Toc232075649"/>
      <w:r w:rsidRPr="009848E8">
        <w:lastRenderedPageBreak/>
        <w:t xml:space="preserve">Appendix </w:t>
      </w:r>
      <w:r w:rsidR="002F43DB" w:rsidRPr="009848E8">
        <w:t>F</w:t>
      </w:r>
      <w:r w:rsidR="0018796A">
        <w:t>.</w:t>
      </w:r>
      <w:r w:rsidRPr="009848E8">
        <w:t xml:space="preserve"> </w:t>
      </w:r>
      <w:r w:rsidR="006937C4" w:rsidRPr="009848E8">
        <w:t xml:space="preserve">Formal </w:t>
      </w:r>
      <w:r w:rsidR="0018796A" w:rsidRPr="009848E8">
        <w:t>resource-gap analysis</w:t>
      </w:r>
      <w:bookmarkEnd w:id="34"/>
    </w:p>
    <w:p w14:paraId="475AB082" w14:textId="6587FBAD" w:rsidR="00102488" w:rsidRDefault="005F781F" w:rsidP="002726F7">
      <w:r w:rsidRPr="001F21CB">
        <w:t>The following content summarises the audited resource landscape and makes explicit where the current toolkit base is strong, thin, or operationally constrained. All counts are generated from the Resource audit sheet. The analysis is intended to support a narrative on resource availability, usefulness, accessibility and intellectual-property constraints.</w:t>
      </w:r>
    </w:p>
    <w:p w14:paraId="0C868227" w14:textId="6F14BBC8" w:rsidR="76BF6B29" w:rsidRPr="00DE607D" w:rsidRDefault="00C16257" w:rsidP="002726F7">
      <w:pPr>
        <w:rPr>
          <w:rFonts w:eastAsia="Aptos"/>
          <w:b/>
          <w:bCs/>
          <w:color w:val="000000"/>
        </w:rPr>
      </w:pPr>
      <w:r w:rsidRPr="00DE607D">
        <w:rPr>
          <w:rFonts w:eastAsia="Aptos"/>
          <w:b/>
          <w:bCs/>
          <w:color w:val="000000"/>
        </w:rPr>
        <w:t>O</w:t>
      </w:r>
      <w:r w:rsidRPr="00DE607D">
        <w:rPr>
          <w:b/>
          <w:bCs/>
        </w:rPr>
        <w:t xml:space="preserve">verview of </w:t>
      </w:r>
      <w:r w:rsidR="005A5239" w:rsidRPr="00DE607D">
        <w:rPr>
          <w:b/>
          <w:bCs/>
        </w:rPr>
        <w:t>audited resource base and key accessibility indicators</w:t>
      </w:r>
    </w:p>
    <w:tbl>
      <w:tblPr>
        <w:tblStyle w:val="CIETable"/>
        <w:tblW w:w="9660" w:type="dxa"/>
        <w:tblLook w:val="04A0" w:firstRow="1" w:lastRow="0" w:firstColumn="1" w:lastColumn="0" w:noHBand="0" w:noVBand="1"/>
      </w:tblPr>
      <w:tblGrid>
        <w:gridCol w:w="2940"/>
        <w:gridCol w:w="1313"/>
        <w:gridCol w:w="5407"/>
      </w:tblGrid>
      <w:tr w:rsidR="00590CB8" w:rsidRPr="00102488" w14:paraId="220E5221" w14:textId="77777777" w:rsidTr="00952F7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40" w:type="dxa"/>
            <w:hideMark/>
          </w:tcPr>
          <w:p w14:paraId="55196F46" w14:textId="77777777" w:rsidR="00102488" w:rsidRPr="00102488" w:rsidRDefault="00102488" w:rsidP="00DE607D">
            <w:pPr>
              <w:pStyle w:val="TableHeading"/>
              <w:rPr>
                <w:lang w:val="en-GB" w:eastAsia="en-GB" w:bidi="si-LK"/>
              </w:rPr>
            </w:pPr>
            <w:r w:rsidRPr="00102488">
              <w:rPr>
                <w:lang w:val="en-GB" w:eastAsia="en-GB" w:bidi="si-LK"/>
              </w:rPr>
              <w:t>Summary metric</w:t>
            </w:r>
          </w:p>
        </w:tc>
        <w:tc>
          <w:tcPr>
            <w:tcW w:w="1313" w:type="dxa"/>
            <w:hideMark/>
          </w:tcPr>
          <w:p w14:paraId="4BCEA8D8" w14:textId="77777777" w:rsidR="00102488" w:rsidRPr="00102488" w:rsidRDefault="00102488" w:rsidP="00DE607D">
            <w:pPr>
              <w:pStyle w:val="TableHeading"/>
              <w:cnfStyle w:val="100000000000" w:firstRow="1" w:lastRow="0" w:firstColumn="0" w:lastColumn="0" w:oddVBand="0" w:evenVBand="0" w:oddHBand="0" w:evenHBand="0" w:firstRowFirstColumn="0" w:firstRowLastColumn="0" w:lastRowFirstColumn="0" w:lastRowLastColumn="0"/>
              <w:rPr>
                <w:lang w:val="en-GB" w:eastAsia="en-GB" w:bidi="si-LK"/>
              </w:rPr>
            </w:pPr>
            <w:r w:rsidRPr="00102488">
              <w:rPr>
                <w:lang w:val="en-GB" w:eastAsia="en-GB" w:bidi="si-LK"/>
              </w:rPr>
              <w:t>Value</w:t>
            </w:r>
          </w:p>
        </w:tc>
        <w:tc>
          <w:tcPr>
            <w:tcW w:w="5407" w:type="dxa"/>
            <w:hideMark/>
          </w:tcPr>
          <w:p w14:paraId="52304D32" w14:textId="77777777" w:rsidR="00102488" w:rsidRPr="00102488" w:rsidRDefault="00102488" w:rsidP="00DE607D">
            <w:pPr>
              <w:pStyle w:val="TableHeading"/>
              <w:cnfStyle w:val="100000000000" w:firstRow="1" w:lastRow="0" w:firstColumn="0" w:lastColumn="0" w:oddVBand="0" w:evenVBand="0" w:oddHBand="0" w:evenHBand="0" w:firstRowFirstColumn="0" w:firstRowLastColumn="0" w:lastRowFirstColumn="0" w:lastRowLastColumn="0"/>
              <w:rPr>
                <w:lang w:val="en-GB" w:eastAsia="en-GB" w:bidi="si-LK"/>
              </w:rPr>
            </w:pPr>
            <w:r w:rsidRPr="00102488">
              <w:rPr>
                <w:lang w:val="en-GB" w:eastAsia="en-GB" w:bidi="si-LK"/>
              </w:rPr>
              <w:t>Interpretive note</w:t>
            </w:r>
          </w:p>
        </w:tc>
      </w:tr>
      <w:tr w:rsidR="00590CB8" w:rsidRPr="00102488" w14:paraId="4CA8760C" w14:textId="77777777" w:rsidTr="00952F7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40" w:type="dxa"/>
            <w:hideMark/>
          </w:tcPr>
          <w:p w14:paraId="1A718319" w14:textId="77777777" w:rsidR="00102488" w:rsidRPr="00102488" w:rsidRDefault="00102488" w:rsidP="002726F7">
            <w:pPr>
              <w:rPr>
                <w:lang w:val="en-GB" w:eastAsia="en-GB" w:bidi="si-LK"/>
              </w:rPr>
            </w:pPr>
            <w:r w:rsidRPr="00102488">
              <w:rPr>
                <w:lang w:val="en-GB" w:eastAsia="en-GB" w:bidi="si-LK"/>
              </w:rPr>
              <w:t>Total resources</w:t>
            </w:r>
          </w:p>
        </w:tc>
        <w:tc>
          <w:tcPr>
            <w:tcW w:w="1313" w:type="dxa"/>
            <w:hideMark/>
          </w:tcPr>
          <w:p w14:paraId="0FBF1806" w14:textId="448347DF"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216</w:t>
            </w:r>
          </w:p>
        </w:tc>
        <w:tc>
          <w:tcPr>
            <w:tcW w:w="5407" w:type="dxa"/>
            <w:hideMark/>
          </w:tcPr>
          <w:p w14:paraId="31094BAA"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Total items in the supplied source list.</w:t>
            </w:r>
          </w:p>
        </w:tc>
      </w:tr>
      <w:tr w:rsidR="00590CB8" w:rsidRPr="00102488" w14:paraId="232F0506" w14:textId="77777777" w:rsidTr="00952F7C">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0" w:type="dxa"/>
            <w:hideMark/>
          </w:tcPr>
          <w:p w14:paraId="75C59A86" w14:textId="77777777" w:rsidR="00102488" w:rsidRPr="00102488" w:rsidRDefault="00102488" w:rsidP="002726F7">
            <w:pPr>
              <w:rPr>
                <w:lang w:val="en-GB" w:eastAsia="en-GB" w:bidi="si-LK"/>
              </w:rPr>
            </w:pPr>
            <w:r w:rsidRPr="00102488">
              <w:rPr>
                <w:lang w:val="en-GB" w:eastAsia="en-GB" w:bidi="si-LK"/>
              </w:rPr>
              <w:t>Peer-reviewed journal articles</w:t>
            </w:r>
          </w:p>
        </w:tc>
        <w:tc>
          <w:tcPr>
            <w:tcW w:w="1313" w:type="dxa"/>
            <w:hideMark/>
          </w:tcPr>
          <w:p w14:paraId="38C603A9"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73</w:t>
            </w:r>
          </w:p>
        </w:tc>
        <w:tc>
          <w:tcPr>
            <w:tcW w:w="5407" w:type="dxa"/>
            <w:hideMark/>
          </w:tcPr>
          <w:p w14:paraId="1F874356"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Formal peer-reviewed evidence base.</w:t>
            </w:r>
          </w:p>
        </w:tc>
      </w:tr>
      <w:tr w:rsidR="00590CB8" w:rsidRPr="00102488" w14:paraId="1BAF0DAD" w14:textId="77777777" w:rsidTr="00952F7C">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0" w:type="dxa"/>
            <w:hideMark/>
          </w:tcPr>
          <w:p w14:paraId="5DE0754B" w14:textId="77777777" w:rsidR="00102488" w:rsidRPr="00102488" w:rsidRDefault="00102488" w:rsidP="002726F7">
            <w:pPr>
              <w:rPr>
                <w:lang w:val="en-GB" w:eastAsia="en-GB" w:bidi="si-LK"/>
              </w:rPr>
            </w:pPr>
            <w:r w:rsidRPr="00102488">
              <w:rPr>
                <w:lang w:val="en-GB" w:eastAsia="en-GB" w:bidi="si-LK"/>
              </w:rPr>
              <w:t>High-practicality resources</w:t>
            </w:r>
          </w:p>
        </w:tc>
        <w:tc>
          <w:tcPr>
            <w:tcW w:w="1313" w:type="dxa"/>
            <w:hideMark/>
          </w:tcPr>
          <w:p w14:paraId="0700AE58"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53</w:t>
            </w:r>
          </w:p>
        </w:tc>
        <w:tc>
          <w:tcPr>
            <w:tcW w:w="5407" w:type="dxa"/>
            <w:hideMark/>
          </w:tcPr>
          <w:p w14:paraId="402D0F41"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Resources that read most like toolkits, guides, checklists or web tools.</w:t>
            </w:r>
          </w:p>
        </w:tc>
      </w:tr>
      <w:tr w:rsidR="00590CB8" w:rsidRPr="00102488" w14:paraId="2CF4B045" w14:textId="77777777" w:rsidTr="00952F7C">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0" w:type="dxa"/>
            <w:hideMark/>
          </w:tcPr>
          <w:p w14:paraId="25AC7041" w14:textId="77777777" w:rsidR="00102488" w:rsidRPr="00102488" w:rsidRDefault="00102488" w:rsidP="002726F7">
            <w:pPr>
              <w:rPr>
                <w:lang w:val="en-GB" w:eastAsia="en-GB" w:bidi="si-LK"/>
              </w:rPr>
            </w:pPr>
            <w:r w:rsidRPr="00102488">
              <w:rPr>
                <w:lang w:val="en-GB" w:eastAsia="en-GB" w:bidi="si-LK"/>
              </w:rPr>
              <w:t>Resources with a direct DOI/URL</w:t>
            </w:r>
          </w:p>
        </w:tc>
        <w:tc>
          <w:tcPr>
            <w:tcW w:w="1313" w:type="dxa"/>
            <w:hideMark/>
          </w:tcPr>
          <w:p w14:paraId="635B2F40"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178</w:t>
            </w:r>
          </w:p>
        </w:tc>
        <w:tc>
          <w:tcPr>
            <w:tcW w:w="5407" w:type="dxa"/>
            <w:hideMark/>
          </w:tcPr>
          <w:p w14:paraId="3C308896"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Items for which a live access path was already present in the source list.</w:t>
            </w:r>
          </w:p>
        </w:tc>
      </w:tr>
      <w:tr w:rsidR="00590CB8" w:rsidRPr="00102488" w14:paraId="4DE0D0AF" w14:textId="77777777" w:rsidTr="00952F7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940" w:type="dxa"/>
            <w:tcBorders>
              <w:bottom w:val="single" w:sz="4" w:space="0" w:color="C0C0C0" w:themeColor="accent5"/>
            </w:tcBorders>
            <w:hideMark/>
          </w:tcPr>
          <w:p w14:paraId="421B0F5F" w14:textId="77777777" w:rsidR="00102488" w:rsidRPr="00102488" w:rsidRDefault="00102488" w:rsidP="002726F7">
            <w:pPr>
              <w:rPr>
                <w:lang w:val="en-GB" w:eastAsia="en-GB" w:bidi="si-LK"/>
              </w:rPr>
            </w:pPr>
            <w:r w:rsidRPr="00102488">
              <w:rPr>
                <w:lang w:val="en-GB" w:eastAsia="en-GB" w:bidi="si-LK"/>
              </w:rPr>
              <w:t>Resources with restricted/proprietary reuse</w:t>
            </w:r>
          </w:p>
        </w:tc>
        <w:tc>
          <w:tcPr>
            <w:tcW w:w="1313" w:type="dxa"/>
            <w:tcBorders>
              <w:bottom w:val="single" w:sz="4" w:space="0" w:color="C0C0C0" w:themeColor="accent5"/>
            </w:tcBorders>
            <w:hideMark/>
          </w:tcPr>
          <w:p w14:paraId="23299438"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9</w:t>
            </w:r>
          </w:p>
        </w:tc>
        <w:tc>
          <w:tcPr>
            <w:tcW w:w="5407" w:type="dxa"/>
            <w:tcBorders>
              <w:bottom w:val="single" w:sz="4" w:space="0" w:color="C0C0C0" w:themeColor="accent5"/>
            </w:tcBorders>
            <w:hideMark/>
          </w:tcPr>
          <w:p w14:paraId="0D27E09E"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Items likely to require explicit owner permission.</w:t>
            </w:r>
          </w:p>
        </w:tc>
      </w:tr>
      <w:tr w:rsidR="00590CB8" w:rsidRPr="00102488" w14:paraId="24FD686F" w14:textId="77777777" w:rsidTr="00952F7C">
        <w:trPr>
          <w:cnfStyle w:val="000000010000" w:firstRow="0" w:lastRow="0" w:firstColumn="0" w:lastColumn="0" w:oddVBand="0" w:evenVBand="0" w:oddHBand="0" w:evenHBand="1"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940" w:type="dxa"/>
            <w:tcBorders>
              <w:bottom w:val="single" w:sz="4" w:space="0" w:color="C0C0C0" w:themeColor="accent5"/>
            </w:tcBorders>
            <w:hideMark/>
          </w:tcPr>
          <w:p w14:paraId="44B2A7C2" w14:textId="77777777" w:rsidR="00102488" w:rsidRPr="00102488" w:rsidRDefault="00102488" w:rsidP="002726F7">
            <w:pPr>
              <w:rPr>
                <w:lang w:val="en-GB" w:eastAsia="en-GB" w:bidi="si-LK"/>
              </w:rPr>
            </w:pPr>
            <w:r w:rsidRPr="00102488">
              <w:rPr>
                <w:lang w:val="en-GB" w:eastAsia="en-GB" w:bidi="si-LK"/>
              </w:rPr>
              <w:t>Resources with no explicit subgroup/context</w:t>
            </w:r>
          </w:p>
        </w:tc>
        <w:tc>
          <w:tcPr>
            <w:tcW w:w="1313" w:type="dxa"/>
            <w:tcBorders>
              <w:bottom w:val="single" w:sz="4" w:space="0" w:color="C0C0C0" w:themeColor="accent5"/>
            </w:tcBorders>
            <w:hideMark/>
          </w:tcPr>
          <w:p w14:paraId="14DAA3AF"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195</w:t>
            </w:r>
          </w:p>
        </w:tc>
        <w:tc>
          <w:tcPr>
            <w:tcW w:w="5407" w:type="dxa"/>
            <w:tcBorders>
              <w:bottom w:val="single" w:sz="4" w:space="0" w:color="C0C0C0" w:themeColor="accent5"/>
            </w:tcBorders>
            <w:hideMark/>
          </w:tcPr>
          <w:p w14:paraId="22C61AC3"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Signals where tailoring to intersectional or priority contexts is not visible from the title alone.</w:t>
            </w:r>
          </w:p>
        </w:tc>
      </w:tr>
    </w:tbl>
    <w:p w14:paraId="6A89C3D7" w14:textId="77777777" w:rsidR="00952F7C" w:rsidRDefault="00952F7C" w:rsidP="002726F7">
      <w:pPr>
        <w:rPr>
          <w:b/>
          <w:bCs/>
        </w:rPr>
      </w:pPr>
      <w:r>
        <w:rPr>
          <w:b/>
          <w:bCs/>
        </w:rPr>
        <w:br w:type="page"/>
      </w:r>
    </w:p>
    <w:p w14:paraId="58A77AA9" w14:textId="31EA74A8" w:rsidR="00102488" w:rsidRPr="00DE607D" w:rsidRDefault="00D86AEC" w:rsidP="002726F7">
      <w:pPr>
        <w:rPr>
          <w:b/>
          <w:bCs/>
        </w:rPr>
      </w:pPr>
      <w:r w:rsidRPr="00DE607D">
        <w:rPr>
          <w:b/>
          <w:bCs/>
        </w:rPr>
        <w:lastRenderedPageBreak/>
        <w:t xml:space="preserve">Proportional </w:t>
      </w:r>
      <w:r w:rsidR="005A5239" w:rsidRPr="00DE607D">
        <w:rPr>
          <w:b/>
          <w:bCs/>
        </w:rPr>
        <w:t>distribution of practical, accessible, and reusable resources</w:t>
      </w:r>
    </w:p>
    <w:tbl>
      <w:tblPr>
        <w:tblStyle w:val="CIETable"/>
        <w:tblW w:w="5000" w:type="pct"/>
        <w:tblLook w:val="04A0" w:firstRow="1" w:lastRow="0" w:firstColumn="1" w:lastColumn="0" w:noHBand="0" w:noVBand="1"/>
      </w:tblPr>
      <w:tblGrid>
        <w:gridCol w:w="2982"/>
        <w:gridCol w:w="1221"/>
        <w:gridCol w:w="5425"/>
      </w:tblGrid>
      <w:tr w:rsidR="00102488" w:rsidRPr="00952F7C" w14:paraId="40D2B571" w14:textId="77777777" w:rsidTr="00952F7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97" w:type="pct"/>
            <w:hideMark/>
          </w:tcPr>
          <w:p w14:paraId="7B572206" w14:textId="77777777" w:rsidR="00102488" w:rsidRPr="00952F7C" w:rsidRDefault="00102488" w:rsidP="00952F7C">
            <w:pPr>
              <w:pStyle w:val="TableHeading"/>
              <w:rPr>
                <w:lang w:bidi="si-LK"/>
              </w:rPr>
            </w:pPr>
            <w:r w:rsidRPr="00952F7C">
              <w:rPr>
                <w:lang w:bidi="si-LK"/>
              </w:rPr>
              <w:t>Proportion</w:t>
            </w:r>
          </w:p>
        </w:tc>
        <w:tc>
          <w:tcPr>
            <w:tcW w:w="523" w:type="pct"/>
            <w:hideMark/>
          </w:tcPr>
          <w:p w14:paraId="58C13F2F" w14:textId="77777777" w:rsidR="00102488" w:rsidRPr="00952F7C" w:rsidRDefault="00102488" w:rsidP="00952F7C">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952F7C">
              <w:rPr>
                <w:lang w:bidi="si-LK"/>
              </w:rPr>
              <w:t>Formula</w:t>
            </w:r>
          </w:p>
        </w:tc>
        <w:tc>
          <w:tcPr>
            <w:tcW w:w="3080" w:type="pct"/>
            <w:hideMark/>
          </w:tcPr>
          <w:p w14:paraId="08A1C36C" w14:textId="77777777" w:rsidR="00102488" w:rsidRPr="00952F7C" w:rsidRDefault="00102488" w:rsidP="00952F7C">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952F7C">
              <w:rPr>
                <w:lang w:bidi="si-LK"/>
              </w:rPr>
              <w:t>Meaning</w:t>
            </w:r>
          </w:p>
        </w:tc>
      </w:tr>
      <w:tr w:rsidR="00102488" w:rsidRPr="00102488" w14:paraId="7D06323F" w14:textId="77777777" w:rsidTr="00952F7C">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397" w:type="pct"/>
            <w:hideMark/>
          </w:tcPr>
          <w:p w14:paraId="6E877428" w14:textId="77777777" w:rsidR="00102488" w:rsidRPr="00102488" w:rsidRDefault="00102488" w:rsidP="002726F7">
            <w:pPr>
              <w:rPr>
                <w:lang w:val="en-GB" w:eastAsia="en-GB" w:bidi="si-LK"/>
              </w:rPr>
            </w:pPr>
            <w:r w:rsidRPr="00102488">
              <w:rPr>
                <w:lang w:val="en-GB" w:eastAsia="en-GB" w:bidi="si-LK"/>
              </w:rPr>
              <w:t>High-practicality share</w:t>
            </w:r>
          </w:p>
        </w:tc>
        <w:tc>
          <w:tcPr>
            <w:tcW w:w="523" w:type="pct"/>
            <w:hideMark/>
          </w:tcPr>
          <w:p w14:paraId="5D802701"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25%</w:t>
            </w:r>
          </w:p>
        </w:tc>
        <w:tc>
          <w:tcPr>
            <w:tcW w:w="3080" w:type="pct"/>
            <w:hideMark/>
          </w:tcPr>
          <w:p w14:paraId="1865309A"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 xml:space="preserve">Resources that look immediately usable as tools (% of total list) </w:t>
            </w:r>
          </w:p>
        </w:tc>
      </w:tr>
      <w:tr w:rsidR="00102488" w:rsidRPr="00102488" w14:paraId="1B233F2C" w14:textId="77777777" w:rsidTr="00952F7C">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97" w:type="pct"/>
            <w:hideMark/>
          </w:tcPr>
          <w:p w14:paraId="71C2A4D4" w14:textId="77777777" w:rsidR="00102488" w:rsidRPr="00102488" w:rsidRDefault="00102488" w:rsidP="002726F7">
            <w:pPr>
              <w:rPr>
                <w:lang w:val="en-GB" w:eastAsia="en-GB" w:bidi="si-LK"/>
              </w:rPr>
            </w:pPr>
            <w:r w:rsidRPr="00102488">
              <w:rPr>
                <w:lang w:val="en-GB" w:eastAsia="en-GB" w:bidi="si-LK"/>
              </w:rPr>
              <w:t>Direct-link share</w:t>
            </w:r>
          </w:p>
        </w:tc>
        <w:tc>
          <w:tcPr>
            <w:tcW w:w="523" w:type="pct"/>
            <w:hideMark/>
          </w:tcPr>
          <w:p w14:paraId="533A424A"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82%</w:t>
            </w:r>
          </w:p>
        </w:tc>
        <w:tc>
          <w:tcPr>
            <w:tcW w:w="3080" w:type="pct"/>
            <w:hideMark/>
          </w:tcPr>
          <w:p w14:paraId="7D0DF2A9" w14:textId="77777777" w:rsidR="00102488" w:rsidRPr="00102488" w:rsidRDefault="00102488"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102488">
              <w:rPr>
                <w:lang w:val="en-GB" w:eastAsia="en-GB" w:bidi="si-LK"/>
              </w:rPr>
              <w:t>% of total list is currently easy to access and verify.</w:t>
            </w:r>
          </w:p>
        </w:tc>
      </w:tr>
      <w:tr w:rsidR="00102488" w:rsidRPr="00102488" w14:paraId="58B3D25B" w14:textId="77777777" w:rsidTr="00952F7C">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397" w:type="pct"/>
            <w:hideMark/>
          </w:tcPr>
          <w:p w14:paraId="323B458A" w14:textId="77777777" w:rsidR="00102488" w:rsidRPr="00102488" w:rsidRDefault="00102488" w:rsidP="002726F7">
            <w:pPr>
              <w:rPr>
                <w:lang w:val="en-GB" w:eastAsia="en-GB" w:bidi="si-LK"/>
              </w:rPr>
            </w:pPr>
            <w:r w:rsidRPr="00102488">
              <w:rPr>
                <w:lang w:val="en-GB" w:eastAsia="en-GB" w:bidi="si-LK"/>
              </w:rPr>
              <w:t>Restricted/proprietary share</w:t>
            </w:r>
          </w:p>
        </w:tc>
        <w:tc>
          <w:tcPr>
            <w:tcW w:w="523" w:type="pct"/>
            <w:hideMark/>
          </w:tcPr>
          <w:p w14:paraId="26E78EB5" w14:textId="77777777" w:rsidR="00102488" w:rsidRPr="00102488" w:rsidRDefault="00102488"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102488">
              <w:rPr>
                <w:lang w:val="en-GB" w:eastAsia="en-GB" w:bidi="si-LK"/>
              </w:rPr>
              <w:t>4%</w:t>
            </w:r>
          </w:p>
        </w:tc>
        <w:tc>
          <w:tcPr>
            <w:tcW w:w="3080" w:type="pct"/>
            <w:hideMark/>
          </w:tcPr>
          <w:p w14:paraId="1C5A8BD9" w14:textId="37787C94" w:rsidR="00102488" w:rsidRPr="00102488" w:rsidRDefault="777EAEC9" w:rsidP="002726F7">
            <w:pPr>
              <w:cnfStyle w:val="000000100000" w:firstRow="0" w:lastRow="0" w:firstColumn="0" w:lastColumn="0" w:oddVBand="0" w:evenVBand="0" w:oddHBand="1" w:evenHBand="0" w:firstRowFirstColumn="0" w:firstRowLastColumn="0" w:lastRowFirstColumn="0" w:lastRowLastColumn="0"/>
              <w:rPr>
                <w:color w:val="000000"/>
                <w:lang w:val="en-GB" w:eastAsia="en-GB" w:bidi="si-LK"/>
              </w:rPr>
            </w:pPr>
            <w:r w:rsidRPr="1A5D57B7">
              <w:rPr>
                <w:lang w:val="en-GB" w:eastAsia="en-GB" w:bidi="si-LK"/>
              </w:rPr>
              <w:t xml:space="preserve">% of items with potential </w:t>
            </w:r>
            <w:r w:rsidR="74D65BE9" w:rsidRPr="1A5D57B7">
              <w:rPr>
                <w:lang w:val="en-GB" w:eastAsia="en-GB" w:bidi="si-LK"/>
              </w:rPr>
              <w:t>usability</w:t>
            </w:r>
            <w:r w:rsidRPr="1A5D57B7">
              <w:rPr>
                <w:lang w:val="en-GB" w:eastAsia="en-GB" w:bidi="si-LK"/>
              </w:rPr>
              <w:t xml:space="preserve"> but stronger reuse constraints.</w:t>
            </w:r>
          </w:p>
        </w:tc>
      </w:tr>
    </w:tbl>
    <w:p w14:paraId="74AC38A1" w14:textId="6BF44E44" w:rsidR="00102488" w:rsidRPr="00952F7C" w:rsidRDefault="00010589" w:rsidP="002726F7">
      <w:pPr>
        <w:rPr>
          <w:b/>
          <w:bCs/>
        </w:rPr>
      </w:pPr>
      <w:r w:rsidRPr="00952F7C">
        <w:rPr>
          <w:b/>
          <w:bCs/>
        </w:rPr>
        <w:t xml:space="preserve">Distribution of </w:t>
      </w:r>
      <w:r w:rsidR="005A5239" w:rsidRPr="00952F7C">
        <w:rPr>
          <w:b/>
          <w:bCs/>
        </w:rPr>
        <w:t>resources by source type</w:t>
      </w:r>
    </w:p>
    <w:tbl>
      <w:tblPr>
        <w:tblStyle w:val="CIETable"/>
        <w:tblW w:w="5000" w:type="pct"/>
        <w:tblLook w:val="04A0" w:firstRow="1" w:lastRow="0" w:firstColumn="1" w:lastColumn="0" w:noHBand="0" w:noVBand="1"/>
      </w:tblPr>
      <w:tblGrid>
        <w:gridCol w:w="7485"/>
        <w:gridCol w:w="2143"/>
      </w:tblGrid>
      <w:tr w:rsidR="00AE0EAE" w:rsidRPr="005A5239" w14:paraId="73F8BE28" w14:textId="77777777" w:rsidTr="005A5239">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887" w:type="pct"/>
            <w:hideMark/>
          </w:tcPr>
          <w:p w14:paraId="5CC9FCCD" w14:textId="77777777" w:rsidR="00AE0EAE" w:rsidRPr="005A5239" w:rsidRDefault="00AE0EAE" w:rsidP="005A5239">
            <w:pPr>
              <w:pStyle w:val="TableHeading"/>
              <w:rPr>
                <w:lang w:bidi="si-LK"/>
              </w:rPr>
            </w:pPr>
            <w:r w:rsidRPr="005A5239">
              <w:rPr>
                <w:lang w:bidi="si-LK"/>
              </w:rPr>
              <w:t>Counts by source category</w:t>
            </w:r>
          </w:p>
        </w:tc>
        <w:tc>
          <w:tcPr>
            <w:tcW w:w="1113" w:type="pct"/>
            <w:hideMark/>
          </w:tcPr>
          <w:p w14:paraId="4BF43DEE"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Count</w:t>
            </w:r>
          </w:p>
        </w:tc>
      </w:tr>
      <w:tr w:rsidR="00AE0EAE" w:rsidRPr="00AE0EAE" w14:paraId="39F92399" w14:textId="77777777" w:rsidTr="005A5239">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887" w:type="pct"/>
            <w:hideMark/>
          </w:tcPr>
          <w:p w14:paraId="28A3F78C" w14:textId="77777777" w:rsidR="00AE0EAE" w:rsidRPr="00AE0EAE" w:rsidRDefault="00AE0EAE" w:rsidP="002726F7">
            <w:pPr>
              <w:rPr>
                <w:lang w:val="en-GB" w:eastAsia="en-GB" w:bidi="si-LK"/>
              </w:rPr>
            </w:pPr>
            <w:r w:rsidRPr="00AE0EAE">
              <w:rPr>
                <w:lang w:val="en-GB" w:eastAsia="en-GB" w:bidi="si-LK"/>
              </w:rPr>
              <w:t>Journal Articles</w:t>
            </w:r>
          </w:p>
        </w:tc>
        <w:tc>
          <w:tcPr>
            <w:tcW w:w="1113" w:type="pct"/>
            <w:hideMark/>
          </w:tcPr>
          <w:p w14:paraId="355C88CE"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73</w:t>
            </w:r>
          </w:p>
        </w:tc>
      </w:tr>
      <w:tr w:rsidR="00AE0EAE" w:rsidRPr="00AE0EAE" w14:paraId="24C93EE4" w14:textId="77777777" w:rsidTr="005A5239">
        <w:trPr>
          <w:cnfStyle w:val="000000010000" w:firstRow="0" w:lastRow="0" w:firstColumn="0" w:lastColumn="0" w:oddVBand="0" w:evenVBand="0" w:oddHBand="0" w:evenHBand="1"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887" w:type="pct"/>
            <w:hideMark/>
          </w:tcPr>
          <w:p w14:paraId="25D7797A" w14:textId="77777777" w:rsidR="00AE0EAE" w:rsidRPr="00AE0EAE" w:rsidRDefault="00AE0EAE" w:rsidP="002726F7">
            <w:pPr>
              <w:rPr>
                <w:lang w:val="en-GB" w:eastAsia="en-GB" w:bidi="si-LK"/>
              </w:rPr>
            </w:pPr>
            <w:r w:rsidRPr="00AE0EAE">
              <w:rPr>
                <w:lang w:val="en-GB" w:eastAsia="en-GB" w:bidi="si-LK"/>
              </w:rPr>
              <w:t>Reports</w:t>
            </w:r>
          </w:p>
        </w:tc>
        <w:tc>
          <w:tcPr>
            <w:tcW w:w="1113" w:type="pct"/>
            <w:hideMark/>
          </w:tcPr>
          <w:p w14:paraId="565C0F71" w14:textId="7AF9D664"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4</w:t>
            </w:r>
            <w:r w:rsidR="0065581E">
              <w:rPr>
                <w:lang w:val="en-GB" w:eastAsia="en-GB" w:bidi="si-LK"/>
              </w:rPr>
              <w:t>5</w:t>
            </w:r>
          </w:p>
        </w:tc>
      </w:tr>
      <w:tr w:rsidR="00AE0EAE" w:rsidRPr="00AE0EAE" w14:paraId="55BE0F2A" w14:textId="77777777" w:rsidTr="005A523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887" w:type="pct"/>
            <w:hideMark/>
          </w:tcPr>
          <w:p w14:paraId="577E6653" w14:textId="77777777" w:rsidR="00AE0EAE" w:rsidRPr="00AE0EAE" w:rsidRDefault="00AE0EAE" w:rsidP="002726F7">
            <w:pPr>
              <w:rPr>
                <w:lang w:val="en-GB" w:eastAsia="en-GB" w:bidi="si-LK"/>
              </w:rPr>
            </w:pPr>
            <w:r w:rsidRPr="00AE0EAE">
              <w:rPr>
                <w:lang w:val="en-GB" w:eastAsia="en-GB" w:bidi="si-LK"/>
              </w:rPr>
              <w:t>Documents and Case studies</w:t>
            </w:r>
          </w:p>
        </w:tc>
        <w:tc>
          <w:tcPr>
            <w:tcW w:w="1113" w:type="pct"/>
            <w:hideMark/>
          </w:tcPr>
          <w:p w14:paraId="27287285" w14:textId="7E2A214D"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4</w:t>
            </w:r>
            <w:r w:rsidR="00C15AE6">
              <w:rPr>
                <w:lang w:val="en-GB" w:eastAsia="en-GB" w:bidi="si-LK"/>
              </w:rPr>
              <w:t>6</w:t>
            </w:r>
          </w:p>
        </w:tc>
      </w:tr>
      <w:tr w:rsidR="00AE0EAE" w:rsidRPr="00AE0EAE" w14:paraId="4CD527B0" w14:textId="77777777" w:rsidTr="005A5239">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887" w:type="pct"/>
            <w:hideMark/>
          </w:tcPr>
          <w:p w14:paraId="77589698" w14:textId="77777777" w:rsidR="00AE0EAE" w:rsidRPr="00AE0EAE" w:rsidRDefault="00AE0EAE" w:rsidP="002726F7">
            <w:pPr>
              <w:rPr>
                <w:lang w:val="en-GB" w:eastAsia="en-GB" w:bidi="si-LK"/>
              </w:rPr>
            </w:pPr>
            <w:r w:rsidRPr="00AE0EAE">
              <w:rPr>
                <w:lang w:val="en-GB" w:eastAsia="en-GB" w:bidi="si-LK"/>
              </w:rPr>
              <w:t>Web pages</w:t>
            </w:r>
          </w:p>
        </w:tc>
        <w:tc>
          <w:tcPr>
            <w:tcW w:w="1113" w:type="pct"/>
            <w:hideMark/>
          </w:tcPr>
          <w:p w14:paraId="1C964B58" w14:textId="1A34B35D"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1</w:t>
            </w:r>
            <w:r w:rsidR="00C15AE6">
              <w:rPr>
                <w:lang w:val="en-GB" w:eastAsia="en-GB" w:bidi="si-LK"/>
              </w:rPr>
              <w:t>5</w:t>
            </w:r>
          </w:p>
        </w:tc>
      </w:tr>
      <w:tr w:rsidR="00AE0EAE" w:rsidRPr="00AE0EAE" w14:paraId="7C13E604" w14:textId="77777777" w:rsidTr="005A523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887" w:type="pct"/>
            <w:hideMark/>
          </w:tcPr>
          <w:p w14:paraId="28607809" w14:textId="77777777" w:rsidR="00AE0EAE" w:rsidRPr="00AE0EAE" w:rsidRDefault="00AE0EAE" w:rsidP="002726F7">
            <w:pPr>
              <w:rPr>
                <w:lang w:val="en-GB" w:eastAsia="en-GB" w:bidi="si-LK"/>
              </w:rPr>
            </w:pPr>
            <w:r w:rsidRPr="00AE0EAE">
              <w:rPr>
                <w:lang w:val="en-GB" w:eastAsia="en-GB" w:bidi="si-LK"/>
              </w:rPr>
              <w:t>Presentation</w:t>
            </w:r>
          </w:p>
        </w:tc>
        <w:tc>
          <w:tcPr>
            <w:tcW w:w="1113" w:type="pct"/>
            <w:hideMark/>
          </w:tcPr>
          <w:p w14:paraId="17E9B6BB" w14:textId="702D21A1"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1</w:t>
            </w:r>
            <w:r w:rsidR="00C15AE6">
              <w:rPr>
                <w:lang w:val="en-GB" w:eastAsia="en-GB" w:bidi="si-LK"/>
              </w:rPr>
              <w:t>3</w:t>
            </w:r>
          </w:p>
        </w:tc>
      </w:tr>
      <w:tr w:rsidR="00AE0EAE" w:rsidRPr="00AE0EAE" w14:paraId="3D897010" w14:textId="77777777" w:rsidTr="005A5239">
        <w:trPr>
          <w:cnfStyle w:val="000000010000" w:firstRow="0" w:lastRow="0" w:firstColumn="0" w:lastColumn="0" w:oddVBand="0" w:evenVBand="0" w:oddHBand="0" w:evenHBand="1"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887" w:type="pct"/>
            <w:hideMark/>
          </w:tcPr>
          <w:p w14:paraId="226C2F9A" w14:textId="77777777" w:rsidR="00AE0EAE" w:rsidRPr="00AE0EAE" w:rsidRDefault="00AE0EAE" w:rsidP="002726F7">
            <w:pPr>
              <w:rPr>
                <w:lang w:val="en-GB" w:eastAsia="en-GB" w:bidi="si-LK"/>
              </w:rPr>
            </w:pPr>
            <w:r w:rsidRPr="00AE0EAE">
              <w:rPr>
                <w:lang w:val="en-GB" w:eastAsia="en-GB" w:bidi="si-LK"/>
              </w:rPr>
              <w:t>Books or Book Sections</w:t>
            </w:r>
          </w:p>
        </w:tc>
        <w:tc>
          <w:tcPr>
            <w:tcW w:w="1113" w:type="pct"/>
            <w:hideMark/>
          </w:tcPr>
          <w:p w14:paraId="2B6ADC12"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21</w:t>
            </w:r>
          </w:p>
        </w:tc>
      </w:tr>
      <w:tr w:rsidR="00AE0EAE" w:rsidRPr="00AE0EAE" w14:paraId="45C496FD" w14:textId="77777777" w:rsidTr="005A5239">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887" w:type="pct"/>
            <w:hideMark/>
          </w:tcPr>
          <w:p w14:paraId="5C9CE144" w14:textId="77777777" w:rsidR="00AE0EAE" w:rsidRPr="00AE0EAE" w:rsidRDefault="00AE0EAE" w:rsidP="002726F7">
            <w:pPr>
              <w:rPr>
                <w:lang w:val="en-GB" w:eastAsia="en-GB" w:bidi="si-LK"/>
              </w:rPr>
            </w:pPr>
            <w:r w:rsidRPr="00AE0EAE">
              <w:rPr>
                <w:lang w:val="en-GB" w:eastAsia="en-GB" w:bidi="si-LK"/>
              </w:rPr>
              <w:t>Thesis</w:t>
            </w:r>
          </w:p>
        </w:tc>
        <w:tc>
          <w:tcPr>
            <w:tcW w:w="1113" w:type="pct"/>
            <w:hideMark/>
          </w:tcPr>
          <w:p w14:paraId="097AC42D"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3</w:t>
            </w:r>
          </w:p>
        </w:tc>
      </w:tr>
    </w:tbl>
    <w:p w14:paraId="71A4FB6C" w14:textId="77777777" w:rsidR="00AE0EAE" w:rsidRDefault="00AE0EAE" w:rsidP="002726F7"/>
    <w:p w14:paraId="1CD2A3BD" w14:textId="77777777" w:rsidR="00010589" w:rsidRDefault="00010589" w:rsidP="002726F7"/>
    <w:p w14:paraId="279977B3" w14:textId="77777777" w:rsidR="005143D7" w:rsidRDefault="005143D7" w:rsidP="002726F7"/>
    <w:p w14:paraId="08B58A1E" w14:textId="77777777" w:rsidR="005143D7" w:rsidRDefault="005143D7" w:rsidP="002726F7"/>
    <w:p w14:paraId="52E0E526" w14:textId="77777777" w:rsidR="005143D7" w:rsidRDefault="005143D7" w:rsidP="002726F7"/>
    <w:p w14:paraId="2770DFE4" w14:textId="77777777" w:rsidR="005143D7" w:rsidRDefault="005143D7" w:rsidP="002726F7"/>
    <w:p w14:paraId="183A6EE6" w14:textId="77777777" w:rsidR="005A5239" w:rsidRDefault="005A5239" w:rsidP="002726F7"/>
    <w:p w14:paraId="224BC5D9" w14:textId="549C65AA" w:rsidR="005143D7" w:rsidRPr="005A5239" w:rsidRDefault="00D32C3D" w:rsidP="002726F7">
      <w:pPr>
        <w:rPr>
          <w:b/>
          <w:bCs/>
        </w:rPr>
      </w:pPr>
      <w:r w:rsidRPr="005A5239">
        <w:rPr>
          <w:b/>
          <w:bCs/>
        </w:rPr>
        <w:lastRenderedPageBreak/>
        <w:t xml:space="preserve">Distribution </w:t>
      </w:r>
      <w:r w:rsidR="005A5239" w:rsidRPr="005A5239">
        <w:rPr>
          <w:b/>
          <w:bCs/>
        </w:rPr>
        <w:t>of resources by topical focus and intended audience</w:t>
      </w:r>
    </w:p>
    <w:tbl>
      <w:tblPr>
        <w:tblStyle w:val="CIETable"/>
        <w:tblW w:w="5000" w:type="pct"/>
        <w:tblLook w:val="04A0" w:firstRow="1" w:lastRow="0" w:firstColumn="1" w:lastColumn="0" w:noHBand="0" w:noVBand="1"/>
      </w:tblPr>
      <w:tblGrid>
        <w:gridCol w:w="3071"/>
        <w:gridCol w:w="1854"/>
        <w:gridCol w:w="383"/>
        <w:gridCol w:w="3168"/>
        <w:gridCol w:w="1152"/>
      </w:tblGrid>
      <w:tr w:rsidR="00AE0EAE" w:rsidRPr="005A5239" w14:paraId="07795BFC" w14:textId="77777777" w:rsidTr="005A5239">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595" w:type="pct"/>
            <w:hideMark/>
          </w:tcPr>
          <w:p w14:paraId="2C5C0CD0" w14:textId="77777777" w:rsidR="00AE0EAE" w:rsidRPr="005A5239" w:rsidRDefault="00AE0EAE" w:rsidP="005A5239">
            <w:pPr>
              <w:pStyle w:val="TableHeading"/>
              <w:rPr>
                <w:lang w:bidi="si-LK"/>
              </w:rPr>
            </w:pPr>
            <w:r w:rsidRPr="005A5239">
              <w:rPr>
                <w:lang w:bidi="si-LK"/>
              </w:rPr>
              <w:t>Counts by focus area</w:t>
            </w:r>
          </w:p>
        </w:tc>
        <w:tc>
          <w:tcPr>
            <w:tcW w:w="963" w:type="pct"/>
            <w:hideMark/>
          </w:tcPr>
          <w:p w14:paraId="62644AB2"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Count</w:t>
            </w:r>
          </w:p>
        </w:tc>
        <w:tc>
          <w:tcPr>
            <w:tcW w:w="199" w:type="pct"/>
            <w:hideMark/>
          </w:tcPr>
          <w:p w14:paraId="3C928547"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 </w:t>
            </w:r>
          </w:p>
        </w:tc>
        <w:tc>
          <w:tcPr>
            <w:tcW w:w="1645" w:type="pct"/>
            <w:hideMark/>
          </w:tcPr>
          <w:p w14:paraId="5C0FBCDF"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Counts by audience</w:t>
            </w:r>
          </w:p>
        </w:tc>
        <w:tc>
          <w:tcPr>
            <w:tcW w:w="598" w:type="pct"/>
            <w:hideMark/>
          </w:tcPr>
          <w:p w14:paraId="62CDAD2C"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Count</w:t>
            </w:r>
          </w:p>
        </w:tc>
      </w:tr>
      <w:tr w:rsidR="00AE0EAE" w:rsidRPr="00AE0EAE" w14:paraId="10A5AA3A" w14:textId="77777777" w:rsidTr="005A5239">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95" w:type="pct"/>
            <w:hideMark/>
          </w:tcPr>
          <w:p w14:paraId="55CA94B5" w14:textId="77777777" w:rsidR="00AE0EAE" w:rsidRPr="00AE0EAE" w:rsidRDefault="00AE0EAE" w:rsidP="002726F7">
            <w:pPr>
              <w:rPr>
                <w:lang w:val="en-GB" w:eastAsia="en-GB" w:bidi="si-LK"/>
              </w:rPr>
            </w:pPr>
            <w:r w:rsidRPr="00AE0EAE">
              <w:rPr>
                <w:lang w:val="en-GB" w:eastAsia="en-GB" w:bidi="si-LK"/>
              </w:rPr>
              <w:t>Employer engagement and service design</w:t>
            </w:r>
          </w:p>
        </w:tc>
        <w:tc>
          <w:tcPr>
            <w:tcW w:w="963" w:type="pct"/>
            <w:noWrap/>
            <w:hideMark/>
          </w:tcPr>
          <w:p w14:paraId="57B7CC81"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44</w:t>
            </w:r>
          </w:p>
        </w:tc>
        <w:tc>
          <w:tcPr>
            <w:tcW w:w="199" w:type="pct"/>
            <w:hideMark/>
          </w:tcPr>
          <w:p w14:paraId="412D4828"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 </w:t>
            </w:r>
          </w:p>
        </w:tc>
        <w:tc>
          <w:tcPr>
            <w:tcW w:w="1645" w:type="pct"/>
            <w:hideMark/>
          </w:tcPr>
          <w:p w14:paraId="0135F177"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Employers / HR / managers</w:t>
            </w:r>
          </w:p>
        </w:tc>
        <w:tc>
          <w:tcPr>
            <w:tcW w:w="598" w:type="pct"/>
            <w:noWrap/>
            <w:hideMark/>
          </w:tcPr>
          <w:p w14:paraId="0D7D07EC"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106</w:t>
            </w:r>
          </w:p>
        </w:tc>
      </w:tr>
      <w:tr w:rsidR="00AE0EAE" w:rsidRPr="00AE0EAE" w14:paraId="1E18CCA5" w14:textId="77777777" w:rsidTr="005A5239">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95" w:type="pct"/>
            <w:hideMark/>
          </w:tcPr>
          <w:p w14:paraId="3E80289B" w14:textId="77777777" w:rsidR="00AE0EAE" w:rsidRPr="00AE0EAE" w:rsidRDefault="00AE0EAE" w:rsidP="002726F7">
            <w:pPr>
              <w:rPr>
                <w:lang w:val="en-GB" w:eastAsia="en-GB" w:bidi="si-LK"/>
              </w:rPr>
            </w:pPr>
            <w:r w:rsidRPr="00AE0EAE">
              <w:rPr>
                <w:lang w:val="en-GB" w:eastAsia="en-GB" w:bidi="si-LK"/>
              </w:rPr>
              <w:t>Recruitment and hiring</w:t>
            </w:r>
          </w:p>
        </w:tc>
        <w:tc>
          <w:tcPr>
            <w:tcW w:w="963" w:type="pct"/>
            <w:noWrap/>
            <w:hideMark/>
          </w:tcPr>
          <w:p w14:paraId="55A2A6F9"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22</w:t>
            </w:r>
          </w:p>
        </w:tc>
        <w:tc>
          <w:tcPr>
            <w:tcW w:w="199" w:type="pct"/>
            <w:hideMark/>
          </w:tcPr>
          <w:p w14:paraId="5BEC8CD3"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 </w:t>
            </w:r>
          </w:p>
        </w:tc>
        <w:tc>
          <w:tcPr>
            <w:tcW w:w="1645" w:type="pct"/>
            <w:hideMark/>
          </w:tcPr>
          <w:p w14:paraId="1CE369D9"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Employment service practitioners</w:t>
            </w:r>
          </w:p>
        </w:tc>
        <w:tc>
          <w:tcPr>
            <w:tcW w:w="598" w:type="pct"/>
            <w:noWrap/>
            <w:hideMark/>
          </w:tcPr>
          <w:p w14:paraId="5B607296"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15</w:t>
            </w:r>
          </w:p>
        </w:tc>
      </w:tr>
      <w:tr w:rsidR="00AE0EAE" w:rsidRPr="00AE0EAE" w14:paraId="29870C0D" w14:textId="77777777" w:rsidTr="005A5239">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95" w:type="pct"/>
            <w:hideMark/>
          </w:tcPr>
          <w:p w14:paraId="386F9BDA" w14:textId="77777777" w:rsidR="00AE0EAE" w:rsidRPr="00AE0EAE" w:rsidRDefault="00AE0EAE" w:rsidP="002726F7">
            <w:pPr>
              <w:rPr>
                <w:lang w:val="en-GB" w:eastAsia="en-GB" w:bidi="si-LK"/>
              </w:rPr>
            </w:pPr>
            <w:r w:rsidRPr="00AE0EAE">
              <w:rPr>
                <w:lang w:val="en-GB" w:eastAsia="en-GB" w:bidi="si-LK"/>
              </w:rPr>
              <w:t>Workplace adjustments and accessibility</w:t>
            </w:r>
          </w:p>
        </w:tc>
        <w:tc>
          <w:tcPr>
            <w:tcW w:w="963" w:type="pct"/>
            <w:noWrap/>
            <w:hideMark/>
          </w:tcPr>
          <w:p w14:paraId="2CBABFBB"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13</w:t>
            </w:r>
          </w:p>
        </w:tc>
        <w:tc>
          <w:tcPr>
            <w:tcW w:w="199" w:type="pct"/>
            <w:hideMark/>
          </w:tcPr>
          <w:p w14:paraId="135A31FE"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 </w:t>
            </w:r>
          </w:p>
        </w:tc>
        <w:tc>
          <w:tcPr>
            <w:tcW w:w="1645" w:type="pct"/>
            <w:hideMark/>
          </w:tcPr>
          <w:p w14:paraId="063C9493"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Policymakers / system leaders</w:t>
            </w:r>
          </w:p>
        </w:tc>
        <w:tc>
          <w:tcPr>
            <w:tcW w:w="598" w:type="pct"/>
            <w:noWrap/>
            <w:hideMark/>
          </w:tcPr>
          <w:p w14:paraId="5D1C80D3"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5</w:t>
            </w:r>
          </w:p>
        </w:tc>
      </w:tr>
      <w:tr w:rsidR="00AE0EAE" w:rsidRPr="00AE0EAE" w14:paraId="618594DD" w14:textId="77777777" w:rsidTr="005A5239">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95" w:type="pct"/>
            <w:hideMark/>
          </w:tcPr>
          <w:p w14:paraId="3CE609B1" w14:textId="77777777" w:rsidR="00AE0EAE" w:rsidRPr="00AE0EAE" w:rsidRDefault="00AE0EAE" w:rsidP="002726F7">
            <w:pPr>
              <w:rPr>
                <w:lang w:val="en-GB" w:eastAsia="en-GB" w:bidi="si-LK"/>
              </w:rPr>
            </w:pPr>
            <w:r w:rsidRPr="00AE0EAE">
              <w:rPr>
                <w:lang w:val="en-GB" w:eastAsia="en-GB" w:bidi="si-LK"/>
              </w:rPr>
              <w:t>Retention and progression</w:t>
            </w:r>
          </w:p>
        </w:tc>
        <w:tc>
          <w:tcPr>
            <w:tcW w:w="963" w:type="pct"/>
            <w:noWrap/>
            <w:hideMark/>
          </w:tcPr>
          <w:p w14:paraId="600EA344"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11</w:t>
            </w:r>
          </w:p>
        </w:tc>
        <w:tc>
          <w:tcPr>
            <w:tcW w:w="199" w:type="pct"/>
            <w:hideMark/>
          </w:tcPr>
          <w:p w14:paraId="2C9A4AFC"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 </w:t>
            </w:r>
          </w:p>
        </w:tc>
        <w:tc>
          <w:tcPr>
            <w:tcW w:w="1645" w:type="pct"/>
            <w:hideMark/>
          </w:tcPr>
          <w:p w14:paraId="363B72E0"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Employees / workplace leaders</w:t>
            </w:r>
          </w:p>
        </w:tc>
        <w:tc>
          <w:tcPr>
            <w:tcW w:w="598" w:type="pct"/>
            <w:noWrap/>
            <w:hideMark/>
          </w:tcPr>
          <w:p w14:paraId="21B2C03C"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2</w:t>
            </w:r>
          </w:p>
        </w:tc>
      </w:tr>
      <w:tr w:rsidR="00AE0EAE" w:rsidRPr="00AE0EAE" w14:paraId="1EC28173" w14:textId="77777777" w:rsidTr="005A5239">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95" w:type="pct"/>
            <w:hideMark/>
          </w:tcPr>
          <w:p w14:paraId="5CACBEAC" w14:textId="77777777" w:rsidR="00AE0EAE" w:rsidRPr="00AE0EAE" w:rsidRDefault="00AE0EAE" w:rsidP="002726F7">
            <w:pPr>
              <w:rPr>
                <w:lang w:val="en-GB" w:eastAsia="en-GB" w:bidi="si-LK"/>
              </w:rPr>
            </w:pPr>
            <w:r w:rsidRPr="00AE0EAE">
              <w:rPr>
                <w:lang w:val="en-GB" w:eastAsia="en-GB" w:bidi="si-LK"/>
              </w:rPr>
              <w:t>Organisational culture, HR capability and measurement</w:t>
            </w:r>
          </w:p>
        </w:tc>
        <w:tc>
          <w:tcPr>
            <w:tcW w:w="963" w:type="pct"/>
            <w:noWrap/>
            <w:hideMark/>
          </w:tcPr>
          <w:p w14:paraId="6A1BA4E6"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18</w:t>
            </w:r>
          </w:p>
        </w:tc>
        <w:tc>
          <w:tcPr>
            <w:tcW w:w="199" w:type="pct"/>
            <w:hideMark/>
          </w:tcPr>
          <w:p w14:paraId="4191F248"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 </w:t>
            </w:r>
          </w:p>
        </w:tc>
        <w:tc>
          <w:tcPr>
            <w:tcW w:w="1645" w:type="pct"/>
            <w:hideMark/>
          </w:tcPr>
          <w:p w14:paraId="17088F1F"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Mixed / practitioner audience</w:t>
            </w:r>
          </w:p>
        </w:tc>
        <w:tc>
          <w:tcPr>
            <w:tcW w:w="598" w:type="pct"/>
            <w:noWrap/>
            <w:hideMark/>
          </w:tcPr>
          <w:p w14:paraId="3E675F5E"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59</w:t>
            </w:r>
          </w:p>
        </w:tc>
      </w:tr>
      <w:tr w:rsidR="00AE0EAE" w:rsidRPr="00AE0EAE" w14:paraId="4E53B0C3" w14:textId="77777777" w:rsidTr="005A5239">
        <w:trPr>
          <w:cnfStyle w:val="000000010000" w:firstRow="0" w:lastRow="0" w:firstColumn="0" w:lastColumn="0" w:oddVBand="0" w:evenVBand="0" w:oddHBand="0" w:evenHBand="1"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95" w:type="pct"/>
            <w:hideMark/>
          </w:tcPr>
          <w:p w14:paraId="26ECECA0" w14:textId="77777777" w:rsidR="00AE0EAE" w:rsidRPr="00AE0EAE" w:rsidRDefault="00AE0EAE" w:rsidP="002726F7">
            <w:pPr>
              <w:rPr>
                <w:lang w:val="en-GB" w:eastAsia="en-GB" w:bidi="si-LK"/>
              </w:rPr>
            </w:pPr>
            <w:r w:rsidRPr="00AE0EAE">
              <w:rPr>
                <w:lang w:val="en-GB" w:eastAsia="en-GB" w:bidi="si-LK"/>
              </w:rPr>
              <w:t>Policy, regulation and system settings</w:t>
            </w:r>
          </w:p>
        </w:tc>
        <w:tc>
          <w:tcPr>
            <w:tcW w:w="963" w:type="pct"/>
            <w:noWrap/>
            <w:hideMark/>
          </w:tcPr>
          <w:p w14:paraId="6A3E736A"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22</w:t>
            </w:r>
          </w:p>
        </w:tc>
        <w:tc>
          <w:tcPr>
            <w:tcW w:w="199" w:type="pct"/>
            <w:hideMark/>
          </w:tcPr>
          <w:p w14:paraId="78DE99AC"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 </w:t>
            </w:r>
          </w:p>
        </w:tc>
        <w:tc>
          <w:tcPr>
            <w:tcW w:w="1645" w:type="pct"/>
            <w:hideMark/>
          </w:tcPr>
          <w:p w14:paraId="0EBA5878"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Mixed / not explicit</w:t>
            </w:r>
          </w:p>
        </w:tc>
        <w:tc>
          <w:tcPr>
            <w:tcW w:w="598" w:type="pct"/>
            <w:noWrap/>
            <w:hideMark/>
          </w:tcPr>
          <w:p w14:paraId="1DE0A62C"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24</w:t>
            </w:r>
          </w:p>
        </w:tc>
      </w:tr>
      <w:tr w:rsidR="00AE0EAE" w:rsidRPr="00AE0EAE" w14:paraId="073054CF" w14:textId="77777777" w:rsidTr="005A5239">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95" w:type="pct"/>
            <w:hideMark/>
          </w:tcPr>
          <w:p w14:paraId="7BB10D51" w14:textId="77777777" w:rsidR="00AE0EAE" w:rsidRPr="00AE0EAE" w:rsidRDefault="00AE0EAE" w:rsidP="002726F7">
            <w:pPr>
              <w:rPr>
                <w:lang w:val="en-GB" w:eastAsia="en-GB" w:bidi="si-LK"/>
              </w:rPr>
            </w:pPr>
            <w:r w:rsidRPr="00AE0EAE">
              <w:rPr>
                <w:lang w:val="en-GB" w:eastAsia="en-GB" w:bidi="si-LK"/>
              </w:rPr>
              <w:t>General disability inclusion / background</w:t>
            </w:r>
          </w:p>
        </w:tc>
        <w:tc>
          <w:tcPr>
            <w:tcW w:w="963" w:type="pct"/>
            <w:noWrap/>
            <w:hideMark/>
          </w:tcPr>
          <w:p w14:paraId="5258CC85"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81</w:t>
            </w:r>
          </w:p>
        </w:tc>
        <w:tc>
          <w:tcPr>
            <w:tcW w:w="199" w:type="pct"/>
            <w:hideMark/>
          </w:tcPr>
          <w:p w14:paraId="33AAD9F7"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 </w:t>
            </w:r>
          </w:p>
        </w:tc>
        <w:tc>
          <w:tcPr>
            <w:tcW w:w="1645" w:type="pct"/>
            <w:hideMark/>
          </w:tcPr>
          <w:p w14:paraId="3C78B5CB"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 </w:t>
            </w:r>
          </w:p>
        </w:tc>
        <w:tc>
          <w:tcPr>
            <w:tcW w:w="598" w:type="pct"/>
            <w:hideMark/>
          </w:tcPr>
          <w:p w14:paraId="7DE2F725"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 </w:t>
            </w:r>
          </w:p>
        </w:tc>
      </w:tr>
    </w:tbl>
    <w:p w14:paraId="7F5A258B" w14:textId="77777777" w:rsidR="001F21CB" w:rsidRDefault="001F21CB" w:rsidP="002726F7"/>
    <w:p w14:paraId="70C63A8B" w14:textId="77777777" w:rsidR="004D7D30" w:rsidRDefault="004D7D30" w:rsidP="002726F7"/>
    <w:p w14:paraId="22BEBC79" w14:textId="77777777" w:rsidR="004D7D30" w:rsidRDefault="004D7D30" w:rsidP="002726F7"/>
    <w:p w14:paraId="69704379" w14:textId="77777777" w:rsidR="004D7D30" w:rsidRDefault="004D7D30" w:rsidP="002726F7"/>
    <w:p w14:paraId="374CE225" w14:textId="77777777" w:rsidR="004D7D30" w:rsidRDefault="004D7D30" w:rsidP="002726F7"/>
    <w:p w14:paraId="74136BD5" w14:textId="77777777" w:rsidR="004D7D30" w:rsidRDefault="004D7D30" w:rsidP="002726F7"/>
    <w:p w14:paraId="1729F81A" w14:textId="77777777" w:rsidR="005A5239" w:rsidRDefault="005A5239" w:rsidP="002726F7">
      <w:pPr>
        <w:rPr>
          <w:lang w:val="en-GB"/>
        </w:rPr>
      </w:pPr>
      <w:r>
        <w:rPr>
          <w:lang w:val="en-GB"/>
        </w:rPr>
        <w:br w:type="page"/>
      </w:r>
    </w:p>
    <w:p w14:paraId="23DEE04F" w14:textId="1EDDF0DA" w:rsidR="001F21CB" w:rsidRPr="005A5239" w:rsidRDefault="006C1CDF" w:rsidP="002726F7">
      <w:pPr>
        <w:rPr>
          <w:b/>
          <w:bCs/>
          <w:lang w:val="en-GB"/>
        </w:rPr>
      </w:pPr>
      <w:r w:rsidRPr="005A5239">
        <w:rPr>
          <w:b/>
          <w:bCs/>
          <w:lang w:val="en-GB"/>
        </w:rPr>
        <w:lastRenderedPageBreak/>
        <w:t xml:space="preserve">Identified </w:t>
      </w:r>
      <w:r w:rsidR="005A5239" w:rsidRPr="005A5239">
        <w:rPr>
          <w:b/>
          <w:bCs/>
          <w:lang w:val="en-GB"/>
        </w:rPr>
        <w:t>resource gaps and implications for toolkit development</w:t>
      </w:r>
    </w:p>
    <w:tbl>
      <w:tblPr>
        <w:tblStyle w:val="CIETable"/>
        <w:tblpPr w:leftFromText="180" w:rightFromText="180" w:vertAnchor="text" w:tblpY="1"/>
        <w:tblW w:w="5000" w:type="pct"/>
        <w:tblLook w:val="04A0" w:firstRow="1" w:lastRow="0" w:firstColumn="1" w:lastColumn="0" w:noHBand="0" w:noVBand="1"/>
      </w:tblPr>
      <w:tblGrid>
        <w:gridCol w:w="3297"/>
        <w:gridCol w:w="1324"/>
        <w:gridCol w:w="2828"/>
        <w:gridCol w:w="2179"/>
      </w:tblGrid>
      <w:tr w:rsidR="004D7D30" w:rsidRPr="00AE0EAE" w14:paraId="7FB57C79" w14:textId="77777777" w:rsidTr="007E3E85">
        <w:trPr>
          <w:cnfStyle w:val="100000000000" w:firstRow="1" w:lastRow="0" w:firstColumn="0" w:lastColumn="0" w:oddVBand="0" w:evenVBand="0" w:oddHBand="0" w:evenHBand="0" w:firstRowFirstColumn="0" w:firstRowLastColumn="0" w:lastRowFirstColumn="0" w:lastRowLastColumn="0"/>
          <w:trHeight w:val="680"/>
          <w:tblHeader/>
        </w:trPr>
        <w:tc>
          <w:tcPr>
            <w:cnfStyle w:val="001000000000" w:firstRow="0" w:lastRow="0" w:firstColumn="1" w:lastColumn="0" w:oddVBand="0" w:evenVBand="0" w:oddHBand="0" w:evenHBand="0" w:firstRowFirstColumn="0" w:firstRowLastColumn="0" w:lastRowFirstColumn="0" w:lastRowLastColumn="0"/>
            <w:tcW w:w="1163" w:type="pct"/>
            <w:hideMark/>
          </w:tcPr>
          <w:p w14:paraId="21BBC377" w14:textId="77777777" w:rsidR="00AE0EAE" w:rsidRPr="005A5239" w:rsidRDefault="00AE0EAE" w:rsidP="005A5239">
            <w:pPr>
              <w:pStyle w:val="TableHeading"/>
              <w:rPr>
                <w:lang w:bidi="si-LK"/>
              </w:rPr>
            </w:pPr>
            <w:r w:rsidRPr="005A5239">
              <w:rPr>
                <w:lang w:bidi="si-LK"/>
              </w:rPr>
              <w:t>Gap area</w:t>
            </w:r>
          </w:p>
        </w:tc>
        <w:tc>
          <w:tcPr>
            <w:tcW w:w="512" w:type="pct"/>
            <w:hideMark/>
          </w:tcPr>
          <w:p w14:paraId="3B466387"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Evidence from audit</w:t>
            </w:r>
          </w:p>
        </w:tc>
        <w:tc>
          <w:tcPr>
            <w:tcW w:w="1873" w:type="pct"/>
            <w:hideMark/>
          </w:tcPr>
          <w:p w14:paraId="16650DD5"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Why it matters</w:t>
            </w:r>
          </w:p>
        </w:tc>
        <w:tc>
          <w:tcPr>
            <w:tcW w:w="1452" w:type="pct"/>
            <w:hideMark/>
          </w:tcPr>
          <w:p w14:paraId="3DD06B69" w14:textId="77777777" w:rsidR="00AE0EAE" w:rsidRPr="005A5239" w:rsidRDefault="00AE0EAE" w:rsidP="005A5239">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5A5239">
              <w:rPr>
                <w:lang w:bidi="si-LK"/>
              </w:rPr>
              <w:t>Suggested action</w:t>
            </w:r>
          </w:p>
        </w:tc>
      </w:tr>
      <w:tr w:rsidR="004D7D30" w:rsidRPr="00AE0EAE" w14:paraId="0FC2DED7" w14:textId="77777777" w:rsidTr="005A5239">
        <w:trPr>
          <w:cnfStyle w:val="000000100000" w:firstRow="0" w:lastRow="0" w:firstColumn="0" w:lastColumn="0" w:oddVBand="0" w:evenVBand="0" w:oddHBand="1" w:evenHBand="0" w:firstRowFirstColumn="0" w:firstRowLastColumn="0" w:lastRowFirstColumn="0" w:lastRowLastColumn="0"/>
          <w:trHeight w:val="913"/>
        </w:trPr>
        <w:tc>
          <w:tcPr>
            <w:cnfStyle w:val="001000000000" w:firstRow="0" w:lastRow="0" w:firstColumn="1" w:lastColumn="0" w:oddVBand="0" w:evenVBand="0" w:oddHBand="0" w:evenHBand="0" w:firstRowFirstColumn="0" w:firstRowLastColumn="0" w:lastRowFirstColumn="0" w:lastRowLastColumn="0"/>
            <w:tcW w:w="1163" w:type="pct"/>
            <w:hideMark/>
          </w:tcPr>
          <w:p w14:paraId="70752C49" w14:textId="77777777" w:rsidR="00AE0EAE" w:rsidRPr="00AE0EAE" w:rsidRDefault="00AE0EAE" w:rsidP="002726F7">
            <w:pPr>
              <w:rPr>
                <w:lang w:val="en-GB" w:eastAsia="en-GB" w:bidi="si-LK"/>
              </w:rPr>
            </w:pPr>
            <w:r w:rsidRPr="00AE0EAE">
              <w:rPr>
                <w:lang w:val="en-GB" w:eastAsia="en-GB" w:bidi="si-LK"/>
              </w:rPr>
              <w:t>Link availability gap</w:t>
            </w:r>
          </w:p>
        </w:tc>
        <w:tc>
          <w:tcPr>
            <w:tcW w:w="512" w:type="pct"/>
            <w:noWrap/>
            <w:hideMark/>
          </w:tcPr>
          <w:p w14:paraId="5A30CFCC" w14:textId="12EAB146" w:rsidR="00AE0EAE" w:rsidRPr="00AE0EAE" w:rsidRDefault="00DB1A9C"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Pr>
                <w:lang w:val="en-GB" w:eastAsia="en-GB" w:bidi="si-LK"/>
              </w:rPr>
              <w:t>178</w:t>
            </w:r>
          </w:p>
        </w:tc>
        <w:tc>
          <w:tcPr>
            <w:tcW w:w="1873" w:type="pct"/>
            <w:hideMark/>
          </w:tcPr>
          <w:p w14:paraId="1DA0B8E0"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A sizeable part of the resource base cannot yet be reached directly from the current register because no DOI or URL available.</w:t>
            </w:r>
          </w:p>
        </w:tc>
        <w:tc>
          <w:tcPr>
            <w:tcW w:w="1452" w:type="pct"/>
            <w:hideMark/>
          </w:tcPr>
          <w:p w14:paraId="39E13534"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Add stable URLs and access dates for all practical resources before final publication.</w:t>
            </w:r>
          </w:p>
        </w:tc>
      </w:tr>
      <w:tr w:rsidR="004D7D30" w:rsidRPr="00AE0EAE" w14:paraId="30D9EBBC" w14:textId="77777777" w:rsidTr="005A5239">
        <w:trPr>
          <w:cnfStyle w:val="000000010000" w:firstRow="0" w:lastRow="0" w:firstColumn="0" w:lastColumn="0" w:oddVBand="0" w:evenVBand="0" w:oddHBand="0" w:evenHBand="1"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1163" w:type="pct"/>
            <w:hideMark/>
          </w:tcPr>
          <w:p w14:paraId="41EB9481" w14:textId="77777777" w:rsidR="00AE0EAE" w:rsidRPr="00AE0EAE" w:rsidRDefault="00AE0EAE" w:rsidP="002726F7">
            <w:pPr>
              <w:rPr>
                <w:lang w:val="en-GB" w:eastAsia="en-GB" w:bidi="si-LK"/>
              </w:rPr>
            </w:pPr>
            <w:r w:rsidRPr="00AE0EAE">
              <w:rPr>
                <w:lang w:val="en-GB" w:eastAsia="en-GB" w:bidi="si-LK"/>
              </w:rPr>
              <w:t>Licensing clarity gap</w:t>
            </w:r>
          </w:p>
        </w:tc>
        <w:tc>
          <w:tcPr>
            <w:tcW w:w="512" w:type="pct"/>
            <w:noWrap/>
            <w:hideMark/>
          </w:tcPr>
          <w:p w14:paraId="05ACEDC3"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9</w:t>
            </w:r>
          </w:p>
        </w:tc>
        <w:tc>
          <w:tcPr>
            <w:tcW w:w="1873" w:type="pct"/>
            <w:hideMark/>
          </w:tcPr>
          <w:p w14:paraId="5629FD99"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Where licences are unclear or restrictive, the toolkit may not be safely redistributed, adapted or hosted elsewhere without permission from author.</w:t>
            </w:r>
          </w:p>
        </w:tc>
        <w:tc>
          <w:tcPr>
            <w:tcW w:w="1452" w:type="pct"/>
            <w:hideMark/>
          </w:tcPr>
          <w:p w14:paraId="23F2B36C"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Verify licences on source websites and mark clearly which items are open, link-only or permission-required.</w:t>
            </w:r>
          </w:p>
        </w:tc>
      </w:tr>
      <w:tr w:rsidR="004D7D30" w:rsidRPr="00AE0EAE" w14:paraId="513808F8" w14:textId="77777777" w:rsidTr="005A5239">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1163" w:type="pct"/>
            <w:hideMark/>
          </w:tcPr>
          <w:p w14:paraId="3335594C" w14:textId="77777777" w:rsidR="00AE0EAE" w:rsidRPr="00AE0EAE" w:rsidRDefault="00AE0EAE" w:rsidP="002726F7">
            <w:pPr>
              <w:rPr>
                <w:lang w:val="en-GB" w:eastAsia="en-GB" w:bidi="si-LK"/>
              </w:rPr>
            </w:pPr>
            <w:r w:rsidRPr="00AE0EAE">
              <w:rPr>
                <w:lang w:val="en-GB" w:eastAsia="en-GB" w:bidi="si-LK"/>
              </w:rPr>
              <w:t>Translation-to-practice gap</w:t>
            </w:r>
          </w:p>
        </w:tc>
        <w:tc>
          <w:tcPr>
            <w:tcW w:w="512" w:type="pct"/>
            <w:noWrap/>
            <w:hideMark/>
          </w:tcPr>
          <w:p w14:paraId="20AF95D3"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88</w:t>
            </w:r>
          </w:p>
        </w:tc>
        <w:tc>
          <w:tcPr>
            <w:tcW w:w="1873" w:type="pct"/>
            <w:hideMark/>
          </w:tcPr>
          <w:p w14:paraId="0B1371A2"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Majority of the list is background evidence rather than immediately reusable employer-facing tools.</w:t>
            </w:r>
          </w:p>
        </w:tc>
        <w:tc>
          <w:tcPr>
            <w:tcW w:w="1452" w:type="pct"/>
            <w:hideMark/>
          </w:tcPr>
          <w:p w14:paraId="03FB0D40"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Separate evidence sources from implementation tools and prioritise employer-facing resources for the toolkit annex.</w:t>
            </w:r>
          </w:p>
        </w:tc>
      </w:tr>
      <w:tr w:rsidR="004D7D30" w:rsidRPr="00AE0EAE" w14:paraId="2D9CB58B" w14:textId="77777777" w:rsidTr="005A5239">
        <w:trPr>
          <w:cnfStyle w:val="000000010000" w:firstRow="0" w:lastRow="0" w:firstColumn="0" w:lastColumn="0" w:oddVBand="0" w:evenVBand="0" w:oddHBand="0" w:evenHBand="1"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163" w:type="pct"/>
            <w:hideMark/>
          </w:tcPr>
          <w:p w14:paraId="6DBCFF30" w14:textId="77777777" w:rsidR="00AE0EAE" w:rsidRPr="00AE0EAE" w:rsidRDefault="00AE0EAE" w:rsidP="002726F7">
            <w:pPr>
              <w:rPr>
                <w:lang w:val="en-GB" w:eastAsia="en-GB" w:bidi="si-LK"/>
              </w:rPr>
            </w:pPr>
            <w:r w:rsidRPr="00AE0EAE">
              <w:rPr>
                <w:lang w:val="en-GB" w:eastAsia="en-GB" w:bidi="si-LK"/>
              </w:rPr>
              <w:t>Intersectionality/context gap</w:t>
            </w:r>
          </w:p>
        </w:tc>
        <w:tc>
          <w:tcPr>
            <w:tcW w:w="512" w:type="pct"/>
            <w:noWrap/>
            <w:hideMark/>
          </w:tcPr>
          <w:p w14:paraId="0696C043"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195</w:t>
            </w:r>
          </w:p>
        </w:tc>
        <w:tc>
          <w:tcPr>
            <w:tcW w:w="1873" w:type="pct"/>
            <w:hideMark/>
          </w:tcPr>
          <w:p w14:paraId="605A8C80"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 xml:space="preserve">Most titles do not make an intersectional, geographic or subgroup-specific focus visible, which </w:t>
            </w:r>
            <w:r w:rsidRPr="00AE0EAE">
              <w:rPr>
                <w:lang w:val="en-GB" w:eastAsia="en-GB" w:bidi="si-LK"/>
              </w:rPr>
              <w:lastRenderedPageBreak/>
              <w:t>may limit contextual fit.</w:t>
            </w:r>
          </w:p>
        </w:tc>
        <w:tc>
          <w:tcPr>
            <w:tcW w:w="1452" w:type="pct"/>
            <w:hideMark/>
          </w:tcPr>
          <w:p w14:paraId="0CCCF341"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lastRenderedPageBreak/>
              <w:t xml:space="preserve">Seek additional resources developed for diverse disability groups, intersecting </w:t>
            </w:r>
            <w:r w:rsidRPr="00AE0EAE">
              <w:rPr>
                <w:lang w:val="en-GB" w:eastAsia="en-GB" w:bidi="si-LK"/>
              </w:rPr>
              <w:lastRenderedPageBreak/>
              <w:t>identities and varied service contexts.</w:t>
            </w:r>
          </w:p>
        </w:tc>
      </w:tr>
      <w:tr w:rsidR="004D7D30" w:rsidRPr="00AE0EAE" w14:paraId="75F6D8DE" w14:textId="77777777" w:rsidTr="007E3E85">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163" w:type="pct"/>
            <w:tcBorders>
              <w:bottom w:val="single" w:sz="4" w:space="0" w:color="C0C0C0" w:themeColor="accent5"/>
            </w:tcBorders>
            <w:hideMark/>
          </w:tcPr>
          <w:p w14:paraId="6FED606C" w14:textId="77777777" w:rsidR="00AE0EAE" w:rsidRPr="00AE0EAE" w:rsidRDefault="00AE0EAE" w:rsidP="002726F7">
            <w:pPr>
              <w:rPr>
                <w:lang w:val="en-GB" w:eastAsia="en-GB" w:bidi="si-LK"/>
              </w:rPr>
            </w:pPr>
            <w:r w:rsidRPr="00AE0EAE">
              <w:rPr>
                <w:lang w:val="en-GB" w:eastAsia="en-GB" w:bidi="si-LK"/>
              </w:rPr>
              <w:lastRenderedPageBreak/>
              <w:t>Retention/progression gap</w:t>
            </w:r>
          </w:p>
        </w:tc>
        <w:tc>
          <w:tcPr>
            <w:tcW w:w="512" w:type="pct"/>
            <w:tcBorders>
              <w:bottom w:val="single" w:sz="4" w:space="0" w:color="C0C0C0" w:themeColor="accent5"/>
            </w:tcBorders>
            <w:noWrap/>
            <w:hideMark/>
          </w:tcPr>
          <w:p w14:paraId="009901A7"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11</w:t>
            </w:r>
          </w:p>
        </w:tc>
        <w:tc>
          <w:tcPr>
            <w:tcW w:w="1873" w:type="pct"/>
            <w:tcBorders>
              <w:bottom w:val="single" w:sz="4" w:space="0" w:color="C0C0C0" w:themeColor="accent5"/>
            </w:tcBorders>
            <w:hideMark/>
          </w:tcPr>
          <w:p w14:paraId="08E1253C"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Compared with employer engagement and general inclusion material, there appear to be fewer resources explicitly focused on sustaining employment after entry.</w:t>
            </w:r>
          </w:p>
        </w:tc>
        <w:tc>
          <w:tcPr>
            <w:tcW w:w="1452" w:type="pct"/>
            <w:tcBorders>
              <w:bottom w:val="single" w:sz="4" w:space="0" w:color="C0C0C0" w:themeColor="accent5"/>
            </w:tcBorders>
            <w:hideMark/>
          </w:tcPr>
          <w:p w14:paraId="405E1FCD" w14:textId="77777777" w:rsidR="00AE0EAE" w:rsidRPr="00AE0EAE" w:rsidRDefault="00AE0EAE"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AE0EAE">
              <w:rPr>
                <w:lang w:val="en-GB" w:eastAsia="en-GB" w:bidi="si-LK"/>
              </w:rPr>
              <w:t>Target supplementary resources on retention, career development and in-work progression.</w:t>
            </w:r>
          </w:p>
        </w:tc>
      </w:tr>
      <w:tr w:rsidR="004D7D30" w:rsidRPr="00AE0EAE" w14:paraId="163005CF" w14:textId="77777777" w:rsidTr="007E3E85">
        <w:trPr>
          <w:cnfStyle w:val="000000010000" w:firstRow="0" w:lastRow="0" w:firstColumn="0" w:lastColumn="0" w:oddVBand="0" w:evenVBand="0" w:oddHBand="0" w:evenHBand="1"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1163" w:type="pct"/>
            <w:tcBorders>
              <w:bottom w:val="single" w:sz="4" w:space="0" w:color="C0C0C0" w:themeColor="accent5"/>
            </w:tcBorders>
            <w:hideMark/>
          </w:tcPr>
          <w:p w14:paraId="19EAB9A2" w14:textId="77777777" w:rsidR="00AE0EAE" w:rsidRPr="00AE0EAE" w:rsidRDefault="00AE0EAE" w:rsidP="002726F7">
            <w:pPr>
              <w:rPr>
                <w:lang w:val="en-GB" w:eastAsia="en-GB" w:bidi="si-LK"/>
              </w:rPr>
            </w:pPr>
            <w:r w:rsidRPr="00AE0EAE">
              <w:rPr>
                <w:lang w:val="en-GB" w:eastAsia="en-GB" w:bidi="si-LK"/>
              </w:rPr>
              <w:t>Openly shareable toolkit gap</w:t>
            </w:r>
          </w:p>
        </w:tc>
        <w:tc>
          <w:tcPr>
            <w:tcW w:w="512" w:type="pct"/>
            <w:tcBorders>
              <w:bottom w:val="single" w:sz="4" w:space="0" w:color="C0C0C0" w:themeColor="accent5"/>
            </w:tcBorders>
            <w:noWrap/>
            <w:hideMark/>
          </w:tcPr>
          <w:p w14:paraId="5CE02E6D"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2</w:t>
            </w:r>
          </w:p>
        </w:tc>
        <w:tc>
          <w:tcPr>
            <w:tcW w:w="1873" w:type="pct"/>
            <w:tcBorders>
              <w:bottom w:val="single" w:sz="4" w:space="0" w:color="C0C0C0" w:themeColor="accent5"/>
            </w:tcBorders>
            <w:hideMark/>
          </w:tcPr>
          <w:p w14:paraId="1F61FCBE"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 xml:space="preserve">Some highly practical resources are not straightforwardly shareable because they are proprietary or </w:t>
            </w:r>
            <w:proofErr w:type="gramStart"/>
            <w:r w:rsidRPr="00AE0EAE">
              <w:rPr>
                <w:lang w:val="en-GB" w:eastAsia="en-GB" w:bidi="si-LK"/>
              </w:rPr>
              <w:t>member-restricted</w:t>
            </w:r>
            <w:proofErr w:type="gramEnd"/>
            <w:r w:rsidRPr="00AE0EAE">
              <w:rPr>
                <w:lang w:val="en-GB" w:eastAsia="en-GB" w:bidi="si-LK"/>
              </w:rPr>
              <w:t>.</w:t>
            </w:r>
          </w:p>
        </w:tc>
        <w:tc>
          <w:tcPr>
            <w:tcW w:w="1452" w:type="pct"/>
            <w:tcBorders>
              <w:bottom w:val="single" w:sz="4" w:space="0" w:color="C0C0C0" w:themeColor="accent5"/>
            </w:tcBorders>
            <w:hideMark/>
          </w:tcPr>
          <w:p w14:paraId="0D29C324" w14:textId="77777777" w:rsidR="00AE0EAE" w:rsidRPr="00AE0EAE" w:rsidRDefault="00AE0EAE"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AE0EAE">
              <w:rPr>
                <w:lang w:val="en-GB" w:eastAsia="en-GB" w:bidi="si-LK"/>
              </w:rPr>
              <w:t>Create a public/shareable sub-list and a separate permission-dependent list for internal use.</w:t>
            </w:r>
          </w:p>
        </w:tc>
      </w:tr>
    </w:tbl>
    <w:p w14:paraId="5739D414" w14:textId="5990443A" w:rsidR="004D7D30" w:rsidRDefault="00C33B40" w:rsidP="002726F7">
      <w:r w:rsidRPr="001F21CB">
        <w:t>The resource audit indicates that the evidence base is broad but unevenly operationalised. Peer-reviewed scholarship is well represented, yet a smaller subset functions as immediately reusable toolkits or guides. Access and IP constraints remain material: a substantial number of records in the current register do not yet carry a stable link, and some practical resources are clearly proprietary or member-restricted. The current resource ecology also appears stronger on employer engagement and general inclusion than on retention/progression and explicitly intersectional tailoring.</w:t>
      </w:r>
      <w:r w:rsidRPr="001F21CB">
        <w:tab/>
      </w:r>
      <w:r w:rsidRPr="001F21CB">
        <w:tab/>
      </w:r>
    </w:p>
    <w:p w14:paraId="07EE62DE" w14:textId="77777777" w:rsidR="005A5239" w:rsidRDefault="005A5239" w:rsidP="002726F7">
      <w:r>
        <w:br w:type="page"/>
      </w:r>
    </w:p>
    <w:p w14:paraId="0D5BBC40" w14:textId="446F756F" w:rsidR="00C33B40" w:rsidRPr="005A5239" w:rsidRDefault="004D7D30" w:rsidP="002726F7">
      <w:pPr>
        <w:rPr>
          <w:b/>
          <w:bCs/>
        </w:rPr>
      </w:pPr>
      <w:r w:rsidRPr="005A5239">
        <w:rPr>
          <w:b/>
          <w:bCs/>
        </w:rPr>
        <w:lastRenderedPageBreak/>
        <w:t xml:space="preserve">Strategic </w:t>
      </w:r>
      <w:r w:rsidR="005A5239" w:rsidRPr="005A5239">
        <w:rPr>
          <w:b/>
          <w:bCs/>
        </w:rPr>
        <w:t>capability gaps in the employer-oriented resource ecosystem</w:t>
      </w:r>
      <w:r w:rsidR="00C33B40" w:rsidRPr="005A5239">
        <w:rPr>
          <w:b/>
          <w:bCs/>
        </w:rPr>
        <w:tab/>
      </w:r>
    </w:p>
    <w:tbl>
      <w:tblPr>
        <w:tblStyle w:val="CIETable"/>
        <w:tblpPr w:leftFromText="180" w:rightFromText="180" w:vertAnchor="text" w:tblpY="1"/>
        <w:tblW w:w="5000" w:type="pct"/>
        <w:tblLook w:val="04A0" w:firstRow="1" w:lastRow="0" w:firstColumn="1" w:lastColumn="0" w:noHBand="0" w:noVBand="1"/>
      </w:tblPr>
      <w:tblGrid>
        <w:gridCol w:w="1938"/>
        <w:gridCol w:w="2041"/>
        <w:gridCol w:w="1733"/>
        <w:gridCol w:w="1958"/>
        <w:gridCol w:w="1958"/>
      </w:tblGrid>
      <w:tr w:rsidR="004D7D30" w:rsidRPr="007E3E85" w14:paraId="6462BABF" w14:textId="77777777" w:rsidTr="007E3E85">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927" w:type="pct"/>
            <w:hideMark/>
          </w:tcPr>
          <w:p w14:paraId="2A43D510" w14:textId="77777777" w:rsidR="00C33B40" w:rsidRPr="007E3E85" w:rsidRDefault="00C33B40" w:rsidP="007E3E85">
            <w:pPr>
              <w:pStyle w:val="TableHeading"/>
              <w:rPr>
                <w:lang w:bidi="si-LK"/>
              </w:rPr>
            </w:pPr>
            <w:r w:rsidRPr="007E3E85">
              <w:rPr>
                <w:lang w:bidi="si-LK"/>
              </w:rPr>
              <w:t>Dimension</w:t>
            </w:r>
          </w:p>
        </w:tc>
        <w:tc>
          <w:tcPr>
            <w:tcW w:w="1014" w:type="pct"/>
            <w:hideMark/>
          </w:tcPr>
          <w:p w14:paraId="075181EF" w14:textId="72078572" w:rsidR="00C33B40" w:rsidRPr="007E3E85" w:rsidRDefault="00C33B40" w:rsidP="007E3E85">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7E3E85">
              <w:rPr>
                <w:lang w:bidi="si-LK"/>
              </w:rPr>
              <w:t xml:space="preserve">Current </w:t>
            </w:r>
            <w:r w:rsidR="00B570E5">
              <w:rPr>
                <w:lang w:bidi="si-LK"/>
              </w:rPr>
              <w:t>s</w:t>
            </w:r>
            <w:r w:rsidRPr="007E3E85">
              <w:rPr>
                <w:lang w:bidi="si-LK"/>
              </w:rPr>
              <w:t>tate</w:t>
            </w:r>
          </w:p>
        </w:tc>
        <w:tc>
          <w:tcPr>
            <w:tcW w:w="1117" w:type="pct"/>
            <w:hideMark/>
          </w:tcPr>
          <w:p w14:paraId="5CF26D5D" w14:textId="7C0F8EBB" w:rsidR="00C33B40" w:rsidRPr="007E3E85" w:rsidRDefault="00C33B40" w:rsidP="007E3E85">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7E3E85">
              <w:rPr>
                <w:lang w:bidi="si-LK"/>
              </w:rPr>
              <w:t xml:space="preserve">Desired </w:t>
            </w:r>
            <w:r w:rsidR="00B570E5">
              <w:rPr>
                <w:lang w:bidi="si-LK"/>
              </w:rPr>
              <w:t>f</w:t>
            </w:r>
            <w:r w:rsidRPr="007E3E85">
              <w:rPr>
                <w:lang w:bidi="si-LK"/>
              </w:rPr>
              <w:t xml:space="preserve">uture </w:t>
            </w:r>
            <w:r w:rsidR="00B570E5">
              <w:rPr>
                <w:lang w:bidi="si-LK"/>
              </w:rPr>
              <w:t>s</w:t>
            </w:r>
            <w:r w:rsidRPr="007E3E85">
              <w:rPr>
                <w:lang w:bidi="si-LK"/>
              </w:rPr>
              <w:t>tate</w:t>
            </w:r>
          </w:p>
        </w:tc>
        <w:tc>
          <w:tcPr>
            <w:tcW w:w="1210" w:type="pct"/>
            <w:hideMark/>
          </w:tcPr>
          <w:p w14:paraId="5B5A63D2" w14:textId="77777777" w:rsidR="00C33B40" w:rsidRPr="007E3E85" w:rsidRDefault="00C33B40" w:rsidP="007E3E85">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7E3E85">
              <w:rPr>
                <w:lang w:bidi="si-LK"/>
              </w:rPr>
              <w:t>Gap</w:t>
            </w:r>
          </w:p>
        </w:tc>
        <w:tc>
          <w:tcPr>
            <w:tcW w:w="732" w:type="pct"/>
            <w:hideMark/>
          </w:tcPr>
          <w:p w14:paraId="35B463BB" w14:textId="62D33FF3" w:rsidR="00C33B40" w:rsidRPr="007E3E85" w:rsidRDefault="00C33B40" w:rsidP="007E3E85">
            <w:pPr>
              <w:pStyle w:val="TableHeading"/>
              <w:cnfStyle w:val="100000000000" w:firstRow="1" w:lastRow="0" w:firstColumn="0" w:lastColumn="0" w:oddVBand="0" w:evenVBand="0" w:oddHBand="0" w:evenHBand="0" w:firstRowFirstColumn="0" w:firstRowLastColumn="0" w:lastRowFirstColumn="0" w:lastRowLastColumn="0"/>
              <w:rPr>
                <w:lang w:bidi="si-LK"/>
              </w:rPr>
            </w:pPr>
            <w:r w:rsidRPr="007E3E85">
              <w:rPr>
                <w:lang w:bidi="si-LK"/>
              </w:rPr>
              <w:t xml:space="preserve">Action </w:t>
            </w:r>
            <w:r w:rsidR="00B570E5">
              <w:rPr>
                <w:lang w:bidi="si-LK"/>
              </w:rPr>
              <w:t>i</w:t>
            </w:r>
            <w:r w:rsidRPr="007E3E85">
              <w:rPr>
                <w:lang w:bidi="si-LK"/>
              </w:rPr>
              <w:t>mplications</w:t>
            </w:r>
          </w:p>
        </w:tc>
      </w:tr>
      <w:tr w:rsidR="004D7D30" w:rsidRPr="00C33B40" w14:paraId="548B07C2" w14:textId="77777777" w:rsidTr="007E3E85">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927" w:type="pct"/>
            <w:hideMark/>
          </w:tcPr>
          <w:p w14:paraId="3AA32BF8" w14:textId="77777777" w:rsidR="00C33B40" w:rsidRPr="00C33B40" w:rsidRDefault="00C33B40" w:rsidP="002726F7">
            <w:pPr>
              <w:rPr>
                <w:lang w:val="en-GB" w:eastAsia="en-GB" w:bidi="si-LK"/>
              </w:rPr>
            </w:pPr>
            <w:r w:rsidRPr="00C33B40">
              <w:rPr>
                <w:lang w:val="en-GB" w:eastAsia="en-GB" w:bidi="si-LK"/>
              </w:rPr>
              <w:t>Availability of employer-facing toolkits</w:t>
            </w:r>
          </w:p>
        </w:tc>
        <w:tc>
          <w:tcPr>
            <w:tcW w:w="1014" w:type="pct"/>
            <w:hideMark/>
          </w:tcPr>
          <w:p w14:paraId="20DAA93B"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Range of dispersed toolkits across academic, government and consultancy sources</w:t>
            </w:r>
          </w:p>
        </w:tc>
        <w:tc>
          <w:tcPr>
            <w:tcW w:w="1117" w:type="pct"/>
            <w:hideMark/>
          </w:tcPr>
          <w:p w14:paraId="7F9AF1A1"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Centralised curated toolkit suite aligned to employer needs</w:t>
            </w:r>
          </w:p>
        </w:tc>
        <w:tc>
          <w:tcPr>
            <w:tcW w:w="1210" w:type="pct"/>
            <w:hideMark/>
          </w:tcPr>
          <w:p w14:paraId="7634AC57"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Limited synthesis of tools across platforms</w:t>
            </w:r>
          </w:p>
        </w:tc>
        <w:tc>
          <w:tcPr>
            <w:tcW w:w="732" w:type="pct"/>
            <w:hideMark/>
          </w:tcPr>
          <w:p w14:paraId="5DC47360"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Develop curated repository aligned to review aims</w:t>
            </w:r>
          </w:p>
        </w:tc>
      </w:tr>
      <w:tr w:rsidR="004D7D30" w:rsidRPr="00C33B40" w14:paraId="0A743780" w14:textId="77777777" w:rsidTr="007E3E85">
        <w:trPr>
          <w:cnfStyle w:val="000000010000" w:firstRow="0" w:lastRow="0" w:firstColumn="0" w:lastColumn="0" w:oddVBand="0" w:evenVBand="0" w:oddHBand="0" w:evenHBand="1"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927" w:type="pct"/>
            <w:hideMark/>
          </w:tcPr>
          <w:p w14:paraId="74B58E2A" w14:textId="77777777" w:rsidR="00C33B40" w:rsidRPr="00C33B40" w:rsidRDefault="00C33B40" w:rsidP="002726F7">
            <w:pPr>
              <w:rPr>
                <w:lang w:val="en-GB" w:eastAsia="en-GB" w:bidi="si-LK"/>
              </w:rPr>
            </w:pPr>
            <w:r w:rsidRPr="00C33B40">
              <w:rPr>
                <w:lang w:val="en-GB" w:eastAsia="en-GB" w:bidi="si-LK"/>
              </w:rPr>
              <w:t>Scalability of good practice</w:t>
            </w:r>
          </w:p>
        </w:tc>
        <w:tc>
          <w:tcPr>
            <w:tcW w:w="1014" w:type="pct"/>
            <w:hideMark/>
          </w:tcPr>
          <w:p w14:paraId="741BE8A6"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Strong practice examples often context-bound</w:t>
            </w:r>
          </w:p>
        </w:tc>
        <w:tc>
          <w:tcPr>
            <w:tcW w:w="1117" w:type="pct"/>
            <w:hideMark/>
          </w:tcPr>
          <w:p w14:paraId="6DB93132"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Adaptable tools transferable across contexts</w:t>
            </w:r>
          </w:p>
        </w:tc>
        <w:tc>
          <w:tcPr>
            <w:tcW w:w="1210" w:type="pct"/>
            <w:hideMark/>
          </w:tcPr>
          <w:p w14:paraId="74A145F8"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Transferability constraints</w:t>
            </w:r>
          </w:p>
        </w:tc>
        <w:tc>
          <w:tcPr>
            <w:tcW w:w="732" w:type="pct"/>
            <w:hideMark/>
          </w:tcPr>
          <w:p w14:paraId="6A063034"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Develop adaptation guidance</w:t>
            </w:r>
          </w:p>
        </w:tc>
      </w:tr>
      <w:tr w:rsidR="004D7D30" w:rsidRPr="00C33B40" w14:paraId="60C4462C" w14:textId="77777777" w:rsidTr="007E3E85">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927" w:type="pct"/>
            <w:hideMark/>
          </w:tcPr>
          <w:p w14:paraId="2781DF9A" w14:textId="77777777" w:rsidR="00C33B40" w:rsidRPr="00C33B40" w:rsidRDefault="00C33B40" w:rsidP="002726F7">
            <w:pPr>
              <w:rPr>
                <w:lang w:val="en-GB" w:eastAsia="en-GB" w:bidi="si-LK"/>
              </w:rPr>
            </w:pPr>
            <w:r w:rsidRPr="00C33B40">
              <w:rPr>
                <w:lang w:val="en-GB" w:eastAsia="en-GB" w:bidi="si-LK"/>
              </w:rPr>
              <w:t>IP and licensing accessibility</w:t>
            </w:r>
          </w:p>
        </w:tc>
        <w:tc>
          <w:tcPr>
            <w:tcW w:w="1014" w:type="pct"/>
            <w:hideMark/>
          </w:tcPr>
          <w:p w14:paraId="3C6BCFF7"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Several resources proprietary or unclear licensing</w:t>
            </w:r>
          </w:p>
        </w:tc>
        <w:tc>
          <w:tcPr>
            <w:tcW w:w="1117" w:type="pct"/>
            <w:hideMark/>
          </w:tcPr>
          <w:p w14:paraId="0F161957"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Greater proportion of open or reusable resources</w:t>
            </w:r>
          </w:p>
        </w:tc>
        <w:tc>
          <w:tcPr>
            <w:tcW w:w="1210" w:type="pct"/>
            <w:hideMark/>
          </w:tcPr>
          <w:p w14:paraId="5DD6D394"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Restricted dissemination due to IP constraints</w:t>
            </w:r>
          </w:p>
        </w:tc>
        <w:tc>
          <w:tcPr>
            <w:tcW w:w="732" w:type="pct"/>
            <w:hideMark/>
          </w:tcPr>
          <w:p w14:paraId="157FBEB8"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Prioritise open-access tools or seek permissions</w:t>
            </w:r>
          </w:p>
        </w:tc>
      </w:tr>
      <w:tr w:rsidR="004D7D30" w:rsidRPr="00C33B40" w14:paraId="2EF58F97" w14:textId="77777777" w:rsidTr="007E3E85">
        <w:trPr>
          <w:cnfStyle w:val="000000010000" w:firstRow="0" w:lastRow="0" w:firstColumn="0" w:lastColumn="0" w:oddVBand="0" w:evenVBand="0" w:oddHBand="0" w:evenHBand="1" w:firstRowFirstColumn="0" w:firstRowLastColumn="0" w:lastRowFirstColumn="0" w:lastRowLastColumn="0"/>
          <w:trHeight w:val="1576"/>
        </w:trPr>
        <w:tc>
          <w:tcPr>
            <w:cnfStyle w:val="001000000000" w:firstRow="0" w:lastRow="0" w:firstColumn="1" w:lastColumn="0" w:oddVBand="0" w:evenVBand="0" w:oddHBand="0" w:evenHBand="0" w:firstRowFirstColumn="0" w:firstRowLastColumn="0" w:lastRowFirstColumn="0" w:lastRowLastColumn="0"/>
            <w:tcW w:w="927" w:type="pct"/>
            <w:hideMark/>
          </w:tcPr>
          <w:p w14:paraId="64C50210" w14:textId="77777777" w:rsidR="00C33B40" w:rsidRPr="00C33B40" w:rsidRDefault="00C33B40" w:rsidP="002726F7">
            <w:pPr>
              <w:rPr>
                <w:lang w:val="en-GB" w:eastAsia="en-GB" w:bidi="si-LK"/>
              </w:rPr>
            </w:pPr>
            <w:r w:rsidRPr="00C33B40">
              <w:rPr>
                <w:lang w:val="en-GB" w:eastAsia="en-GB" w:bidi="si-LK"/>
              </w:rPr>
              <w:t>Transparency of evidence base</w:t>
            </w:r>
          </w:p>
        </w:tc>
        <w:tc>
          <w:tcPr>
            <w:tcW w:w="1014" w:type="pct"/>
            <w:hideMark/>
          </w:tcPr>
          <w:p w14:paraId="74ED1838"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Variable clarity regarding evidence underpinning tools</w:t>
            </w:r>
          </w:p>
        </w:tc>
        <w:tc>
          <w:tcPr>
            <w:tcW w:w="1117" w:type="pct"/>
            <w:hideMark/>
          </w:tcPr>
          <w:p w14:paraId="46C71893"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Clear articulation of evidence strength</w:t>
            </w:r>
          </w:p>
        </w:tc>
        <w:tc>
          <w:tcPr>
            <w:tcW w:w="1210" w:type="pct"/>
            <w:hideMark/>
          </w:tcPr>
          <w:p w14:paraId="5F069F62"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Unclear methodological grounding of some tools</w:t>
            </w:r>
          </w:p>
        </w:tc>
        <w:tc>
          <w:tcPr>
            <w:tcW w:w="732" w:type="pct"/>
            <w:hideMark/>
          </w:tcPr>
          <w:p w14:paraId="1C1D6698"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Annotate tools with AERO evidence ratings</w:t>
            </w:r>
          </w:p>
        </w:tc>
      </w:tr>
      <w:tr w:rsidR="004D7D30" w:rsidRPr="00C33B40" w14:paraId="58CD0FD6" w14:textId="77777777" w:rsidTr="007E3E85">
        <w:trPr>
          <w:cnfStyle w:val="000000100000" w:firstRow="0" w:lastRow="0" w:firstColumn="0" w:lastColumn="0" w:oddVBand="0" w:evenVBand="0" w:oddHBand="1"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927" w:type="pct"/>
            <w:hideMark/>
          </w:tcPr>
          <w:p w14:paraId="1D925A71" w14:textId="0820724C" w:rsidR="00C33B40" w:rsidRPr="00C33B40" w:rsidRDefault="00C33B40" w:rsidP="002726F7">
            <w:pPr>
              <w:rPr>
                <w:lang w:val="en-GB" w:eastAsia="en-GB" w:bidi="si-LK"/>
              </w:rPr>
            </w:pPr>
            <w:r w:rsidRPr="00C33B40">
              <w:rPr>
                <w:lang w:val="en-GB" w:eastAsia="en-GB" w:bidi="si-LK"/>
              </w:rPr>
              <w:t xml:space="preserve">Representation of </w:t>
            </w:r>
            <w:r w:rsidR="00266EE5">
              <w:rPr>
                <w:lang w:val="en-GB" w:eastAsia="en-GB" w:bidi="si-LK"/>
              </w:rPr>
              <w:t>Inclusive Employment Australia</w:t>
            </w:r>
            <w:r w:rsidRPr="00C33B40">
              <w:rPr>
                <w:lang w:val="en-GB" w:eastAsia="en-GB" w:bidi="si-LK"/>
              </w:rPr>
              <w:t xml:space="preserve"> network resources</w:t>
            </w:r>
          </w:p>
        </w:tc>
        <w:tc>
          <w:tcPr>
            <w:tcW w:w="1014" w:type="pct"/>
            <w:hideMark/>
          </w:tcPr>
          <w:p w14:paraId="12A45893" w14:textId="6945A184"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 xml:space="preserve">Few openly shared tools from </w:t>
            </w:r>
            <w:r w:rsidR="00266EE5">
              <w:rPr>
                <w:lang w:val="en-GB" w:eastAsia="en-GB" w:bidi="si-LK"/>
              </w:rPr>
              <w:t>Inclusive Employment Australia</w:t>
            </w:r>
            <w:r w:rsidRPr="00C33B40">
              <w:rPr>
                <w:lang w:val="en-GB" w:eastAsia="en-GB" w:bidi="si-LK"/>
              </w:rPr>
              <w:t xml:space="preserve"> network</w:t>
            </w:r>
          </w:p>
        </w:tc>
        <w:tc>
          <w:tcPr>
            <w:tcW w:w="1117" w:type="pct"/>
            <w:hideMark/>
          </w:tcPr>
          <w:p w14:paraId="45E6C9BB" w14:textId="005F564A"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 xml:space="preserve">Greater sharing of practice knowledge across </w:t>
            </w:r>
            <w:r w:rsidR="00266EE5">
              <w:rPr>
                <w:lang w:val="en-GB" w:eastAsia="en-GB" w:bidi="si-LK"/>
              </w:rPr>
              <w:t>Inclusive Employment Australia</w:t>
            </w:r>
            <w:r w:rsidRPr="00C33B40">
              <w:rPr>
                <w:lang w:val="en-GB" w:eastAsia="en-GB" w:bidi="si-LK"/>
              </w:rPr>
              <w:t xml:space="preserve"> </w:t>
            </w:r>
            <w:r w:rsidRPr="00C33B40">
              <w:rPr>
                <w:lang w:val="en-GB" w:eastAsia="en-GB" w:bidi="si-LK"/>
              </w:rPr>
              <w:lastRenderedPageBreak/>
              <w:t>network</w:t>
            </w:r>
          </w:p>
        </w:tc>
        <w:tc>
          <w:tcPr>
            <w:tcW w:w="1210" w:type="pct"/>
            <w:hideMark/>
          </w:tcPr>
          <w:p w14:paraId="41D5EBF7"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lastRenderedPageBreak/>
              <w:t>Competitive context may limit sharing</w:t>
            </w:r>
          </w:p>
        </w:tc>
        <w:tc>
          <w:tcPr>
            <w:tcW w:w="732" w:type="pct"/>
            <w:hideMark/>
          </w:tcPr>
          <w:p w14:paraId="46CA4530"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Develop knowledge-sharing mechanisms</w:t>
            </w:r>
          </w:p>
        </w:tc>
      </w:tr>
      <w:tr w:rsidR="004D7D30" w:rsidRPr="00C33B40" w14:paraId="7442E189" w14:textId="77777777" w:rsidTr="007E3E85">
        <w:trPr>
          <w:cnfStyle w:val="000000010000" w:firstRow="0" w:lastRow="0" w:firstColumn="0" w:lastColumn="0" w:oddVBand="0" w:evenVBand="0" w:oddHBand="0" w:evenHBand="1"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927" w:type="pct"/>
            <w:hideMark/>
          </w:tcPr>
          <w:p w14:paraId="4DE576EF" w14:textId="77777777" w:rsidR="00C33B40" w:rsidRPr="00C33B40" w:rsidRDefault="00C33B40" w:rsidP="002726F7">
            <w:pPr>
              <w:rPr>
                <w:lang w:val="en-GB" w:eastAsia="en-GB" w:bidi="si-LK"/>
              </w:rPr>
            </w:pPr>
            <w:r w:rsidRPr="00C33B40">
              <w:rPr>
                <w:lang w:val="en-GB" w:eastAsia="en-GB" w:bidi="si-LK"/>
              </w:rPr>
              <w:t>Accessibility for SMEs and diverse organisational contexts</w:t>
            </w:r>
          </w:p>
        </w:tc>
        <w:tc>
          <w:tcPr>
            <w:tcW w:w="1014" w:type="pct"/>
            <w:hideMark/>
          </w:tcPr>
          <w:p w14:paraId="771081C4"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Many tools oriented to larger organisations</w:t>
            </w:r>
          </w:p>
        </w:tc>
        <w:tc>
          <w:tcPr>
            <w:tcW w:w="1117" w:type="pct"/>
            <w:hideMark/>
          </w:tcPr>
          <w:p w14:paraId="4F4F3F54"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Resources tailored to varied organisational capability levels</w:t>
            </w:r>
          </w:p>
        </w:tc>
        <w:tc>
          <w:tcPr>
            <w:tcW w:w="1210" w:type="pct"/>
            <w:hideMark/>
          </w:tcPr>
          <w:p w14:paraId="2E3D4E69"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Limited guidance for SMEs</w:t>
            </w:r>
          </w:p>
        </w:tc>
        <w:tc>
          <w:tcPr>
            <w:tcW w:w="732" w:type="pct"/>
            <w:hideMark/>
          </w:tcPr>
          <w:p w14:paraId="00F5E445"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Identify modular resources</w:t>
            </w:r>
          </w:p>
        </w:tc>
      </w:tr>
      <w:tr w:rsidR="004D7D30" w:rsidRPr="00C33B40" w14:paraId="756248D2" w14:textId="77777777" w:rsidTr="007E3E85">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927" w:type="pct"/>
            <w:hideMark/>
          </w:tcPr>
          <w:p w14:paraId="44D346FF" w14:textId="77777777" w:rsidR="00C33B40" w:rsidRPr="00C33B40" w:rsidRDefault="00C33B40" w:rsidP="002726F7">
            <w:pPr>
              <w:rPr>
                <w:lang w:val="en-GB" w:eastAsia="en-GB" w:bidi="si-LK"/>
              </w:rPr>
            </w:pPr>
            <w:r w:rsidRPr="00C33B40">
              <w:rPr>
                <w:lang w:val="en-GB" w:eastAsia="en-GB" w:bidi="si-LK"/>
              </w:rPr>
              <w:t>Intersectional and lived-experience perspectives</w:t>
            </w:r>
          </w:p>
        </w:tc>
        <w:tc>
          <w:tcPr>
            <w:tcW w:w="1014" w:type="pct"/>
            <w:hideMark/>
          </w:tcPr>
          <w:p w14:paraId="78577E2C"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Uneven inclusion of intersectional lived-experience perspectives</w:t>
            </w:r>
          </w:p>
        </w:tc>
        <w:tc>
          <w:tcPr>
            <w:tcW w:w="1117" w:type="pct"/>
            <w:hideMark/>
          </w:tcPr>
          <w:p w14:paraId="4F906082"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Stronger participatory co-designed resources</w:t>
            </w:r>
          </w:p>
        </w:tc>
        <w:tc>
          <w:tcPr>
            <w:tcW w:w="1210" w:type="pct"/>
            <w:hideMark/>
          </w:tcPr>
          <w:p w14:paraId="70D34519"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Limited representation of diverse perspectives</w:t>
            </w:r>
          </w:p>
        </w:tc>
        <w:tc>
          <w:tcPr>
            <w:tcW w:w="732" w:type="pct"/>
            <w:hideMark/>
          </w:tcPr>
          <w:p w14:paraId="740EC32B"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Prioritise participatory approaches</w:t>
            </w:r>
          </w:p>
        </w:tc>
      </w:tr>
      <w:tr w:rsidR="004D7D30" w:rsidRPr="00C33B40" w14:paraId="463DAF20" w14:textId="77777777" w:rsidTr="007E3E85">
        <w:trPr>
          <w:cnfStyle w:val="000000010000" w:firstRow="0" w:lastRow="0" w:firstColumn="0" w:lastColumn="0" w:oddVBand="0" w:evenVBand="0" w:oddHBand="0" w:evenHBand="1"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927" w:type="pct"/>
            <w:hideMark/>
          </w:tcPr>
          <w:p w14:paraId="56909866" w14:textId="77777777" w:rsidR="00C33B40" w:rsidRPr="00C33B40" w:rsidRDefault="00C33B40" w:rsidP="002726F7">
            <w:pPr>
              <w:rPr>
                <w:lang w:val="en-GB" w:eastAsia="en-GB" w:bidi="si-LK"/>
              </w:rPr>
            </w:pPr>
            <w:r w:rsidRPr="00C33B40">
              <w:rPr>
                <w:lang w:val="en-GB" w:eastAsia="en-GB" w:bidi="si-LK"/>
              </w:rPr>
              <w:t>Openly shareable toolkit availability</w:t>
            </w:r>
          </w:p>
        </w:tc>
        <w:tc>
          <w:tcPr>
            <w:tcW w:w="1014" w:type="pct"/>
            <w:hideMark/>
          </w:tcPr>
          <w:p w14:paraId="0433617E"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Limited fully open-access implementation-ready toolkits</w:t>
            </w:r>
          </w:p>
        </w:tc>
        <w:tc>
          <w:tcPr>
            <w:tcW w:w="1117" w:type="pct"/>
            <w:hideMark/>
          </w:tcPr>
          <w:p w14:paraId="422FC97C"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Expanded openly accessible employer-focused tools</w:t>
            </w:r>
          </w:p>
        </w:tc>
        <w:tc>
          <w:tcPr>
            <w:tcW w:w="1210" w:type="pct"/>
            <w:hideMark/>
          </w:tcPr>
          <w:p w14:paraId="3E51620E"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Open toolkit gap</w:t>
            </w:r>
          </w:p>
        </w:tc>
        <w:tc>
          <w:tcPr>
            <w:tcW w:w="732" w:type="pct"/>
            <w:hideMark/>
          </w:tcPr>
          <w:p w14:paraId="532B7BEA" w14:textId="77777777" w:rsidR="00C33B40" w:rsidRPr="00C33B40" w:rsidRDefault="00C33B40" w:rsidP="002726F7">
            <w:pPr>
              <w:cnfStyle w:val="000000010000" w:firstRow="0" w:lastRow="0" w:firstColumn="0" w:lastColumn="0" w:oddVBand="0" w:evenVBand="0" w:oddHBand="0" w:evenHBand="1" w:firstRowFirstColumn="0" w:firstRowLastColumn="0" w:lastRowFirstColumn="0" w:lastRowLastColumn="0"/>
              <w:rPr>
                <w:lang w:val="en-GB" w:eastAsia="en-GB" w:bidi="si-LK"/>
              </w:rPr>
            </w:pPr>
            <w:r w:rsidRPr="00C33B40">
              <w:rPr>
                <w:lang w:val="en-GB" w:eastAsia="en-GB" w:bidi="si-LK"/>
              </w:rPr>
              <w:t>Develop open-access implementation tools</w:t>
            </w:r>
          </w:p>
        </w:tc>
      </w:tr>
      <w:tr w:rsidR="004D7D30" w:rsidRPr="00C33B40" w14:paraId="799C6A2C" w14:textId="77777777" w:rsidTr="007E3E85">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927" w:type="pct"/>
            <w:hideMark/>
          </w:tcPr>
          <w:p w14:paraId="477446C6" w14:textId="77777777" w:rsidR="00C33B40" w:rsidRPr="00C33B40" w:rsidRDefault="00C33B40" w:rsidP="002726F7">
            <w:pPr>
              <w:rPr>
                <w:lang w:val="en-GB" w:eastAsia="en-GB" w:bidi="si-LK"/>
              </w:rPr>
            </w:pPr>
            <w:r w:rsidRPr="00C33B40">
              <w:rPr>
                <w:lang w:val="en-GB" w:eastAsia="en-GB" w:bidi="si-LK"/>
              </w:rPr>
              <w:t>Knowledge translation from research to practice</w:t>
            </w:r>
          </w:p>
        </w:tc>
        <w:tc>
          <w:tcPr>
            <w:tcW w:w="1014" w:type="pct"/>
            <w:hideMark/>
          </w:tcPr>
          <w:p w14:paraId="52CC0633"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Research evidence fragmented across sources</w:t>
            </w:r>
          </w:p>
        </w:tc>
        <w:tc>
          <w:tcPr>
            <w:tcW w:w="1117" w:type="pct"/>
            <w:hideMark/>
          </w:tcPr>
          <w:p w14:paraId="7816BE6C"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Integrated translation of research into practice guidance</w:t>
            </w:r>
          </w:p>
        </w:tc>
        <w:tc>
          <w:tcPr>
            <w:tcW w:w="1210" w:type="pct"/>
            <w:hideMark/>
          </w:tcPr>
          <w:p w14:paraId="1B9424A8"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Disconnect between research and implementation</w:t>
            </w:r>
          </w:p>
        </w:tc>
        <w:tc>
          <w:tcPr>
            <w:tcW w:w="732" w:type="pct"/>
            <w:hideMark/>
          </w:tcPr>
          <w:p w14:paraId="1D4EF868" w14:textId="77777777" w:rsidR="00C33B40" w:rsidRPr="00C33B40" w:rsidRDefault="00C33B40" w:rsidP="002726F7">
            <w:pPr>
              <w:cnfStyle w:val="000000100000" w:firstRow="0" w:lastRow="0" w:firstColumn="0" w:lastColumn="0" w:oddVBand="0" w:evenVBand="0" w:oddHBand="1" w:evenHBand="0" w:firstRowFirstColumn="0" w:firstRowLastColumn="0" w:lastRowFirstColumn="0" w:lastRowLastColumn="0"/>
              <w:rPr>
                <w:lang w:val="en-GB" w:eastAsia="en-GB" w:bidi="si-LK"/>
              </w:rPr>
            </w:pPr>
            <w:r w:rsidRPr="00C33B40">
              <w:rPr>
                <w:lang w:val="en-GB" w:eastAsia="en-GB" w:bidi="si-LK"/>
              </w:rPr>
              <w:t>Produce synthesis summaries linking evidence to practice</w:t>
            </w:r>
          </w:p>
        </w:tc>
      </w:tr>
    </w:tbl>
    <w:p w14:paraId="03A34816" w14:textId="77777777" w:rsidR="00AE0EAE" w:rsidRDefault="00AE0EAE" w:rsidP="002726F7"/>
    <w:p w14:paraId="21D40FDE" w14:textId="77777777" w:rsidR="006937C4" w:rsidRPr="00102488" w:rsidRDefault="006937C4" w:rsidP="002726F7">
      <w:pPr>
        <w:sectPr w:rsidR="006937C4" w:rsidRPr="00102488" w:rsidSect="00AF7D17">
          <w:pgSz w:w="11906" w:h="16838" w:code="9"/>
          <w:pgMar w:top="1134" w:right="1134" w:bottom="1134" w:left="1134" w:header="454" w:footer="0" w:gutter="0"/>
          <w:cols w:space="708"/>
          <w:docGrid w:linePitch="360"/>
        </w:sectPr>
      </w:pPr>
    </w:p>
    <w:p w14:paraId="5440B799" w14:textId="641B8556" w:rsidR="00601612" w:rsidRDefault="009D48BC" w:rsidP="002726F7">
      <w:pPr>
        <w:pStyle w:val="Heading1"/>
      </w:pPr>
      <w:bookmarkStart w:id="35" w:name="_Toc232075650"/>
      <w:r>
        <w:lastRenderedPageBreak/>
        <w:t>References</w:t>
      </w:r>
      <w:bookmarkEnd w:id="35"/>
    </w:p>
    <w:p w14:paraId="38215636" w14:textId="77777777" w:rsidR="00040147" w:rsidRPr="00040147" w:rsidRDefault="00040147" w:rsidP="00040147">
      <w:pPr>
        <w:rPr>
          <w:lang w:val="en-GB"/>
        </w:rPr>
      </w:pPr>
      <w:r w:rsidRPr="00040147">
        <w:rPr>
          <w:lang w:val="en-GB"/>
        </w:rPr>
        <w:t>4FrontPartners proprietary figure. (n.d.).</w:t>
      </w:r>
    </w:p>
    <w:p w14:paraId="71F5397F" w14:textId="77777777" w:rsidR="00040147" w:rsidRPr="00040147" w:rsidRDefault="00040147" w:rsidP="0083571A">
      <w:pPr>
        <w:pStyle w:val="EndNoteBibliography"/>
      </w:pPr>
      <w:r w:rsidRPr="00040147">
        <w:t xml:space="preserve">Aksnes, S., &amp; Breit, E. (2025). Varieties of engagement: Exploring the micro-practices of managers in employing disadvantaged jobseekers. </w:t>
      </w:r>
      <w:r w:rsidRPr="00040147">
        <w:rPr>
          <w:i/>
          <w:iCs/>
        </w:rPr>
        <w:t>JOURNAL OF SOCIAL POLICY</w:t>
      </w:r>
      <w:r w:rsidRPr="00040147">
        <w:t xml:space="preserve">. (WOS:001433326200001). </w:t>
      </w:r>
      <w:hyperlink r:id="rId83" w:history="1">
        <w:r w:rsidRPr="00040147">
          <w:rPr>
            <w:rStyle w:val="Hyperlink"/>
            <w:lang w:val="en-GB"/>
          </w:rPr>
          <w:t>https://doi.org/10.1017/S0047279425000030</w:t>
        </w:r>
      </w:hyperlink>
    </w:p>
    <w:p w14:paraId="67ABA74F" w14:textId="77777777" w:rsidR="00040147" w:rsidRPr="00040147" w:rsidRDefault="00040147" w:rsidP="00040147">
      <w:pPr>
        <w:rPr>
          <w:lang w:val="en-GB"/>
        </w:rPr>
      </w:pPr>
      <w:r w:rsidRPr="00040147">
        <w:rPr>
          <w:lang w:val="en-GB"/>
        </w:rPr>
        <w:t>Alternative ways to assess candidates. (n.d.).</w:t>
      </w:r>
    </w:p>
    <w:p w14:paraId="3F3E6A60" w14:textId="77777777" w:rsidR="00040147" w:rsidRPr="00040147" w:rsidRDefault="00040147" w:rsidP="00040147">
      <w:pPr>
        <w:rPr>
          <w:lang w:val="en-GB"/>
        </w:rPr>
      </w:pPr>
      <w:r w:rsidRPr="00040147">
        <w:rPr>
          <w:lang w:val="en-GB"/>
        </w:rPr>
        <w:t>Analyse and report on your D&amp;I data—Diversity Council Australia. (n.d.).</w:t>
      </w:r>
    </w:p>
    <w:p w14:paraId="5883B532" w14:textId="77777777" w:rsidR="00040147" w:rsidRPr="00040147" w:rsidRDefault="00040147" w:rsidP="0083571A">
      <w:pPr>
        <w:pStyle w:val="EndNoteBibliography"/>
      </w:pPr>
      <w:r w:rsidRPr="00040147">
        <w:t xml:space="preserve">Araten-Bergman, T. (2016). Managers’ hiring intentions and the actual hiring of qualified workers with disabilities. </w:t>
      </w:r>
      <w:r w:rsidRPr="00040147">
        <w:rPr>
          <w:i/>
          <w:iCs/>
        </w:rPr>
        <w:t>International Journal of Human Resource Management</w:t>
      </w:r>
      <w:r w:rsidRPr="00040147">
        <w:t xml:space="preserve">, </w:t>
      </w:r>
      <w:r w:rsidRPr="00040147">
        <w:rPr>
          <w:i/>
          <w:iCs/>
        </w:rPr>
        <w:t>27</w:t>
      </w:r>
      <w:r w:rsidRPr="00040147">
        <w:t xml:space="preserve">(14), 1510–1530. (116263431). </w:t>
      </w:r>
      <w:hyperlink r:id="rId84" w:history="1">
        <w:r w:rsidRPr="00040147">
          <w:rPr>
            <w:rStyle w:val="Hyperlink"/>
            <w:lang w:val="en-GB"/>
          </w:rPr>
          <w:t>https://doi.org/10.1080/09585192.2015.1128466</w:t>
        </w:r>
      </w:hyperlink>
    </w:p>
    <w:p w14:paraId="4FCB3493" w14:textId="77777777" w:rsidR="00040147" w:rsidRPr="00040147" w:rsidRDefault="00040147" w:rsidP="0083571A">
      <w:pPr>
        <w:pStyle w:val="EndNoteBibliography"/>
      </w:pPr>
      <w:r w:rsidRPr="00040147">
        <w:t>AtWork Australia (2026) Centre for Inclusive Employment’s rapid evidence review (confidential submission).</w:t>
      </w:r>
    </w:p>
    <w:p w14:paraId="41ACDD72" w14:textId="77777777" w:rsidR="00040147" w:rsidRPr="00040147" w:rsidRDefault="00040147" w:rsidP="0083571A">
      <w:pPr>
        <w:pStyle w:val="EndNoteBibliography"/>
      </w:pPr>
      <w:r w:rsidRPr="00040147">
        <w:t>Australian Government Making Workplace Adjustments Easy, Effective and Equitable Conversation Guide. (n.d.).</w:t>
      </w:r>
    </w:p>
    <w:p w14:paraId="1FB8236D" w14:textId="77777777" w:rsidR="00040147" w:rsidRPr="00040147" w:rsidRDefault="00040147" w:rsidP="0083571A">
      <w:pPr>
        <w:pStyle w:val="EndNoteBibliography"/>
      </w:pPr>
      <w:r w:rsidRPr="00040147">
        <w:t xml:space="preserve">Baker, O., Ingold, J., Crichton, E., &amp; Carr, T. (n.d.). Practice Case Study: </w:t>
      </w:r>
      <w:proofErr w:type="spellStart"/>
      <w:r w:rsidRPr="00040147">
        <w:t>Programme</w:t>
      </w:r>
      <w:proofErr w:type="spellEnd"/>
      <w:r w:rsidRPr="00040147">
        <w:t xml:space="preserve"> Commissioning and Co-opetition in the UK and Australia.</w:t>
      </w:r>
    </w:p>
    <w:p w14:paraId="7633CB3C" w14:textId="77777777" w:rsidR="00040147" w:rsidRPr="00040147" w:rsidRDefault="00040147" w:rsidP="0083571A">
      <w:pPr>
        <w:pStyle w:val="EndNoteBibliography"/>
      </w:pPr>
      <w:r w:rsidRPr="00040147">
        <w:t>BDI Bus ethical case best practice v2 061025[2]—Read-</w:t>
      </w:r>
      <w:proofErr w:type="gramStart"/>
      <w:r w:rsidRPr="00040147">
        <w:t>Only[</w:t>
      </w:r>
      <w:proofErr w:type="gramEnd"/>
      <w:r w:rsidRPr="00040147">
        <w:t>82]. (n.d.).</w:t>
      </w:r>
    </w:p>
    <w:p w14:paraId="3C08B74E" w14:textId="77777777" w:rsidR="00040147" w:rsidRPr="00040147" w:rsidRDefault="00040147" w:rsidP="0083571A">
      <w:pPr>
        <w:pStyle w:val="EndNoteBibliography"/>
      </w:pPr>
      <w:r w:rsidRPr="00040147">
        <w:t>Best-practice Employer Engagement for Work Trials and Sustained Employment Placements Best-practice Employer Engagement for Work Trials and Sustained Employment Placements. (n.d.).</w:t>
      </w:r>
    </w:p>
    <w:p w14:paraId="356D0494" w14:textId="77777777" w:rsidR="00040147" w:rsidRPr="00040147" w:rsidRDefault="00040147" w:rsidP="0083571A">
      <w:pPr>
        <w:pStyle w:val="EndNoteBibliography"/>
      </w:pPr>
      <w:r w:rsidRPr="00040147">
        <w:t xml:space="preserve">Bezyak, J., Chan, F., Tansey, T. N., Wu, J.-R., Iwanaga, K., &amp; Lee, D. (2025). Changing human resource professionals from gatekeepers to enablers of disability employment: Lessons learned from disability-employment research. </w:t>
      </w:r>
      <w:r w:rsidRPr="00040147">
        <w:rPr>
          <w:i/>
          <w:iCs/>
        </w:rPr>
        <w:t>Journal of Vocational Rehabilitation</w:t>
      </w:r>
      <w:r w:rsidRPr="00040147">
        <w:t xml:space="preserve">, </w:t>
      </w:r>
      <w:r w:rsidRPr="00040147">
        <w:rPr>
          <w:i/>
          <w:iCs/>
        </w:rPr>
        <w:t>62</w:t>
      </w:r>
      <w:r w:rsidRPr="00040147">
        <w:t xml:space="preserve">(1), 76–81. (182615079). </w:t>
      </w:r>
      <w:hyperlink r:id="rId85" w:history="1">
        <w:r w:rsidRPr="00040147">
          <w:rPr>
            <w:rStyle w:val="Hyperlink"/>
            <w:lang w:val="en-GB"/>
          </w:rPr>
          <w:t>https://doi.org/10.1177/10522263241300813</w:t>
        </w:r>
      </w:hyperlink>
    </w:p>
    <w:p w14:paraId="3255620E" w14:textId="77777777" w:rsidR="00040147" w:rsidRPr="00040147" w:rsidRDefault="00040147" w:rsidP="0083571A">
      <w:pPr>
        <w:pStyle w:val="EndNoteBibliography"/>
      </w:pPr>
      <w:r w:rsidRPr="00040147">
        <w:t xml:space="preserve">Bezyak J., Chan F., Tansey T.N., Wu J.-R., Iwanaga K., &amp; Lee D. (2024). Changing Human Resource Professionals from Gatekeepers to Enablers of Disability Employment: Lessons Learned from Disability-Employment Research. </w:t>
      </w:r>
      <w:r w:rsidRPr="00040147">
        <w:rPr>
          <w:i/>
          <w:iCs/>
        </w:rPr>
        <w:t>Journal of Vocational Rehabilitation</w:t>
      </w:r>
      <w:r w:rsidRPr="00040147">
        <w:t xml:space="preserve">, ((Bezyak) University of Northern Colorado, Greeley, CO, United </w:t>
      </w:r>
      <w:proofErr w:type="gramStart"/>
      <w:r w:rsidRPr="00040147">
        <w:t>States(</w:t>
      </w:r>
      <w:proofErr w:type="gramEnd"/>
      <w:r w:rsidRPr="00040147">
        <w:t xml:space="preserve">Chan, Tansey) University of Wisconsin-Madison, Madison, WI, United </w:t>
      </w:r>
      <w:proofErr w:type="gramStart"/>
      <w:r w:rsidRPr="00040147">
        <w:t>States(</w:t>
      </w:r>
      <w:proofErr w:type="gramEnd"/>
      <w:r w:rsidRPr="00040147">
        <w:t xml:space="preserve">Wu) Northeastern Illinois University, Chicago, IL, United </w:t>
      </w:r>
      <w:proofErr w:type="gramStart"/>
      <w:r w:rsidRPr="00040147">
        <w:t>States(</w:t>
      </w:r>
      <w:proofErr w:type="gramEnd"/>
      <w:r w:rsidRPr="00040147">
        <w:t xml:space="preserve">Iwanaga) Virginia Commonwealth University, Rich), 10522263241300813. (2039510398). </w:t>
      </w:r>
      <w:hyperlink r:id="rId86" w:history="1">
        <w:r w:rsidRPr="00040147">
          <w:rPr>
            <w:rStyle w:val="Hyperlink"/>
            <w:lang w:val="en-GB"/>
          </w:rPr>
          <w:t>https://doi.org/10.1177/10522263241300813</w:t>
        </w:r>
      </w:hyperlink>
    </w:p>
    <w:p w14:paraId="3E8B0FA8" w14:textId="03E20F55" w:rsidR="00601612" w:rsidRPr="00040147" w:rsidRDefault="00040147" w:rsidP="0083571A">
      <w:pPr>
        <w:pStyle w:val="EndNoteBibliography"/>
      </w:pPr>
      <w:r w:rsidRPr="00040147">
        <w:rPr>
          <w:noProof/>
        </w:rPr>
        <w:t>Blajeski</w:t>
      </w:r>
      <w:r w:rsidRPr="00040147">
        <w:t xml:space="preserve">, S. M., Smith, M. J., Harrington, M. M., Johnson, J. M., Oulvey, E. A., Mueser, K. T., McGurk, S. R., &amp; Razzano, L. A. (2023). Critical Elements in the Experience of Virtual Reality Job Interview Training for Unemployed Individuals With Serious Mental Illness: Implications for IPS Supported Employment. </w:t>
      </w:r>
      <w:r w:rsidRPr="00040147">
        <w:rPr>
          <w:i/>
          <w:iCs/>
        </w:rPr>
        <w:t>Psychiatric Rehabilitation Journal</w:t>
      </w:r>
      <w:r w:rsidRPr="00040147">
        <w:t xml:space="preserve">, </w:t>
      </w:r>
      <w:r w:rsidRPr="00040147">
        <w:rPr>
          <w:i/>
          <w:iCs/>
        </w:rPr>
        <w:t>46</w:t>
      </w:r>
      <w:r w:rsidRPr="00040147">
        <w:t xml:space="preserve">(4), 353–359. </w:t>
      </w:r>
      <w:r w:rsidRPr="00040147">
        <w:lastRenderedPageBreak/>
        <w:t xml:space="preserve">(174600217). </w:t>
      </w:r>
      <w:hyperlink r:id="rId87" w:history="1">
        <w:r w:rsidRPr="00040147">
          <w:rPr>
            <w:rStyle w:val="Hyperlink"/>
            <w:lang w:val="en-GB"/>
          </w:rPr>
          <w:t>https://doi.org/10.1037/prj0000574</w:t>
        </w:r>
      </w:hyperlink>
    </w:p>
    <w:p w14:paraId="6D773D1A" w14:textId="33D28947" w:rsidR="00E0637E" w:rsidRDefault="00E0637E" w:rsidP="0083571A">
      <w:pPr>
        <w:pStyle w:val="EndNoteBibliography"/>
        <w:rPr>
          <w:noProof/>
        </w:rPr>
      </w:pPr>
      <w:r w:rsidRPr="009D48BC">
        <w:rPr>
          <w:noProof/>
        </w:rPr>
        <w:t xml:space="preserve">Booth, A., Sommer, I., Noyes, J., Houghton, C., &amp; Campbell, F. (2024). Rapid reviews methods series: guidance on rapid qualitative evidence synthesis. </w:t>
      </w:r>
      <w:r w:rsidRPr="009D48BC">
        <w:rPr>
          <w:i/>
          <w:noProof/>
        </w:rPr>
        <w:t>BMJ Evidence-Based Medicine</w:t>
      </w:r>
      <w:r w:rsidRPr="009D48BC">
        <w:rPr>
          <w:noProof/>
        </w:rPr>
        <w:t>,</w:t>
      </w:r>
      <w:r w:rsidRPr="009D48BC">
        <w:rPr>
          <w:i/>
          <w:noProof/>
        </w:rPr>
        <w:t xml:space="preserve"> 29</w:t>
      </w:r>
      <w:r w:rsidRPr="009D48BC">
        <w:rPr>
          <w:noProof/>
        </w:rPr>
        <w:t xml:space="preserve">(3), 194-200. </w:t>
      </w:r>
      <w:r w:rsidRPr="009D48BC">
        <w:rPr>
          <w:rStyle w:val="Hyperlink"/>
        </w:rPr>
        <w:t>https://doi.org/10.1136/bmjebm-2023-112620</w:t>
      </w:r>
      <w:r w:rsidRPr="009D48BC">
        <w:rPr>
          <w:noProof/>
        </w:rPr>
        <w:t xml:space="preserve"> </w:t>
      </w:r>
    </w:p>
    <w:p w14:paraId="4D3FF9A2" w14:textId="77777777" w:rsidR="00B66E47" w:rsidRPr="00B66E47" w:rsidRDefault="00B66E47" w:rsidP="00B66E47">
      <w:pPr>
        <w:pStyle w:val="EndNoteBibliography"/>
        <w:rPr>
          <w:noProof/>
          <w:lang w:val="en-GB"/>
        </w:rPr>
      </w:pPr>
      <w:r w:rsidRPr="00B66E47">
        <w:rPr>
          <w:noProof/>
          <w:lang w:val="en-GB"/>
        </w:rPr>
        <w:t xml:space="preserve">Borghouts, I., &amp; Freese, C. (2023). HRM and Social Security: It Takes Two to Create a Transitional Labour Market. In J. Ingold &amp; P. McGurk (Eds), </w:t>
      </w:r>
      <w:r w:rsidRPr="00B66E47">
        <w:rPr>
          <w:i/>
          <w:iCs/>
          <w:noProof/>
          <w:lang w:val="en-GB"/>
        </w:rPr>
        <w:t>Employer Engagement: Making Active Labour Market Policies Work</w:t>
      </w:r>
      <w:r w:rsidRPr="00B66E47">
        <w:rPr>
          <w:noProof/>
          <w:lang w:val="en-GB"/>
        </w:rPr>
        <w:t xml:space="preserve"> (pp. 182–200). Bristol University Press. Cambridge Core. </w:t>
      </w:r>
      <w:hyperlink r:id="rId88" w:history="1">
        <w:r w:rsidRPr="00B66E47">
          <w:rPr>
            <w:rStyle w:val="Hyperlink"/>
            <w:noProof/>
            <w:lang w:val="en-GB"/>
          </w:rPr>
          <w:t>https://doi.org/10.46692/9781529223026.011</w:t>
        </w:r>
      </w:hyperlink>
    </w:p>
    <w:p w14:paraId="2A588941" w14:textId="77777777" w:rsidR="00B66E47" w:rsidRPr="00B66E47" w:rsidRDefault="00B66E47" w:rsidP="00B66E47">
      <w:pPr>
        <w:pStyle w:val="EndNoteBibliography"/>
        <w:rPr>
          <w:noProof/>
          <w:lang w:val="en-GB"/>
        </w:rPr>
      </w:pPr>
      <w:r w:rsidRPr="00B66E47">
        <w:rPr>
          <w:noProof/>
          <w:lang w:val="en-GB"/>
        </w:rPr>
        <w:t xml:space="preserve">Bosman, R., Van Heijster, H., Borghouts, I., &amp; Freese, C. (2025). A Scoping Review on the Conceptualisation of Employer Engagement in the Employment of Vulnerable Workers: An Interdisciplinary Perspective. </w:t>
      </w:r>
      <w:r w:rsidRPr="00B66E47">
        <w:rPr>
          <w:i/>
          <w:iCs/>
          <w:noProof/>
          <w:lang w:val="en-GB"/>
        </w:rPr>
        <w:t>Social Policy and Society</w:t>
      </w:r>
      <w:r w:rsidRPr="00B66E47">
        <w:rPr>
          <w:noProof/>
          <w:lang w:val="en-GB"/>
        </w:rPr>
        <w:t xml:space="preserve">, 1–30. </w:t>
      </w:r>
      <w:hyperlink r:id="rId89" w:history="1">
        <w:r w:rsidRPr="00B66E47">
          <w:rPr>
            <w:rStyle w:val="Hyperlink"/>
            <w:noProof/>
            <w:lang w:val="en-GB"/>
          </w:rPr>
          <w:t>https://doi.org/10.1017/S1474746425100870</w:t>
        </w:r>
      </w:hyperlink>
    </w:p>
    <w:p w14:paraId="21964E71" w14:textId="77777777" w:rsidR="00B66E47" w:rsidRPr="00B66E47" w:rsidRDefault="00B66E47" w:rsidP="00B66E47">
      <w:pPr>
        <w:pStyle w:val="EndNoteBibliography"/>
        <w:rPr>
          <w:noProof/>
          <w:lang w:val="en-GB"/>
        </w:rPr>
      </w:pPr>
      <w:r w:rsidRPr="00B66E47">
        <w:rPr>
          <w:noProof/>
          <w:lang w:val="en-GB"/>
        </w:rPr>
        <w:t xml:space="preserve">Breit, E., Brathen, M., &amp; Sadeghi, T. (2025). Distinctions between inclusive and non-inclusive companies for persons with disability: Exploring the impact of COM-B and HRM practices. </w:t>
      </w:r>
      <w:r w:rsidRPr="00B66E47">
        <w:rPr>
          <w:i/>
          <w:iCs/>
          <w:noProof/>
          <w:lang w:val="en-GB"/>
        </w:rPr>
        <w:t>WORK-A JOURNAL OF PREVENTION ASSESSMENT &amp; REHABILITATION</w:t>
      </w:r>
      <w:r w:rsidRPr="00B66E47">
        <w:rPr>
          <w:noProof/>
          <w:lang w:val="en-GB"/>
        </w:rPr>
        <w:t xml:space="preserve">, </w:t>
      </w:r>
      <w:r w:rsidRPr="00B66E47">
        <w:rPr>
          <w:i/>
          <w:iCs/>
          <w:noProof/>
          <w:lang w:val="en-GB"/>
        </w:rPr>
        <w:t>81</w:t>
      </w:r>
      <w:r w:rsidRPr="00B66E47">
        <w:rPr>
          <w:noProof/>
          <w:lang w:val="en-GB"/>
        </w:rPr>
        <w:t xml:space="preserve">(2), 2651–2661. (WOS:001464107200001). </w:t>
      </w:r>
      <w:hyperlink r:id="rId90" w:history="1">
        <w:r w:rsidRPr="00B66E47">
          <w:rPr>
            <w:rStyle w:val="Hyperlink"/>
            <w:noProof/>
            <w:lang w:val="en-GB"/>
          </w:rPr>
          <w:t>https://doi.org/10.1177/10519815251320275</w:t>
        </w:r>
      </w:hyperlink>
    </w:p>
    <w:p w14:paraId="1E4C1800" w14:textId="77777777" w:rsidR="00B66E47" w:rsidRPr="00B66E47" w:rsidRDefault="00B66E47" w:rsidP="00B66E47">
      <w:pPr>
        <w:pStyle w:val="EndNoteBibliography"/>
        <w:rPr>
          <w:noProof/>
          <w:lang w:val="en-GB"/>
        </w:rPr>
      </w:pPr>
      <w:r w:rsidRPr="00B66E47">
        <w:rPr>
          <w:noProof/>
          <w:lang w:val="en-GB"/>
        </w:rPr>
        <w:t>Bright Futures at APM: How a disability-employment specialist is hiring its own young talent—Social Ventures. (n.d.).</w:t>
      </w:r>
    </w:p>
    <w:p w14:paraId="68416E65" w14:textId="77777777" w:rsidR="00B66E47" w:rsidRPr="00B66E47" w:rsidRDefault="00B66E47" w:rsidP="00B66E47">
      <w:pPr>
        <w:pStyle w:val="EndNoteBibliography"/>
        <w:rPr>
          <w:noProof/>
          <w:lang w:val="en-GB"/>
        </w:rPr>
      </w:pPr>
      <w:r w:rsidRPr="00B66E47">
        <w:rPr>
          <w:noProof/>
          <w:lang w:val="en-GB"/>
        </w:rPr>
        <w:t xml:space="preserve">Brinck E.A., Brehmer C.E., Anderson C.A., Gonzalez R., Tansey T.N., &amp; Bishop M. (2026). Serving Older Adults with Disabilities: Recognizing the Impact of Assisting Individuals to Stay Employed Versus Obtain Employment. </w:t>
      </w:r>
      <w:r w:rsidRPr="00B66E47">
        <w:rPr>
          <w:i/>
          <w:iCs/>
          <w:noProof/>
          <w:lang w:val="en-GB"/>
        </w:rPr>
        <w:t>Journal of Vocational Rehabilitation</w:t>
      </w:r>
      <w:r w:rsidRPr="00B66E47">
        <w:rPr>
          <w:noProof/>
          <w:lang w:val="en-GB"/>
        </w:rPr>
        <w:t xml:space="preserve">, ((Brinck, Brehmer, Anderson, Tansey, Bishop) Wisconsin Center for Education Research-Innovative Partnership for Advancing Rehabilitation Research and Practice (IPARRT), University of Wisconsin-Madison, Madison, WI, United States(Gonzalez) The University of). (2042873337). </w:t>
      </w:r>
      <w:hyperlink r:id="rId91" w:history="1">
        <w:r w:rsidRPr="00B66E47">
          <w:rPr>
            <w:rStyle w:val="Hyperlink"/>
            <w:noProof/>
            <w:lang w:val="en-GB"/>
          </w:rPr>
          <w:t>https://doi.org/10.1177/10522263251413286</w:t>
        </w:r>
      </w:hyperlink>
    </w:p>
    <w:p w14:paraId="313513F3" w14:textId="77777777" w:rsidR="00B66E47" w:rsidRPr="00B66E47" w:rsidRDefault="00B66E47" w:rsidP="00B66E47">
      <w:pPr>
        <w:pStyle w:val="EndNoteBibliography"/>
        <w:rPr>
          <w:noProof/>
          <w:lang w:val="en-GB"/>
        </w:rPr>
      </w:pPr>
      <w:r w:rsidRPr="00B66E47">
        <w:rPr>
          <w:noProof/>
          <w:lang w:val="en-GB"/>
        </w:rPr>
        <w:t xml:space="preserve">Bruch, L. A. (1998). Implementation of the Americans with Disabilities Act: Employer commitment to Title I and implications for hiring in northeastern Pennsylvania. (Issues 8-B) [ProQuest Information &amp; Learning]. (1998-95004-371). </w:t>
      </w:r>
      <w:hyperlink r:id="rId92" w:history="1">
        <w:r w:rsidRPr="00B66E47">
          <w:rPr>
            <w:rStyle w:val="Hyperlink"/>
            <w:noProof/>
            <w:lang w:val="en-GB"/>
          </w:rPr>
          <w:t>https://research.ebsco.com/plink/5fbd7b22-2880-3265-a78b-51b737e489a4</w:t>
        </w:r>
      </w:hyperlink>
    </w:p>
    <w:p w14:paraId="5C4B2366" w14:textId="77777777" w:rsidR="00B66E47" w:rsidRPr="00B66E47" w:rsidRDefault="00B66E47" w:rsidP="00B66E47">
      <w:pPr>
        <w:pStyle w:val="EndNoteBibliography"/>
        <w:rPr>
          <w:noProof/>
          <w:lang w:val="en-GB"/>
        </w:rPr>
      </w:pPr>
      <w:r w:rsidRPr="00B66E47">
        <w:rPr>
          <w:noProof/>
          <w:lang w:val="en-GB"/>
        </w:rPr>
        <w:t xml:space="preserve">Bruch LA. (1997). Implementation of the Americans with Disabilities Act: Employer commitment to Title I and implications for hiring in northeastern Pennsylvania. In </w:t>
      </w:r>
      <w:r w:rsidRPr="00B66E47">
        <w:rPr>
          <w:i/>
          <w:iCs/>
          <w:noProof/>
          <w:lang w:val="en-GB"/>
        </w:rPr>
        <w:t>Implementation of the Americans With Disabilities Act: Employer Commitment to Title I &amp; Implications for Hiring in Northeastern Pennsylvania</w:t>
      </w:r>
      <w:r w:rsidRPr="00B66E47">
        <w:rPr>
          <w:noProof/>
          <w:lang w:val="en-GB"/>
        </w:rPr>
        <w:t xml:space="preserve"> (p. 173 p). (109873393). </w:t>
      </w:r>
      <w:hyperlink r:id="rId93" w:history="1">
        <w:r w:rsidRPr="00B66E47">
          <w:rPr>
            <w:rStyle w:val="Hyperlink"/>
            <w:noProof/>
            <w:lang w:val="en-GB"/>
          </w:rPr>
          <w:t>https://research.ebsco.com/plink/16ea74c2-4e65-315f-9919-93051f7c3b74</w:t>
        </w:r>
      </w:hyperlink>
    </w:p>
    <w:p w14:paraId="4999DCE4" w14:textId="77777777" w:rsidR="00B66E47" w:rsidRPr="00B66E47" w:rsidRDefault="00B66E47" w:rsidP="00B66E47">
      <w:pPr>
        <w:pStyle w:val="EndNoteBibliography"/>
        <w:rPr>
          <w:noProof/>
          <w:lang w:val="en-GB"/>
        </w:rPr>
      </w:pPr>
      <w:r w:rsidRPr="00B66E47">
        <w:rPr>
          <w:noProof/>
          <w:lang w:val="en-GB"/>
        </w:rPr>
        <w:t>Building Australia’s disability-confident workplace culture. (n.d.).</w:t>
      </w:r>
    </w:p>
    <w:p w14:paraId="2EBBF2B1" w14:textId="77777777" w:rsidR="00B66E47" w:rsidRPr="00B66E47" w:rsidRDefault="00B66E47" w:rsidP="00B66E47">
      <w:pPr>
        <w:pStyle w:val="EndNoteBibliography"/>
        <w:rPr>
          <w:noProof/>
          <w:lang w:val="en-GB"/>
        </w:rPr>
      </w:pPr>
      <w:r w:rsidRPr="00B66E47">
        <w:rPr>
          <w:noProof/>
          <w:lang w:val="en-GB"/>
        </w:rPr>
        <w:t xml:space="preserve">Burke, J., Bezyak, J., Fraser, R. T., Pete, J., Ditchman, N., &amp; Chan, F. (2013). Employers’ Attitudes Towards Hiring and Retaining People with Disabilities: A Review of the Literature. </w:t>
      </w:r>
      <w:r w:rsidRPr="00B66E47">
        <w:rPr>
          <w:i/>
          <w:iCs/>
          <w:noProof/>
          <w:lang w:val="en-GB"/>
        </w:rPr>
        <w:t xml:space="preserve">Australian Journal of </w:t>
      </w:r>
      <w:r w:rsidRPr="00B66E47">
        <w:rPr>
          <w:i/>
          <w:iCs/>
          <w:noProof/>
          <w:lang w:val="en-GB"/>
        </w:rPr>
        <w:lastRenderedPageBreak/>
        <w:t>Rehabilitation Counselling</w:t>
      </w:r>
      <w:r w:rsidRPr="00B66E47">
        <w:rPr>
          <w:noProof/>
          <w:lang w:val="en-GB"/>
        </w:rPr>
        <w:t xml:space="preserve">, </w:t>
      </w:r>
      <w:r w:rsidRPr="00B66E47">
        <w:rPr>
          <w:i/>
          <w:iCs/>
          <w:noProof/>
          <w:lang w:val="en-GB"/>
        </w:rPr>
        <w:t>19</w:t>
      </w:r>
      <w:r w:rsidRPr="00B66E47">
        <w:rPr>
          <w:noProof/>
          <w:lang w:val="en-GB"/>
        </w:rPr>
        <w:t xml:space="preserve">(1), 21–38. (99116137). </w:t>
      </w:r>
      <w:hyperlink r:id="rId94" w:history="1">
        <w:r w:rsidRPr="00B66E47">
          <w:rPr>
            <w:rStyle w:val="Hyperlink"/>
            <w:noProof/>
            <w:lang w:val="en-GB"/>
          </w:rPr>
          <w:t>https://doi.org/10.1017/jrc.2013.2</w:t>
        </w:r>
      </w:hyperlink>
    </w:p>
    <w:p w14:paraId="7B5A3E4C" w14:textId="77777777" w:rsidR="00B66E47" w:rsidRPr="00B66E47" w:rsidRDefault="00B66E47" w:rsidP="00B66E47">
      <w:pPr>
        <w:pStyle w:val="EndNoteBibliography"/>
        <w:rPr>
          <w:noProof/>
          <w:lang w:val="en-GB"/>
        </w:rPr>
      </w:pPr>
      <w:r w:rsidRPr="00B66E47">
        <w:rPr>
          <w:noProof/>
          <w:lang w:val="en-GB"/>
        </w:rPr>
        <w:t>Carolina Across 100  “Our State, Our Work”  Employer Engagement Toolbox. (n.d.).</w:t>
      </w:r>
    </w:p>
    <w:p w14:paraId="5014ED2F" w14:textId="77777777" w:rsidR="00B66E47" w:rsidRPr="00B66E47" w:rsidRDefault="00B66E47" w:rsidP="00B66E47">
      <w:pPr>
        <w:pStyle w:val="EndNoteBibliography"/>
        <w:rPr>
          <w:noProof/>
          <w:lang w:val="en-GB"/>
        </w:rPr>
      </w:pPr>
      <w:r w:rsidRPr="00B66E47">
        <w:rPr>
          <w:noProof/>
          <w:lang w:val="en-GB"/>
        </w:rPr>
        <w:t xml:space="preserve">Carpenter, C., &amp; Daly, J. (2019). Creating an Employment Collaborative. </w:t>
      </w:r>
      <w:r w:rsidRPr="00B66E47">
        <w:rPr>
          <w:i/>
          <w:iCs/>
          <w:noProof/>
          <w:lang w:val="en-GB"/>
        </w:rPr>
        <w:t>Journal of Vocational Rehabilitation</w:t>
      </w:r>
      <w:r w:rsidRPr="00B66E47">
        <w:rPr>
          <w:noProof/>
          <w:lang w:val="en-GB"/>
        </w:rPr>
        <w:t xml:space="preserve">, </w:t>
      </w:r>
      <w:r w:rsidRPr="00B66E47">
        <w:rPr>
          <w:i/>
          <w:iCs/>
          <w:noProof/>
          <w:lang w:val="en-GB"/>
        </w:rPr>
        <w:t>50</w:t>
      </w:r>
      <w:r w:rsidRPr="00B66E47">
        <w:rPr>
          <w:noProof/>
          <w:lang w:val="en-GB"/>
        </w:rPr>
        <w:t xml:space="preserve">(3), 331–338. (136564581). </w:t>
      </w:r>
      <w:hyperlink r:id="rId95" w:history="1">
        <w:r w:rsidRPr="00B66E47">
          <w:rPr>
            <w:rStyle w:val="Hyperlink"/>
            <w:noProof/>
            <w:lang w:val="en-GB"/>
          </w:rPr>
          <w:t>https://doi.org/10.3233/JVR-191015</w:t>
        </w:r>
      </w:hyperlink>
    </w:p>
    <w:p w14:paraId="4DDBFC6A" w14:textId="77777777" w:rsidR="00B66E47" w:rsidRPr="00B66E47" w:rsidRDefault="00B66E47" w:rsidP="00B66E47">
      <w:pPr>
        <w:pStyle w:val="EndNoteBibliography"/>
        <w:rPr>
          <w:noProof/>
          <w:lang w:val="en-GB"/>
        </w:rPr>
      </w:pPr>
      <w:r w:rsidRPr="00B66E47">
        <w:rPr>
          <w:noProof/>
          <w:lang w:val="en-GB"/>
        </w:rPr>
        <w:t xml:space="preserve">Carter, E. W., Trainor, A. A., Cakiroglu, O., Cole, O., Swedeen, B., Ditchman, N., &amp; Owens, L. (2009). Exploring school-employer partnerships to expand career development and early work experiences for youth with disabilities. </w:t>
      </w:r>
      <w:r w:rsidRPr="00B66E47">
        <w:rPr>
          <w:i/>
          <w:iCs/>
          <w:noProof/>
          <w:lang w:val="en-GB"/>
        </w:rPr>
        <w:t>Career Development for Exceptional Individuals</w:t>
      </w:r>
      <w:r w:rsidRPr="00B66E47">
        <w:rPr>
          <w:noProof/>
          <w:lang w:val="en-GB"/>
        </w:rPr>
        <w:t xml:space="preserve">, </w:t>
      </w:r>
      <w:r w:rsidRPr="00B66E47">
        <w:rPr>
          <w:i/>
          <w:iCs/>
          <w:noProof/>
          <w:lang w:val="en-GB"/>
        </w:rPr>
        <w:t>32</w:t>
      </w:r>
      <w:r w:rsidRPr="00B66E47">
        <w:rPr>
          <w:noProof/>
          <w:lang w:val="en-GB"/>
        </w:rPr>
        <w:t xml:space="preserve">(3), 145–159. (2009-22831-003). </w:t>
      </w:r>
      <w:hyperlink r:id="rId96" w:history="1">
        <w:r w:rsidRPr="00B66E47">
          <w:rPr>
            <w:rStyle w:val="Hyperlink"/>
            <w:noProof/>
            <w:lang w:val="en-GB"/>
          </w:rPr>
          <w:t>https://doi.org/10.1177/0885728809344590</w:t>
        </w:r>
      </w:hyperlink>
    </w:p>
    <w:p w14:paraId="0B6F4E45" w14:textId="77777777" w:rsidR="00B66E47" w:rsidRPr="00B66E47" w:rsidRDefault="00B66E47" w:rsidP="00B66E47">
      <w:pPr>
        <w:pStyle w:val="EndNoteBibliography"/>
        <w:rPr>
          <w:noProof/>
          <w:lang w:val="en-GB"/>
        </w:rPr>
      </w:pPr>
      <w:r w:rsidRPr="00B66E47">
        <w:rPr>
          <w:noProof/>
          <w:lang w:val="en-GB"/>
        </w:rPr>
        <w:t>CBEN-22-010-Employer-Engagement-Best-Practices-Toolkit. (n.d.).</w:t>
      </w:r>
    </w:p>
    <w:p w14:paraId="481A65C9" w14:textId="77777777" w:rsidR="00B66E47" w:rsidRPr="00B66E47" w:rsidRDefault="00B66E47" w:rsidP="00B66E47">
      <w:pPr>
        <w:pStyle w:val="EndNoteBibliography"/>
        <w:rPr>
          <w:noProof/>
          <w:lang w:val="en-GB"/>
        </w:rPr>
      </w:pPr>
      <w:r w:rsidRPr="00B66E47">
        <w:rPr>
          <w:noProof/>
          <w:lang w:val="en-GB"/>
        </w:rPr>
        <w:t>CCDI_Toolkit_Employee-resource-groups_DCA-members-only. (n.d.).</w:t>
      </w:r>
    </w:p>
    <w:p w14:paraId="37BFBD1E" w14:textId="77777777" w:rsidR="00B66E47" w:rsidRPr="00B66E47" w:rsidRDefault="00B66E47" w:rsidP="00B66E47">
      <w:pPr>
        <w:pStyle w:val="EndNoteBibliography"/>
        <w:rPr>
          <w:noProof/>
          <w:lang w:val="en-GB"/>
        </w:rPr>
      </w:pPr>
      <w:r w:rsidRPr="00B66E47">
        <w:rPr>
          <w:noProof/>
          <w:lang w:val="en-GB"/>
        </w:rPr>
        <w:t>Centring Marginalised Voices at Work: Lessons from DCA’s Culturally and Racially Marginalised (CARM) Women in Leadership Research. (n.d.).</w:t>
      </w:r>
    </w:p>
    <w:p w14:paraId="51C6ED5B" w14:textId="77777777" w:rsidR="00B66E47" w:rsidRPr="00B66E47" w:rsidRDefault="00B66E47" w:rsidP="00B66E47">
      <w:pPr>
        <w:pStyle w:val="EndNoteBibliography"/>
        <w:rPr>
          <w:noProof/>
          <w:lang w:val="en-GB"/>
        </w:rPr>
      </w:pPr>
      <w:r w:rsidRPr="00B66E47">
        <w:rPr>
          <w:noProof/>
          <w:lang w:val="en-GB"/>
        </w:rPr>
        <w:t>CERIC Report No 8 Ingold et al 2017 FINAL. (n.d.).</w:t>
      </w:r>
    </w:p>
    <w:p w14:paraId="578CA482" w14:textId="77777777" w:rsidR="00B66E47" w:rsidRPr="00B66E47" w:rsidRDefault="00B66E47" w:rsidP="00B66E47">
      <w:pPr>
        <w:pStyle w:val="EndNoteBibliography"/>
        <w:rPr>
          <w:noProof/>
          <w:lang w:val="en-GB"/>
        </w:rPr>
      </w:pPr>
      <w:r w:rsidRPr="00B66E47">
        <w:rPr>
          <w:noProof/>
          <w:lang w:val="en-GB"/>
        </w:rPr>
        <w:t>Chainey, N. (n.d.). Reasonable adjustments.</w:t>
      </w:r>
    </w:p>
    <w:p w14:paraId="498FF102" w14:textId="77777777" w:rsidR="00B66E47" w:rsidRPr="00B66E47" w:rsidRDefault="00B66E47" w:rsidP="00B66E47">
      <w:pPr>
        <w:pStyle w:val="EndNoteBibliography"/>
        <w:rPr>
          <w:noProof/>
          <w:lang w:val="en-GB"/>
        </w:rPr>
      </w:pPr>
      <w:r w:rsidRPr="00B66E47">
        <w:rPr>
          <w:noProof/>
          <w:lang w:val="en-GB"/>
        </w:rPr>
        <w:t xml:space="preserve">Chan F, Strauser D, Gervey R, &amp; Lee E. (2010). Introduction to Demand-Side Factors Related to Employment of People with Disabilities. </w:t>
      </w:r>
      <w:r w:rsidRPr="00B66E47">
        <w:rPr>
          <w:i/>
          <w:iCs/>
          <w:noProof/>
          <w:lang w:val="en-GB"/>
        </w:rPr>
        <w:t>Journal of Occupational Rehabilitation</w:t>
      </w:r>
      <w:r w:rsidRPr="00B66E47">
        <w:rPr>
          <w:noProof/>
          <w:lang w:val="en-GB"/>
        </w:rPr>
        <w:t xml:space="preserve">, </w:t>
      </w:r>
      <w:r w:rsidRPr="00B66E47">
        <w:rPr>
          <w:i/>
          <w:iCs/>
          <w:noProof/>
          <w:lang w:val="en-GB"/>
        </w:rPr>
        <w:t>20</w:t>
      </w:r>
      <w:r w:rsidRPr="00B66E47">
        <w:rPr>
          <w:noProof/>
          <w:lang w:val="en-GB"/>
        </w:rPr>
        <w:t xml:space="preserve">(4), 407–411. (104942522). </w:t>
      </w:r>
      <w:hyperlink r:id="rId97" w:history="1">
        <w:r w:rsidRPr="00B66E47">
          <w:rPr>
            <w:rStyle w:val="Hyperlink"/>
            <w:noProof/>
            <w:lang w:val="en-GB"/>
          </w:rPr>
          <w:t>https://doi.org/10.1007/s10926-010-9243-7</w:t>
        </w:r>
      </w:hyperlink>
    </w:p>
    <w:p w14:paraId="321DB524" w14:textId="77777777" w:rsidR="00B66E47" w:rsidRPr="00B66E47" w:rsidRDefault="00B66E47" w:rsidP="00B66E47">
      <w:pPr>
        <w:pStyle w:val="EndNoteBibliography"/>
        <w:rPr>
          <w:noProof/>
          <w:lang w:val="en-GB"/>
        </w:rPr>
      </w:pPr>
      <w:r w:rsidRPr="00B66E47">
        <w:rPr>
          <w:noProof/>
          <w:lang w:val="en-GB"/>
        </w:rPr>
        <w:t xml:space="preserve">Chan F, Strauser D, Maher P, Lee E, Jones R, &amp; Johnson ET. (2010). Demand-Side Factors Related to Employment of People with Disabilities: A Survey of Employers in the Midwest Region of the United States. </w:t>
      </w:r>
      <w:r w:rsidRPr="00B66E47">
        <w:rPr>
          <w:i/>
          <w:iCs/>
          <w:noProof/>
          <w:lang w:val="en-GB"/>
        </w:rPr>
        <w:t>Journal of Occupational Rehabilitation</w:t>
      </w:r>
      <w:r w:rsidRPr="00B66E47">
        <w:rPr>
          <w:noProof/>
          <w:lang w:val="en-GB"/>
        </w:rPr>
        <w:t xml:space="preserve">, </w:t>
      </w:r>
      <w:r w:rsidRPr="00B66E47">
        <w:rPr>
          <w:i/>
          <w:iCs/>
          <w:noProof/>
          <w:lang w:val="en-GB"/>
        </w:rPr>
        <w:t>20</w:t>
      </w:r>
      <w:r w:rsidRPr="00B66E47">
        <w:rPr>
          <w:noProof/>
          <w:lang w:val="en-GB"/>
        </w:rPr>
        <w:t xml:space="preserve">(4), 412–419. (104942520). </w:t>
      </w:r>
      <w:hyperlink r:id="rId98" w:history="1">
        <w:r w:rsidRPr="00B66E47">
          <w:rPr>
            <w:rStyle w:val="Hyperlink"/>
            <w:noProof/>
            <w:lang w:val="en-GB"/>
          </w:rPr>
          <w:t>https://doi.org/10.1007/s10926-010-9252-6</w:t>
        </w:r>
      </w:hyperlink>
    </w:p>
    <w:p w14:paraId="38BAF0A2" w14:textId="77777777" w:rsidR="00B66E47" w:rsidRPr="00B66E47" w:rsidRDefault="00B66E47" w:rsidP="00B66E47">
      <w:pPr>
        <w:pStyle w:val="EndNoteBibliography"/>
        <w:rPr>
          <w:noProof/>
          <w:lang w:val="en-GB"/>
        </w:rPr>
      </w:pPr>
      <w:r w:rsidRPr="00B66E47">
        <w:rPr>
          <w:noProof/>
          <w:lang w:val="en-GB"/>
        </w:rPr>
        <w:t>Change At Work—Diversity Council Australia. (n.d.).</w:t>
      </w:r>
    </w:p>
    <w:p w14:paraId="76AE466C" w14:textId="77777777" w:rsidR="00B66E47" w:rsidRPr="00B66E47" w:rsidRDefault="00B66E47" w:rsidP="00B66E47">
      <w:pPr>
        <w:pStyle w:val="EndNoteBibliography"/>
        <w:rPr>
          <w:noProof/>
          <w:lang w:val="en-GB"/>
        </w:rPr>
      </w:pPr>
      <w:r w:rsidRPr="00B66E47">
        <w:rPr>
          <w:noProof/>
          <w:lang w:val="en-GB"/>
        </w:rPr>
        <w:t xml:space="preserve">Che, X. X., &amp; Liu, W. (2017). The Best Practice in Researcher Employer Collaboration: A Study about Employer Practices around Disability. </w:t>
      </w:r>
      <w:r w:rsidRPr="00B66E47">
        <w:rPr>
          <w:i/>
          <w:iCs/>
          <w:noProof/>
          <w:lang w:val="en-GB"/>
        </w:rPr>
        <w:t>Analyses of Social Issues &amp; Public Policy</w:t>
      </w:r>
      <w:r w:rsidRPr="00B66E47">
        <w:rPr>
          <w:noProof/>
          <w:lang w:val="en-GB"/>
        </w:rPr>
        <w:t xml:space="preserve">, </w:t>
      </w:r>
      <w:r w:rsidRPr="00B66E47">
        <w:rPr>
          <w:i/>
          <w:iCs/>
          <w:noProof/>
          <w:lang w:val="en-GB"/>
        </w:rPr>
        <w:t>17</w:t>
      </w:r>
      <w:r w:rsidRPr="00B66E47">
        <w:rPr>
          <w:noProof/>
          <w:lang w:val="en-GB"/>
        </w:rPr>
        <w:t xml:space="preserve">(1), 409–412. (126964258). </w:t>
      </w:r>
      <w:hyperlink r:id="rId99" w:history="1">
        <w:r w:rsidRPr="00B66E47">
          <w:rPr>
            <w:rStyle w:val="Hyperlink"/>
            <w:noProof/>
            <w:lang w:val="en-GB"/>
          </w:rPr>
          <w:t>https://doi.org/10.1111/asap.12138</w:t>
        </w:r>
      </w:hyperlink>
    </w:p>
    <w:p w14:paraId="16D099B1" w14:textId="77777777" w:rsidR="00B66E47" w:rsidRPr="00B66E47" w:rsidRDefault="00B66E47" w:rsidP="00B66E47">
      <w:pPr>
        <w:pStyle w:val="EndNoteBibliography"/>
        <w:rPr>
          <w:noProof/>
          <w:lang w:val="en-GB"/>
        </w:rPr>
      </w:pPr>
      <w:r w:rsidRPr="00B66E47">
        <w:rPr>
          <w:noProof/>
          <w:lang w:val="en-GB"/>
        </w:rPr>
        <w:t xml:space="preserve">Choudhury Kaul, S., Alam, Q., &amp; Sandhu, M. S. (2022). Why Disability Mainstreaming is Good for Business: A New Narrative. </w:t>
      </w:r>
      <w:r w:rsidRPr="00B66E47">
        <w:rPr>
          <w:i/>
          <w:iCs/>
          <w:noProof/>
          <w:lang w:val="en-GB"/>
        </w:rPr>
        <w:t>Journal of Business Ethics</w:t>
      </w:r>
      <w:r w:rsidRPr="00B66E47">
        <w:rPr>
          <w:noProof/>
          <w:lang w:val="en-GB"/>
        </w:rPr>
        <w:t xml:space="preserve">, </w:t>
      </w:r>
      <w:r w:rsidRPr="00B66E47">
        <w:rPr>
          <w:i/>
          <w:iCs/>
          <w:noProof/>
          <w:lang w:val="en-GB"/>
        </w:rPr>
        <w:t>177</w:t>
      </w:r>
      <w:r w:rsidRPr="00B66E47">
        <w:rPr>
          <w:noProof/>
          <w:lang w:val="en-GB"/>
        </w:rPr>
        <w:t xml:space="preserve">(4), 861–873. (156839330). </w:t>
      </w:r>
      <w:hyperlink r:id="rId100" w:history="1">
        <w:r w:rsidRPr="00B66E47">
          <w:rPr>
            <w:rStyle w:val="Hyperlink"/>
            <w:noProof/>
            <w:lang w:val="en-GB"/>
          </w:rPr>
          <w:t>https://doi.org/10.1007/s10551-022-05095-0</w:t>
        </w:r>
      </w:hyperlink>
    </w:p>
    <w:p w14:paraId="5BA4E9E6" w14:textId="77777777" w:rsidR="00B66E47" w:rsidRPr="00B66E47" w:rsidRDefault="00B66E47" w:rsidP="00B66E47">
      <w:pPr>
        <w:pStyle w:val="EndNoteBibliography"/>
        <w:rPr>
          <w:noProof/>
          <w:lang w:val="en-GB"/>
        </w:rPr>
      </w:pPr>
      <w:r w:rsidRPr="00B66E47">
        <w:rPr>
          <w:noProof/>
          <w:lang w:val="en-GB"/>
        </w:rPr>
        <w:t>Creating Inclusive Pathways to Employment. (n.d.).</w:t>
      </w:r>
    </w:p>
    <w:p w14:paraId="60AE0B26" w14:textId="77777777" w:rsidR="00B66E47" w:rsidRPr="00B66E47" w:rsidRDefault="00B66E47" w:rsidP="00B66E47">
      <w:pPr>
        <w:pStyle w:val="EndNoteBibliography"/>
        <w:rPr>
          <w:noProof/>
          <w:lang w:val="en-GB"/>
        </w:rPr>
      </w:pPr>
      <w:r w:rsidRPr="00B66E47">
        <w:rPr>
          <w:noProof/>
          <w:lang w:val="en-GB"/>
        </w:rPr>
        <w:t>Daguerre, A., Vincent, S., Ingold, J. &amp; Lee, Q.Y. (2025). The Politics of Regulation in the UK, the US and Australia Final Report of the ESRC-funded Project.</w:t>
      </w:r>
    </w:p>
    <w:p w14:paraId="0FEE8E8B" w14:textId="77777777" w:rsidR="00B66E47" w:rsidRPr="00B66E47" w:rsidRDefault="00B66E47" w:rsidP="00B66E47">
      <w:pPr>
        <w:pStyle w:val="EndNoteBibliography"/>
        <w:rPr>
          <w:noProof/>
          <w:lang w:val="en-GB"/>
        </w:rPr>
      </w:pPr>
      <w:r w:rsidRPr="00B66E47">
        <w:rPr>
          <w:noProof/>
          <w:lang w:val="en-GB"/>
        </w:rPr>
        <w:t xml:space="preserve">Dall, T., Larsen, F., &amp; Madsen, M. B. (n.d.). Opening the Black Box: Promoting Employer Engagement at the Street Level of Employment Services. In </w:t>
      </w:r>
      <w:r w:rsidRPr="00B66E47">
        <w:rPr>
          <w:i/>
          <w:iCs/>
          <w:noProof/>
          <w:lang w:val="en-GB"/>
        </w:rPr>
        <w:lastRenderedPageBreak/>
        <w:t>OPENING THE BLACK BOX</w:t>
      </w:r>
      <w:r w:rsidRPr="00B66E47">
        <w:rPr>
          <w:noProof/>
          <w:lang w:val="en-GB"/>
        </w:rPr>
        <w:t>.</w:t>
      </w:r>
    </w:p>
    <w:p w14:paraId="4DDF26E3" w14:textId="77777777" w:rsidR="00B66E47" w:rsidRPr="00B66E47" w:rsidRDefault="00B66E47" w:rsidP="00B66E47">
      <w:pPr>
        <w:pStyle w:val="EndNoteBibliography"/>
        <w:rPr>
          <w:noProof/>
          <w:lang w:val="en-GB"/>
        </w:rPr>
      </w:pPr>
      <w:r w:rsidRPr="00B66E47">
        <w:rPr>
          <w:noProof/>
          <w:lang w:val="en-GB"/>
        </w:rPr>
        <w:t>(DCA) DW_Understanding-intersectionality-and-its-impact_DCA-members-only. (n.d.).</w:t>
      </w:r>
    </w:p>
    <w:p w14:paraId="04E3BBBE" w14:textId="77777777" w:rsidR="00B66E47" w:rsidRPr="00B66E47" w:rsidRDefault="00B66E47" w:rsidP="00B66E47">
      <w:pPr>
        <w:pStyle w:val="EndNoteBibliography"/>
        <w:rPr>
          <w:noProof/>
          <w:lang w:val="en-GB"/>
        </w:rPr>
      </w:pPr>
      <w:r w:rsidRPr="00B66E47">
        <w:rPr>
          <w:noProof/>
          <w:lang w:val="en-GB"/>
        </w:rPr>
        <w:t>(DCA presentation) Workplace-Inclusion-for-Culturally-and-Racially-Marginalised-People-with-Disability-Powerpoint-Presentation. (n.d.).</w:t>
      </w:r>
    </w:p>
    <w:p w14:paraId="2FA6235E" w14:textId="77777777" w:rsidR="00B66E47" w:rsidRPr="00B66E47" w:rsidRDefault="00B66E47" w:rsidP="00B66E47">
      <w:pPr>
        <w:pStyle w:val="EndNoteBibliography"/>
        <w:rPr>
          <w:noProof/>
          <w:lang w:val="en-GB"/>
        </w:rPr>
      </w:pPr>
      <w:r w:rsidRPr="00B66E47">
        <w:rPr>
          <w:noProof/>
          <w:lang w:val="en-GB"/>
        </w:rPr>
        <w:t>DCA-Applying-Intersectionality-at-Work-2025-Rebrand-FINAL. (n.d.).</w:t>
      </w:r>
    </w:p>
    <w:p w14:paraId="13A7A198" w14:textId="77777777" w:rsidR="00B66E47" w:rsidRPr="00B66E47" w:rsidRDefault="00B66E47" w:rsidP="00B66E47">
      <w:pPr>
        <w:pStyle w:val="EndNoteBibliography"/>
        <w:rPr>
          <w:noProof/>
          <w:lang w:val="en-GB"/>
        </w:rPr>
      </w:pPr>
      <w:r w:rsidRPr="00B66E47">
        <w:rPr>
          <w:noProof/>
          <w:lang w:val="en-GB"/>
        </w:rPr>
        <w:t>DCA_AusDN_Disability_Data_at_Work_Infographic_Brief. (n.d.).</w:t>
      </w:r>
    </w:p>
    <w:p w14:paraId="20EF12E5" w14:textId="77777777" w:rsidR="00B66E47" w:rsidRPr="00B66E47" w:rsidRDefault="00B66E47" w:rsidP="00B66E47">
      <w:pPr>
        <w:pStyle w:val="EndNoteBibliography"/>
        <w:rPr>
          <w:noProof/>
          <w:lang w:val="en-GB"/>
        </w:rPr>
      </w:pPr>
      <w:r w:rsidRPr="00B66E47">
        <w:rPr>
          <w:noProof/>
          <w:lang w:val="en-GB"/>
        </w:rPr>
        <w:t xml:space="preserve">De Dios Perez B., das Nair R., &amp; Radford K. (2023). A mixed-methods feasibility case series of a job retention vocational rehabilitation intervention for people with multiple sclerosis. </w:t>
      </w:r>
      <w:r w:rsidRPr="00B66E47">
        <w:rPr>
          <w:i/>
          <w:iCs/>
          <w:noProof/>
          <w:lang w:val="en-GB"/>
        </w:rPr>
        <w:t>Disability and Rehabilitation</w:t>
      </w:r>
      <w:r w:rsidRPr="00B66E47">
        <w:rPr>
          <w:noProof/>
          <w:lang w:val="en-GB"/>
        </w:rPr>
        <w:t xml:space="preserve">, ((De Dios Perez, Radford) Centre for Rehabilitation and Ageing Research, School of Medicine, University of Nottingham, Nottingham, United Kingdom(das Nair) Mental Health&amp;Clinical Neurosciences, School of Medicine, University of Nottingham, Nottingham, Un), 1–12. (640434504). </w:t>
      </w:r>
      <w:hyperlink r:id="rId101" w:history="1">
        <w:r w:rsidRPr="00B66E47">
          <w:rPr>
            <w:rStyle w:val="Hyperlink"/>
            <w:noProof/>
            <w:lang w:val="en-GB"/>
          </w:rPr>
          <w:t>https://doi.org/10.1080/09638288.2023.2181411</w:t>
        </w:r>
      </w:hyperlink>
    </w:p>
    <w:p w14:paraId="0EB4AA65" w14:textId="77777777" w:rsidR="00B66E47" w:rsidRPr="00B66E47" w:rsidRDefault="00B66E47" w:rsidP="00B66E47">
      <w:pPr>
        <w:pStyle w:val="EndNoteBibliography"/>
        <w:rPr>
          <w:noProof/>
          <w:lang w:val="en-GB"/>
        </w:rPr>
      </w:pPr>
      <w:r w:rsidRPr="00B66E47">
        <w:rPr>
          <w:noProof/>
          <w:lang w:val="en-GB"/>
        </w:rPr>
        <w:t xml:space="preserve">De Dios Pérez, B., das Nair, R., &amp; Radford, K. (2024). A mixed-methods feasibility case series of a job retention vocational rehabilitation intervention for people with multiple sclerosis. </w:t>
      </w:r>
      <w:r w:rsidRPr="00B66E47">
        <w:rPr>
          <w:i/>
          <w:iCs/>
          <w:noProof/>
          <w:lang w:val="en-GB"/>
        </w:rPr>
        <w:t>Disability and Rehabilitation: An International, Multidisciplinary Journal</w:t>
      </w:r>
      <w:r w:rsidRPr="00B66E47">
        <w:rPr>
          <w:noProof/>
          <w:lang w:val="en-GB"/>
        </w:rPr>
        <w:t xml:space="preserve">, </w:t>
      </w:r>
      <w:r w:rsidRPr="00B66E47">
        <w:rPr>
          <w:i/>
          <w:iCs/>
          <w:noProof/>
          <w:lang w:val="en-GB"/>
        </w:rPr>
        <w:t>46</w:t>
      </w:r>
      <w:r w:rsidRPr="00B66E47">
        <w:rPr>
          <w:noProof/>
          <w:lang w:val="en-GB"/>
        </w:rPr>
        <w:t xml:space="preserve">(5), 875–886. (2024-61860-005). </w:t>
      </w:r>
      <w:hyperlink r:id="rId102" w:history="1">
        <w:r w:rsidRPr="00B66E47">
          <w:rPr>
            <w:rStyle w:val="Hyperlink"/>
            <w:noProof/>
            <w:lang w:val="en-GB"/>
          </w:rPr>
          <w:t>https://doi.org/10.1080/09638288.2023.2181411</w:t>
        </w:r>
      </w:hyperlink>
    </w:p>
    <w:p w14:paraId="43F997F1" w14:textId="77777777" w:rsidR="00B66E47" w:rsidRPr="00B66E47" w:rsidRDefault="00B66E47" w:rsidP="00B66E47">
      <w:pPr>
        <w:pStyle w:val="EndNoteBibliography"/>
        <w:rPr>
          <w:noProof/>
          <w:lang w:val="en-GB"/>
        </w:rPr>
      </w:pPr>
      <w:r w:rsidRPr="00B66E47">
        <w:rPr>
          <w:noProof/>
          <w:lang w:val="en-GB"/>
        </w:rPr>
        <w:t xml:space="preserve">Derbyshire, D. W., Jeanes, E., Khedmati Morasae, E., Reh, S., &amp; Rogers, M. (2024). Employer-focused interventions targeting disability employment: A systematic review. </w:t>
      </w:r>
      <w:r w:rsidRPr="00B66E47">
        <w:rPr>
          <w:i/>
          <w:iCs/>
          <w:noProof/>
          <w:lang w:val="en-GB"/>
        </w:rPr>
        <w:t>Social Science &amp; Medicine</w:t>
      </w:r>
      <w:r w:rsidRPr="00B66E47">
        <w:rPr>
          <w:noProof/>
          <w:lang w:val="en-GB"/>
        </w:rPr>
        <w:t xml:space="preserve">, </w:t>
      </w:r>
      <w:r w:rsidRPr="00B66E47">
        <w:rPr>
          <w:i/>
          <w:iCs/>
          <w:noProof/>
          <w:lang w:val="en-GB"/>
        </w:rPr>
        <w:t>347</w:t>
      </w:r>
      <w:r w:rsidRPr="00B66E47">
        <w:rPr>
          <w:noProof/>
          <w:lang w:val="en-GB"/>
        </w:rPr>
        <w:t xml:space="preserve">, N.PAG-N.PAG. (176632329). </w:t>
      </w:r>
      <w:hyperlink r:id="rId103" w:history="1">
        <w:r w:rsidRPr="00B66E47">
          <w:rPr>
            <w:rStyle w:val="Hyperlink"/>
            <w:noProof/>
            <w:lang w:val="en-GB"/>
          </w:rPr>
          <w:t>https://doi.org/10.1016/j.socscimed.2024.116742</w:t>
        </w:r>
      </w:hyperlink>
    </w:p>
    <w:p w14:paraId="16D6E546" w14:textId="0D0F45FF" w:rsidR="00376284" w:rsidRPr="00376284" w:rsidRDefault="00376284" w:rsidP="00376284">
      <w:pPr>
        <w:pStyle w:val="EndNoteBibliography"/>
        <w:rPr>
          <w:color w:val="65328F" w:themeColor="accent1"/>
        </w:rPr>
      </w:pPr>
      <w:r w:rsidRPr="009D48BC">
        <w:rPr>
          <w:noProof/>
        </w:rPr>
        <w:t xml:space="preserve">Devane, D., Hamel, C., Gartlehner, G., Nussbaumer-Streit, B., Griebler, U., Affengruber, L., Saif-Ur-Rahman, K., &amp; Garritty, C. (2024). Key concepts in rapid reviews: an overview. </w:t>
      </w:r>
      <w:r w:rsidRPr="009D48BC">
        <w:rPr>
          <w:i/>
          <w:noProof/>
        </w:rPr>
        <w:t>Journal of Clinical Epidemiology</w:t>
      </w:r>
      <w:r w:rsidRPr="009D48BC">
        <w:rPr>
          <w:noProof/>
        </w:rPr>
        <w:t>,</w:t>
      </w:r>
      <w:r w:rsidRPr="009D48BC">
        <w:rPr>
          <w:i/>
          <w:noProof/>
        </w:rPr>
        <w:t xml:space="preserve"> 175</w:t>
      </w:r>
      <w:r w:rsidRPr="009D48BC">
        <w:rPr>
          <w:noProof/>
        </w:rPr>
        <w:t xml:space="preserve">, 111518. </w:t>
      </w:r>
      <w:r w:rsidRPr="009D48BC">
        <w:rPr>
          <w:rStyle w:val="Hyperlink"/>
        </w:rPr>
        <w:t xml:space="preserve">https://doi.org/10.1016/j.jclinepi.2024.111518 </w:t>
      </w:r>
    </w:p>
    <w:p w14:paraId="5946DBAE" w14:textId="20C73F5F" w:rsidR="00B66E47" w:rsidRPr="00B66E47" w:rsidRDefault="00B66E47" w:rsidP="00B66E47">
      <w:pPr>
        <w:pStyle w:val="EndNoteBibliography"/>
        <w:rPr>
          <w:noProof/>
          <w:lang w:val="en-GB"/>
        </w:rPr>
      </w:pPr>
      <w:r w:rsidRPr="00B66E47">
        <w:rPr>
          <w:noProof/>
          <w:lang w:val="en-GB"/>
        </w:rPr>
        <w:t>Disability at Work slides. (n.d.).</w:t>
      </w:r>
    </w:p>
    <w:p w14:paraId="0E6687F8" w14:textId="77777777" w:rsidR="00B66E47" w:rsidRPr="00B66E47" w:rsidRDefault="00B66E47" w:rsidP="00B66E47">
      <w:pPr>
        <w:pStyle w:val="EndNoteBibliography"/>
        <w:rPr>
          <w:noProof/>
          <w:lang w:val="en-GB"/>
        </w:rPr>
      </w:pPr>
      <w:r w:rsidRPr="00B66E47">
        <w:rPr>
          <w:noProof/>
          <w:lang w:val="en-GB"/>
        </w:rPr>
        <w:t>Disability employment support plan template. (n.d.).</w:t>
      </w:r>
    </w:p>
    <w:p w14:paraId="0E7ADBD6" w14:textId="77777777" w:rsidR="00B66E47" w:rsidRPr="00B66E47" w:rsidRDefault="00B66E47" w:rsidP="00B66E47">
      <w:pPr>
        <w:pStyle w:val="EndNoteBibliography"/>
        <w:rPr>
          <w:noProof/>
          <w:lang w:val="en-GB"/>
        </w:rPr>
      </w:pPr>
      <w:r w:rsidRPr="00B66E47">
        <w:rPr>
          <w:i/>
          <w:iCs/>
          <w:noProof/>
          <w:lang w:val="en-GB"/>
        </w:rPr>
        <w:t>Disability Inclusion action plan 2018-2022</w:t>
      </w:r>
      <w:r w:rsidRPr="00B66E47">
        <w:rPr>
          <w:noProof/>
          <w:lang w:val="en-GB"/>
        </w:rPr>
        <w:t>. (2018). Victorian Government Library Service.</w:t>
      </w:r>
    </w:p>
    <w:p w14:paraId="1A5050B3" w14:textId="77777777" w:rsidR="00B66E47" w:rsidRPr="00B66E47" w:rsidRDefault="00B66E47" w:rsidP="00B66E47">
      <w:pPr>
        <w:pStyle w:val="EndNoteBibliography"/>
        <w:rPr>
          <w:noProof/>
          <w:lang w:val="en-GB"/>
        </w:rPr>
      </w:pPr>
      <w:r w:rsidRPr="00B66E47">
        <w:rPr>
          <w:noProof/>
          <w:lang w:val="en-GB"/>
        </w:rPr>
        <w:t xml:space="preserve">dos Santos, B. B., Nascimento, J. dos S., &amp; Alonso, C. M. do C. (2025). Accommodations in the workplace for cancer survivors: A systematic review. </w:t>
      </w:r>
      <w:r w:rsidRPr="00B66E47">
        <w:rPr>
          <w:i/>
          <w:iCs/>
          <w:noProof/>
          <w:lang w:val="en-GB"/>
        </w:rPr>
        <w:t>Work</w:t>
      </w:r>
      <w:r w:rsidRPr="00B66E47">
        <w:rPr>
          <w:noProof/>
          <w:lang w:val="en-GB"/>
        </w:rPr>
        <w:t xml:space="preserve">, </w:t>
      </w:r>
      <w:r w:rsidRPr="00B66E47">
        <w:rPr>
          <w:i/>
          <w:iCs/>
          <w:noProof/>
          <w:lang w:val="en-GB"/>
        </w:rPr>
        <w:t>82</w:t>
      </w:r>
      <w:r w:rsidRPr="00B66E47">
        <w:rPr>
          <w:noProof/>
          <w:lang w:val="en-GB"/>
        </w:rPr>
        <w:t xml:space="preserve">(4), 982–993. (189710098). </w:t>
      </w:r>
      <w:hyperlink r:id="rId104" w:history="1">
        <w:r w:rsidRPr="00B66E47">
          <w:rPr>
            <w:rStyle w:val="Hyperlink"/>
            <w:noProof/>
            <w:lang w:val="en-GB"/>
          </w:rPr>
          <w:t>https://doi.org/10.1177/10519815251357580</w:t>
        </w:r>
      </w:hyperlink>
    </w:p>
    <w:p w14:paraId="1634A019" w14:textId="77777777" w:rsidR="00B66E47" w:rsidRPr="00B66E47" w:rsidRDefault="00B66E47" w:rsidP="00B66E47">
      <w:pPr>
        <w:pStyle w:val="EndNoteBibliography"/>
        <w:rPr>
          <w:noProof/>
          <w:lang w:val="en-GB"/>
        </w:rPr>
      </w:pPr>
      <w:r w:rsidRPr="00B66E47">
        <w:rPr>
          <w:noProof/>
          <w:lang w:val="en-GB"/>
        </w:rPr>
        <w:t>DW_Aotearoa-Inclusivity-Matrix_DCA-members-only. (n.d.).</w:t>
      </w:r>
    </w:p>
    <w:p w14:paraId="7BEE93FA" w14:textId="77777777" w:rsidR="00B66E47" w:rsidRPr="00B66E47" w:rsidRDefault="00B66E47" w:rsidP="00B66E47">
      <w:pPr>
        <w:pStyle w:val="EndNoteBibliography"/>
        <w:rPr>
          <w:noProof/>
          <w:lang w:val="en-GB"/>
        </w:rPr>
      </w:pPr>
      <w:r w:rsidRPr="00B66E47">
        <w:rPr>
          <w:noProof/>
          <w:lang w:val="en-GB"/>
        </w:rPr>
        <w:t xml:space="preserve">Enehaug, H., Spjelkavik, Ø., Falkum, E., &amp; Frøyland, K. (2021). Workplace Inclusion Competence and Employer Engagement. </w:t>
      </w:r>
      <w:r w:rsidRPr="00B66E47">
        <w:rPr>
          <w:i/>
          <w:iCs/>
          <w:noProof/>
          <w:lang w:val="en-GB"/>
        </w:rPr>
        <w:t>Nordic Journal of Working Life Studies</w:t>
      </w:r>
      <w:r w:rsidRPr="00B66E47">
        <w:rPr>
          <w:noProof/>
          <w:lang w:val="en-GB"/>
        </w:rPr>
        <w:t xml:space="preserve">. </w:t>
      </w:r>
      <w:hyperlink r:id="rId105" w:history="1">
        <w:r w:rsidRPr="00B66E47">
          <w:rPr>
            <w:rStyle w:val="Hyperlink"/>
            <w:noProof/>
            <w:lang w:val="en-GB"/>
          </w:rPr>
          <w:t>https://doi.org/10.18291/njwls.128260</w:t>
        </w:r>
      </w:hyperlink>
    </w:p>
    <w:p w14:paraId="0AAFE72B" w14:textId="77777777" w:rsidR="00B66E47" w:rsidRPr="00B66E47" w:rsidRDefault="00B66E47" w:rsidP="00B66E47">
      <w:pPr>
        <w:pStyle w:val="EndNoteBibliography"/>
        <w:rPr>
          <w:noProof/>
          <w:lang w:val="en-GB"/>
        </w:rPr>
      </w:pPr>
      <w:r w:rsidRPr="00B66E47">
        <w:rPr>
          <w:noProof/>
          <w:lang w:val="en-GB"/>
        </w:rPr>
        <w:t xml:space="preserve">Etherington, D., &amp; Jones, M. (n.d.). Political Economy of the Inclusive Labour </w:t>
      </w:r>
      <w:r w:rsidRPr="00B66E47">
        <w:rPr>
          <w:noProof/>
          <w:lang w:val="en-GB"/>
        </w:rPr>
        <w:lastRenderedPageBreak/>
        <w:t>Market Revisited: Welfare through Work in Denmark.</w:t>
      </w:r>
    </w:p>
    <w:p w14:paraId="19440E27" w14:textId="77777777" w:rsidR="00B66E47" w:rsidRPr="00B66E47" w:rsidRDefault="00B66E47" w:rsidP="00B66E47">
      <w:pPr>
        <w:pStyle w:val="EndNoteBibliography"/>
        <w:rPr>
          <w:noProof/>
          <w:lang w:val="en-GB"/>
        </w:rPr>
      </w:pPr>
      <w:r w:rsidRPr="00B66E47">
        <w:rPr>
          <w:noProof/>
          <w:lang w:val="en-GB"/>
        </w:rPr>
        <w:t xml:space="preserve">European Commission. Directorate General for Employment, S. A. and I. (2024). </w:t>
      </w:r>
      <w:r w:rsidRPr="00B66E47">
        <w:rPr>
          <w:i/>
          <w:iCs/>
          <w:noProof/>
          <w:lang w:val="en-GB"/>
        </w:rPr>
        <w:t>Reasonable accommodation at work: Guidelines and good practices.</w:t>
      </w:r>
      <w:r w:rsidRPr="00B66E47">
        <w:rPr>
          <w:noProof/>
          <w:lang w:val="en-GB"/>
        </w:rPr>
        <w:t xml:space="preserve"> Publications Office. </w:t>
      </w:r>
      <w:hyperlink r:id="rId106" w:history="1">
        <w:r w:rsidRPr="00B66E47">
          <w:rPr>
            <w:rStyle w:val="Hyperlink"/>
            <w:noProof/>
            <w:lang w:val="en-GB"/>
          </w:rPr>
          <w:t>https://doi.org/10.2767/359088</w:t>
        </w:r>
      </w:hyperlink>
    </w:p>
    <w:p w14:paraId="62DFA41D" w14:textId="77777777" w:rsidR="00B66E47" w:rsidRPr="00B66E47" w:rsidRDefault="00B66E47" w:rsidP="00B66E47">
      <w:pPr>
        <w:pStyle w:val="EndNoteBibliography"/>
        <w:rPr>
          <w:noProof/>
          <w:lang w:val="en-GB"/>
        </w:rPr>
      </w:pPr>
      <w:r w:rsidRPr="00B66E47">
        <w:rPr>
          <w:noProof/>
          <w:lang w:val="en-GB"/>
        </w:rPr>
        <w:t xml:space="preserve">European Commission. Directorate General for Employment, S. A. and Inclusion. &amp; ICF. (2018). </w:t>
      </w:r>
      <w:r w:rsidRPr="00B66E47">
        <w:rPr>
          <w:i/>
          <w:iCs/>
          <w:noProof/>
          <w:lang w:val="en-GB"/>
        </w:rPr>
        <w:t>Employer’s toolkit: Engaging with and improving services to employers.</w:t>
      </w:r>
      <w:r w:rsidRPr="00B66E47">
        <w:rPr>
          <w:noProof/>
          <w:lang w:val="en-GB"/>
        </w:rPr>
        <w:t xml:space="preserve"> Publications Office. </w:t>
      </w:r>
      <w:hyperlink r:id="rId107" w:history="1">
        <w:r w:rsidRPr="00B66E47">
          <w:rPr>
            <w:rStyle w:val="Hyperlink"/>
            <w:noProof/>
            <w:lang w:val="en-GB"/>
          </w:rPr>
          <w:t>https://doi.org/10.2767/273007</w:t>
        </w:r>
      </w:hyperlink>
    </w:p>
    <w:p w14:paraId="38A7E459" w14:textId="77777777" w:rsidR="00B66E47" w:rsidRPr="00B66E47" w:rsidRDefault="00B66E47" w:rsidP="00B66E47">
      <w:pPr>
        <w:pStyle w:val="EndNoteBibliography"/>
        <w:rPr>
          <w:noProof/>
          <w:lang w:val="en-GB"/>
        </w:rPr>
      </w:pPr>
      <w:r w:rsidRPr="00B66E47">
        <w:rPr>
          <w:noProof/>
          <w:lang w:val="en-GB"/>
        </w:rPr>
        <w:t xml:space="preserve">European Commission. Directorate General for Employment, Social Affairs and Inclusion. &amp; Fondazione Giacomo Brodolini. (2022). European network of public employment services: Practitioner toolkit on strengthening PES to improve the labour market outcomes of persons with disabilities. Publications Office. </w:t>
      </w:r>
      <w:hyperlink r:id="rId108" w:history="1">
        <w:r w:rsidRPr="00B66E47">
          <w:rPr>
            <w:rStyle w:val="Hyperlink"/>
            <w:noProof/>
            <w:lang w:val="en-GB"/>
          </w:rPr>
          <w:t>https://doi.org/10.2767/034981</w:t>
        </w:r>
      </w:hyperlink>
    </w:p>
    <w:p w14:paraId="1BEFEED2" w14:textId="77777777" w:rsidR="00B66E47" w:rsidRPr="00B66E47" w:rsidRDefault="00B66E47" w:rsidP="00B66E47">
      <w:pPr>
        <w:pStyle w:val="EndNoteBibliography"/>
        <w:rPr>
          <w:noProof/>
          <w:lang w:val="en-GB"/>
        </w:rPr>
      </w:pPr>
      <w:r w:rsidRPr="00B66E47">
        <w:rPr>
          <w:noProof/>
          <w:lang w:val="en-GB"/>
        </w:rPr>
        <w:t>‘Everyone wins a Balloon’ Playbook 2025. (n.d.).</w:t>
      </w:r>
    </w:p>
    <w:p w14:paraId="5EA9A283" w14:textId="77777777" w:rsidR="00B66E47" w:rsidRPr="00B66E47" w:rsidRDefault="00B66E47" w:rsidP="00B66E47">
      <w:pPr>
        <w:pStyle w:val="EndNoteBibliography"/>
        <w:rPr>
          <w:noProof/>
          <w:lang w:val="en-GB"/>
        </w:rPr>
      </w:pPr>
      <w:r w:rsidRPr="00B66E47">
        <w:rPr>
          <w:noProof/>
          <w:lang w:val="en-GB"/>
        </w:rPr>
        <w:t>Flexibility—Diversity Council Australia. (n.d.).</w:t>
      </w:r>
    </w:p>
    <w:p w14:paraId="2CCC6C95" w14:textId="77777777" w:rsidR="00B66E47" w:rsidRPr="00B66E47" w:rsidRDefault="00B66E47" w:rsidP="00B66E47">
      <w:pPr>
        <w:pStyle w:val="EndNoteBibliography"/>
        <w:rPr>
          <w:noProof/>
          <w:lang w:val="en-GB"/>
        </w:rPr>
      </w:pPr>
      <w:r w:rsidRPr="00B66E47">
        <w:rPr>
          <w:noProof/>
          <w:lang w:val="en-GB"/>
        </w:rPr>
        <w:t xml:space="preserve">FRØYLAND, K., ANDREASSEN, T. A., &amp; INNVÆR, S. (2019). Contrasting Supply-side, Demand-side and Combined Approaches to Labour Market Integration. </w:t>
      </w:r>
      <w:r w:rsidRPr="00B66E47">
        <w:rPr>
          <w:i/>
          <w:iCs/>
          <w:noProof/>
          <w:lang w:val="en-GB"/>
        </w:rPr>
        <w:t>Journal of Social Policy</w:t>
      </w:r>
      <w:r w:rsidRPr="00B66E47">
        <w:rPr>
          <w:noProof/>
          <w:lang w:val="en-GB"/>
        </w:rPr>
        <w:t xml:space="preserve">, </w:t>
      </w:r>
      <w:r w:rsidRPr="00B66E47">
        <w:rPr>
          <w:i/>
          <w:iCs/>
          <w:noProof/>
          <w:lang w:val="en-GB"/>
        </w:rPr>
        <w:t>48</w:t>
      </w:r>
      <w:r w:rsidRPr="00B66E47">
        <w:rPr>
          <w:noProof/>
          <w:lang w:val="en-GB"/>
        </w:rPr>
        <w:t xml:space="preserve">(2), 311–328. (135256975). </w:t>
      </w:r>
      <w:hyperlink r:id="rId109" w:history="1">
        <w:r w:rsidRPr="00B66E47">
          <w:rPr>
            <w:rStyle w:val="Hyperlink"/>
            <w:noProof/>
            <w:lang w:val="en-GB"/>
          </w:rPr>
          <w:t>https://doi.org/10.1017/S0047279418000491</w:t>
        </w:r>
      </w:hyperlink>
    </w:p>
    <w:p w14:paraId="396E66AC" w14:textId="77777777" w:rsidR="00B66E47" w:rsidRPr="00B66E47" w:rsidRDefault="00B66E47" w:rsidP="00B66E47">
      <w:pPr>
        <w:pStyle w:val="EndNoteBibliography"/>
        <w:rPr>
          <w:noProof/>
          <w:lang w:val="en-GB"/>
        </w:rPr>
      </w:pPr>
      <w:r w:rsidRPr="00B66E47">
        <w:rPr>
          <w:noProof/>
          <w:lang w:val="en-GB"/>
        </w:rPr>
        <w:t xml:space="preserve">Frøyland, K., Breit, E., &amp; Spjelkavik, Ø. (2025). Engaged employers – engaged workplaces? Exploring workplace resistance to work inclusion of Persons with Disabilities (PwD). </w:t>
      </w:r>
      <w:r w:rsidRPr="00B66E47">
        <w:rPr>
          <w:i/>
          <w:iCs/>
          <w:noProof/>
          <w:lang w:val="en-GB"/>
        </w:rPr>
        <w:t>Work</w:t>
      </w:r>
      <w:r w:rsidRPr="00B66E47">
        <w:rPr>
          <w:noProof/>
          <w:lang w:val="en-GB"/>
        </w:rPr>
        <w:t xml:space="preserve">, </w:t>
      </w:r>
      <w:r w:rsidRPr="00B66E47">
        <w:rPr>
          <w:i/>
          <w:iCs/>
          <w:noProof/>
          <w:lang w:val="en-GB"/>
        </w:rPr>
        <w:t>82</w:t>
      </w:r>
      <w:r w:rsidRPr="00B66E47">
        <w:rPr>
          <w:noProof/>
          <w:lang w:val="en-GB"/>
        </w:rPr>
        <w:t xml:space="preserve">(1), 111–119. (187409760). </w:t>
      </w:r>
      <w:hyperlink r:id="rId110" w:history="1">
        <w:r w:rsidRPr="00B66E47">
          <w:rPr>
            <w:rStyle w:val="Hyperlink"/>
            <w:noProof/>
            <w:lang w:val="en-GB"/>
          </w:rPr>
          <w:t>https://doi.org/10.1177/10519815251335786</w:t>
        </w:r>
      </w:hyperlink>
    </w:p>
    <w:p w14:paraId="5B65A674" w14:textId="77777777" w:rsidR="00B66E47" w:rsidRPr="00B66E47" w:rsidRDefault="00B66E47" w:rsidP="00B66E47">
      <w:pPr>
        <w:pStyle w:val="EndNoteBibliography"/>
        <w:rPr>
          <w:noProof/>
          <w:lang w:val="en-GB"/>
        </w:rPr>
      </w:pPr>
      <w:r w:rsidRPr="00B66E47">
        <w:rPr>
          <w:noProof/>
          <w:lang w:val="en-GB"/>
        </w:rPr>
        <w:t xml:space="preserve">Froyland, K., &amp; Nordberg, T. (2025). Wadel’s Concept of ‘incorporation’: A Means of Improving Sustainable Work Inclusion? </w:t>
      </w:r>
      <w:r w:rsidRPr="00B66E47">
        <w:rPr>
          <w:i/>
          <w:iCs/>
          <w:noProof/>
          <w:lang w:val="en-GB"/>
        </w:rPr>
        <w:t>NORDIC JOURNAL OF WORKING LIFE STUDIES</w:t>
      </w:r>
      <w:r w:rsidRPr="00B66E47">
        <w:rPr>
          <w:noProof/>
          <w:lang w:val="en-GB"/>
        </w:rPr>
        <w:t xml:space="preserve">, </w:t>
      </w:r>
      <w:r w:rsidRPr="00B66E47">
        <w:rPr>
          <w:i/>
          <w:iCs/>
          <w:noProof/>
          <w:lang w:val="en-GB"/>
        </w:rPr>
        <w:t>15</w:t>
      </w:r>
      <w:r w:rsidRPr="00B66E47">
        <w:rPr>
          <w:noProof/>
          <w:lang w:val="en-GB"/>
        </w:rPr>
        <w:t xml:space="preserve">(1), 5–27. (WOS:001437317600002). </w:t>
      </w:r>
      <w:hyperlink r:id="rId111" w:history="1">
        <w:r w:rsidRPr="00B66E47">
          <w:rPr>
            <w:rStyle w:val="Hyperlink"/>
            <w:noProof/>
            <w:lang w:val="en-GB"/>
          </w:rPr>
          <w:t>https://doi.org/10.18291/njwls.147335</w:t>
        </w:r>
      </w:hyperlink>
    </w:p>
    <w:p w14:paraId="65AFA567" w14:textId="77777777" w:rsidR="00B66E47" w:rsidRPr="00B66E47" w:rsidRDefault="00B66E47" w:rsidP="00B66E47">
      <w:pPr>
        <w:pStyle w:val="EndNoteBibliography"/>
        <w:rPr>
          <w:noProof/>
          <w:lang w:val="en-GB"/>
        </w:rPr>
      </w:pPr>
      <w:r w:rsidRPr="00B66E47">
        <w:rPr>
          <w:noProof/>
          <w:lang w:val="en-GB"/>
        </w:rPr>
        <w:t>Get your baseline D&amp;I data—Diversity Council Australia. (n.d.).</w:t>
      </w:r>
    </w:p>
    <w:p w14:paraId="1E694486" w14:textId="77777777" w:rsidR="00B66E47" w:rsidRPr="00B66E47" w:rsidRDefault="00B66E47" w:rsidP="00B66E47">
      <w:pPr>
        <w:pStyle w:val="EndNoteBibliography"/>
        <w:rPr>
          <w:noProof/>
          <w:lang w:val="en-GB"/>
        </w:rPr>
      </w:pPr>
      <w:r w:rsidRPr="00B66E47">
        <w:rPr>
          <w:noProof/>
          <w:lang w:val="en-GB"/>
        </w:rPr>
        <w:t>Getting Strategic with D&amp;I – Diversity Council Australia. (n.d.).</w:t>
      </w:r>
    </w:p>
    <w:p w14:paraId="477695EE" w14:textId="77777777" w:rsidR="00B66E47" w:rsidRPr="00B66E47" w:rsidRDefault="00B66E47" w:rsidP="00B66E47">
      <w:pPr>
        <w:pStyle w:val="EndNoteBibliography"/>
        <w:rPr>
          <w:noProof/>
          <w:lang w:val="en-GB"/>
        </w:rPr>
      </w:pPr>
      <w:r w:rsidRPr="00B66E47">
        <w:rPr>
          <w:noProof/>
          <w:lang w:val="en-GB"/>
        </w:rPr>
        <w:t xml:space="preserve">Habeck R, Hunt A, Rachel CH, Kregel J, &amp; Chan F. (2010). Employee Retention and Integrated Disability Management Practices as Demand Side Factors. </w:t>
      </w:r>
      <w:r w:rsidRPr="00B66E47">
        <w:rPr>
          <w:i/>
          <w:iCs/>
          <w:noProof/>
          <w:lang w:val="en-GB"/>
        </w:rPr>
        <w:t>Journal of Occupational Rehabilitation</w:t>
      </w:r>
      <w:r w:rsidRPr="00B66E47">
        <w:rPr>
          <w:noProof/>
          <w:lang w:val="en-GB"/>
        </w:rPr>
        <w:t xml:space="preserve">, </w:t>
      </w:r>
      <w:r w:rsidRPr="00B66E47">
        <w:rPr>
          <w:i/>
          <w:iCs/>
          <w:noProof/>
          <w:lang w:val="en-GB"/>
        </w:rPr>
        <w:t>20</w:t>
      </w:r>
      <w:r w:rsidRPr="00B66E47">
        <w:rPr>
          <w:noProof/>
          <w:lang w:val="en-GB"/>
        </w:rPr>
        <w:t xml:space="preserve">(4), 443–455. (104942511). </w:t>
      </w:r>
      <w:hyperlink r:id="rId112" w:history="1">
        <w:r w:rsidRPr="00B66E47">
          <w:rPr>
            <w:rStyle w:val="Hyperlink"/>
            <w:noProof/>
            <w:lang w:val="en-GB"/>
          </w:rPr>
          <w:t>https://doi.org/10.1007/s10926-009-9225-9</w:t>
        </w:r>
      </w:hyperlink>
    </w:p>
    <w:p w14:paraId="2B62AFB7" w14:textId="77777777" w:rsidR="00B66E47" w:rsidRPr="00B66E47" w:rsidRDefault="00B66E47" w:rsidP="00B66E47">
      <w:pPr>
        <w:pStyle w:val="EndNoteBibliography"/>
        <w:rPr>
          <w:noProof/>
          <w:lang w:val="en-AU"/>
        </w:rPr>
      </w:pPr>
      <w:r w:rsidRPr="00B66E47">
        <w:rPr>
          <w:noProof/>
          <w:lang w:val="en-GB"/>
        </w:rPr>
        <w:t xml:space="preserve">Habeck R, Kregel J, Head C, &amp; Yasuda S. (2007). Salient and subtle aspects of demand side approaches for employment retention: Lessons for public policymakers. </w:t>
      </w:r>
      <w:r w:rsidRPr="00B66E47">
        <w:rPr>
          <w:i/>
          <w:iCs/>
          <w:noProof/>
          <w:lang w:val="en-GB"/>
        </w:rPr>
        <w:t>Journal of Vocational Rehabilitation</w:t>
      </w:r>
      <w:r w:rsidRPr="00B66E47">
        <w:rPr>
          <w:noProof/>
          <w:lang w:val="en-GB"/>
        </w:rPr>
        <w:t xml:space="preserve">, </w:t>
      </w:r>
      <w:r w:rsidRPr="00B66E47">
        <w:rPr>
          <w:i/>
          <w:iCs/>
          <w:noProof/>
          <w:lang w:val="en-GB"/>
        </w:rPr>
        <w:t>26</w:t>
      </w:r>
      <w:r w:rsidRPr="00B66E47">
        <w:rPr>
          <w:noProof/>
          <w:lang w:val="en-GB"/>
        </w:rPr>
        <w:t xml:space="preserve">(1), 21–27. (106121077). </w:t>
      </w:r>
      <w:hyperlink r:id="rId113" w:history="1">
        <w:r w:rsidRPr="00B66E47">
          <w:rPr>
            <w:rStyle w:val="Hyperlink"/>
            <w:noProof/>
            <w:lang w:val="en-GB"/>
          </w:rPr>
          <w:t>https://doi.org/10.3233/jvr-2007-00359</w:t>
        </w:r>
      </w:hyperlink>
    </w:p>
    <w:p w14:paraId="03FBDAAC" w14:textId="77777777" w:rsidR="00B66E47" w:rsidRPr="00B66E47" w:rsidRDefault="00B66E47" w:rsidP="00B66E47">
      <w:pPr>
        <w:pStyle w:val="EndNoteBibliography"/>
        <w:rPr>
          <w:noProof/>
          <w:lang w:val="en-GB"/>
        </w:rPr>
      </w:pPr>
      <w:r w:rsidRPr="00B66E47">
        <w:rPr>
          <w:noProof/>
          <w:lang w:val="en-AU"/>
        </w:rPr>
        <w:t xml:space="preserve">Hackney Council </w:t>
      </w:r>
      <w:r w:rsidRPr="00B66E47">
        <w:rPr>
          <w:i/>
          <w:iCs/>
          <w:noProof/>
          <w:lang w:val="en-GB"/>
        </w:rPr>
        <w:t>JO Has a Diagnosis of Autism</w:t>
      </w:r>
      <w:r w:rsidRPr="00B66E47">
        <w:rPr>
          <w:noProof/>
          <w:lang w:val="en-GB"/>
        </w:rPr>
        <w:t xml:space="preserve"> (case study submission).</w:t>
      </w:r>
    </w:p>
    <w:p w14:paraId="7000AE21" w14:textId="77777777" w:rsidR="00B66E47" w:rsidRPr="00B66E47" w:rsidRDefault="00B66E47" w:rsidP="00B66E47">
      <w:pPr>
        <w:pStyle w:val="EndNoteBibliography"/>
        <w:rPr>
          <w:noProof/>
          <w:lang w:val="en-GB"/>
        </w:rPr>
      </w:pPr>
      <w:r w:rsidRPr="00B66E47">
        <w:rPr>
          <w:noProof/>
          <w:lang w:val="en-GB"/>
        </w:rPr>
        <w:t xml:space="preserve">Hagner, D., Fesko, S. L., Cadigan, M., Kiernan, W., &amp; et al. (1996). Securing employment: Job search and employer negotiation strategies in rehabilitation. In </w:t>
      </w:r>
      <w:r w:rsidRPr="00B66E47">
        <w:rPr>
          <w:i/>
          <w:iCs/>
          <w:noProof/>
          <w:lang w:val="en-GB"/>
        </w:rPr>
        <w:t>Work and disability: Issues and strategies in career development and job placement.</w:t>
      </w:r>
      <w:r w:rsidRPr="00B66E47">
        <w:rPr>
          <w:noProof/>
          <w:lang w:val="en-GB"/>
        </w:rPr>
        <w:t xml:space="preserve"> (pp. 309–340). PRO-ED. (1996-98684-009). </w:t>
      </w:r>
      <w:hyperlink r:id="rId114" w:history="1">
        <w:r w:rsidRPr="00B66E47">
          <w:rPr>
            <w:rStyle w:val="Hyperlink"/>
            <w:noProof/>
            <w:lang w:val="en-GB"/>
          </w:rPr>
          <w:t>https://research.ebsco.com/plink/7b7d2958-56c9-3023-8be8-</w:t>
        </w:r>
        <w:r w:rsidRPr="00B66E47">
          <w:rPr>
            <w:rStyle w:val="Hyperlink"/>
            <w:noProof/>
            <w:lang w:val="en-GB"/>
          </w:rPr>
          <w:lastRenderedPageBreak/>
          <w:t>f769a716b36d</w:t>
        </w:r>
      </w:hyperlink>
    </w:p>
    <w:p w14:paraId="65252A49" w14:textId="77777777" w:rsidR="00B66E47" w:rsidRPr="00B66E47" w:rsidRDefault="00B66E47" w:rsidP="00B66E47">
      <w:pPr>
        <w:pStyle w:val="EndNoteBibliography"/>
        <w:rPr>
          <w:noProof/>
          <w:lang w:val="en-GB"/>
        </w:rPr>
      </w:pPr>
      <w:r w:rsidRPr="00B66E47">
        <w:rPr>
          <w:noProof/>
          <w:lang w:val="en-GB"/>
        </w:rPr>
        <w:t xml:space="preserve">Haines, K., Soldner, J., Zhang, L., Saint Laurent, M., Knabe, B., West-Evans, K., Mock, L., &amp; Foley, S. (2018). Vocational rehabilitation and business relations: Preliminary indicators of state VR agency capacity. </w:t>
      </w:r>
      <w:r w:rsidRPr="00B66E47">
        <w:rPr>
          <w:i/>
          <w:iCs/>
          <w:noProof/>
          <w:lang w:val="en-GB"/>
        </w:rPr>
        <w:t>JOURNAL OF VOCATIONAL REHABILITATION</w:t>
      </w:r>
      <w:r w:rsidRPr="00B66E47">
        <w:rPr>
          <w:noProof/>
          <w:lang w:val="en-GB"/>
        </w:rPr>
        <w:t xml:space="preserve">, </w:t>
      </w:r>
      <w:r w:rsidRPr="00B66E47">
        <w:rPr>
          <w:i/>
          <w:iCs/>
          <w:noProof/>
          <w:lang w:val="en-GB"/>
        </w:rPr>
        <w:t>48</w:t>
      </w:r>
      <w:r w:rsidRPr="00B66E47">
        <w:rPr>
          <w:noProof/>
          <w:lang w:val="en-GB"/>
        </w:rPr>
        <w:t xml:space="preserve">(1), 133–145. (WOS:000426253900011). </w:t>
      </w:r>
      <w:hyperlink r:id="rId115" w:history="1">
        <w:r w:rsidRPr="00B66E47">
          <w:rPr>
            <w:rStyle w:val="Hyperlink"/>
            <w:noProof/>
            <w:lang w:val="en-GB"/>
          </w:rPr>
          <w:t>https://doi.org/10.3233/JVR-170921</w:t>
        </w:r>
      </w:hyperlink>
    </w:p>
    <w:p w14:paraId="5DD42DED" w14:textId="77777777" w:rsidR="00B66E47" w:rsidRPr="00B66E47" w:rsidRDefault="00B66E47" w:rsidP="00B66E47">
      <w:pPr>
        <w:pStyle w:val="EndNoteBibliography"/>
        <w:rPr>
          <w:noProof/>
          <w:lang w:val="en-GB"/>
        </w:rPr>
      </w:pPr>
      <w:r w:rsidRPr="00B66E47">
        <w:rPr>
          <w:noProof/>
          <w:lang w:val="en-GB"/>
        </w:rPr>
        <w:t>Hamilton, A. (n.d.). Practice Case Study: Reconnecting Employee and Employer Engagement through Continuous Improvement of Policy.</w:t>
      </w:r>
    </w:p>
    <w:p w14:paraId="2FF2BD28" w14:textId="77777777" w:rsidR="00B66E47" w:rsidRDefault="00B66E47" w:rsidP="00B66E47">
      <w:pPr>
        <w:pStyle w:val="EndNoteBibliography"/>
        <w:rPr>
          <w:noProof/>
        </w:rPr>
      </w:pPr>
      <w:r w:rsidRPr="00B66E47">
        <w:rPr>
          <w:noProof/>
          <w:lang w:val="en-GB"/>
        </w:rPr>
        <w:t xml:space="preserve">Hamilton, A. (2023). Practice Case Study: Reconnecting Employee and Employer Engagement through Continuous Improvement of Policy. In J. Ingold &amp; P. McGurk (Eds), </w:t>
      </w:r>
      <w:r w:rsidRPr="00B66E47">
        <w:rPr>
          <w:i/>
          <w:iCs/>
          <w:noProof/>
          <w:lang w:val="en-GB"/>
        </w:rPr>
        <w:t>Employer Engagement: Making Active Labour Market Policies Work</w:t>
      </w:r>
      <w:r w:rsidRPr="00B66E47">
        <w:rPr>
          <w:noProof/>
          <w:lang w:val="en-GB"/>
        </w:rPr>
        <w:t xml:space="preserve"> (pp. 145–156). Bristol University Press. Cambridge Core. </w:t>
      </w:r>
      <w:hyperlink r:id="rId116" w:history="1">
        <w:r w:rsidRPr="00B66E47">
          <w:rPr>
            <w:rStyle w:val="Hyperlink"/>
            <w:noProof/>
            <w:lang w:val="en-GB"/>
          </w:rPr>
          <w:t>https://doi.org/10.46692/9781529223026.009</w:t>
        </w:r>
      </w:hyperlink>
    </w:p>
    <w:p w14:paraId="762BB148" w14:textId="053D1DCE" w:rsidR="00376284" w:rsidRPr="00B66E47" w:rsidRDefault="00376284" w:rsidP="00B66E47">
      <w:pPr>
        <w:pStyle w:val="EndNoteBibliography"/>
        <w:rPr>
          <w:noProof/>
          <w:lang w:val="en-GB"/>
        </w:rPr>
      </w:pPr>
      <w:r w:rsidRPr="009D48BC">
        <w:rPr>
          <w:noProof/>
        </w:rPr>
        <w:t xml:space="preserve">Hamel, C., Michaud, A., Thuku, M., Skidmore, B., Stevens, A., Nussbaumer-Streit, B., &amp; Garritty, C. (2021). Defining rapid reviews: a systematic scoping review and thematic analysis of definitions and defining characteristics of rapid reviews. </w:t>
      </w:r>
      <w:r w:rsidRPr="009D48BC">
        <w:rPr>
          <w:i/>
          <w:noProof/>
        </w:rPr>
        <w:t>Journal of Clinical Epidemiology</w:t>
      </w:r>
      <w:r w:rsidRPr="009D48BC">
        <w:rPr>
          <w:noProof/>
        </w:rPr>
        <w:t>,</w:t>
      </w:r>
      <w:r w:rsidRPr="009D48BC">
        <w:rPr>
          <w:i/>
          <w:noProof/>
        </w:rPr>
        <w:t xml:space="preserve"> 129</w:t>
      </w:r>
      <w:r w:rsidRPr="009D48BC">
        <w:rPr>
          <w:noProof/>
        </w:rPr>
        <w:t xml:space="preserve">, 74-85. </w:t>
      </w:r>
      <w:r w:rsidRPr="009D48BC">
        <w:rPr>
          <w:rStyle w:val="Hyperlink"/>
        </w:rPr>
        <w:t>https://doi.org/10.1016/j.jclinepi.2020.09.041</w:t>
      </w:r>
    </w:p>
    <w:p w14:paraId="0E4F7C21" w14:textId="77777777" w:rsidR="00B66E47" w:rsidRPr="00B66E47" w:rsidRDefault="00B66E47" w:rsidP="00B66E47">
      <w:pPr>
        <w:pStyle w:val="EndNoteBibliography"/>
        <w:rPr>
          <w:noProof/>
          <w:lang w:val="en-GB"/>
        </w:rPr>
      </w:pPr>
      <w:r w:rsidRPr="00B66E47">
        <w:rPr>
          <w:noProof/>
          <w:lang w:val="en-GB"/>
        </w:rPr>
        <w:t xml:space="preserve">Harris, C., Switzer, E., &amp; Gower, W. S. (2017). The Diversity Partners Project: Multi-systemic knowledge translation and business engagement strategies to improve employment of people with disabilities. </w:t>
      </w:r>
      <w:r w:rsidRPr="00B66E47">
        <w:rPr>
          <w:i/>
          <w:iCs/>
          <w:noProof/>
          <w:lang w:val="en-GB"/>
        </w:rPr>
        <w:t>Journal of Vocational Rehabilitation</w:t>
      </w:r>
      <w:r w:rsidRPr="00B66E47">
        <w:rPr>
          <w:noProof/>
          <w:lang w:val="en-GB"/>
        </w:rPr>
        <w:t xml:space="preserve">, </w:t>
      </w:r>
      <w:r w:rsidRPr="00B66E47">
        <w:rPr>
          <w:i/>
          <w:iCs/>
          <w:noProof/>
          <w:lang w:val="en-GB"/>
        </w:rPr>
        <w:t>46</w:t>
      </w:r>
      <w:r w:rsidRPr="00B66E47">
        <w:rPr>
          <w:noProof/>
          <w:lang w:val="en-GB"/>
        </w:rPr>
        <w:t xml:space="preserve">(3), 273–285. (123414259). </w:t>
      </w:r>
      <w:hyperlink r:id="rId117" w:history="1">
        <w:r w:rsidRPr="00B66E47">
          <w:rPr>
            <w:rStyle w:val="Hyperlink"/>
            <w:noProof/>
            <w:lang w:val="en-GB"/>
          </w:rPr>
          <w:t>https://doi.org/10.3233/JVR-170862</w:t>
        </w:r>
      </w:hyperlink>
    </w:p>
    <w:p w14:paraId="1A59B43D" w14:textId="77777777" w:rsidR="00B66E47" w:rsidRPr="00B66E47" w:rsidRDefault="00B66E47" w:rsidP="00B66E47">
      <w:pPr>
        <w:pStyle w:val="EndNoteBibliography"/>
        <w:rPr>
          <w:noProof/>
          <w:lang w:val="en-GB"/>
        </w:rPr>
      </w:pPr>
      <w:r w:rsidRPr="00B66E47">
        <w:rPr>
          <w:noProof/>
          <w:lang w:val="en-GB"/>
        </w:rPr>
        <w:t xml:space="preserve">Havranek, J. E. (2005). Review of Working relationships: Creating career opportunities for job seekers with disabilities through employer partnerships. </w:t>
      </w:r>
      <w:r w:rsidRPr="00B66E47">
        <w:rPr>
          <w:i/>
          <w:iCs/>
          <w:noProof/>
          <w:lang w:val="en-GB"/>
        </w:rPr>
        <w:t>Journal of Applied Rehabilitation Counseling</w:t>
      </w:r>
      <w:r w:rsidRPr="00B66E47">
        <w:rPr>
          <w:noProof/>
          <w:lang w:val="en-GB"/>
        </w:rPr>
        <w:t xml:space="preserve">, </w:t>
      </w:r>
      <w:r w:rsidRPr="00B66E47">
        <w:rPr>
          <w:i/>
          <w:iCs/>
          <w:noProof/>
          <w:lang w:val="en-GB"/>
        </w:rPr>
        <w:t>36</w:t>
      </w:r>
      <w:r w:rsidRPr="00B66E47">
        <w:rPr>
          <w:noProof/>
          <w:lang w:val="en-GB"/>
        </w:rPr>
        <w:t>(2), 43–43. (2005-07980-009).</w:t>
      </w:r>
    </w:p>
    <w:p w14:paraId="7E644F1D" w14:textId="77777777" w:rsidR="00B66E47" w:rsidRPr="00B66E47" w:rsidRDefault="00B66E47" w:rsidP="00B66E47">
      <w:pPr>
        <w:pStyle w:val="EndNoteBibliography"/>
        <w:rPr>
          <w:noProof/>
          <w:lang w:val="en-GB"/>
        </w:rPr>
      </w:pPr>
      <w:r w:rsidRPr="00B66E47">
        <w:rPr>
          <w:noProof/>
          <w:lang w:val="en-GB"/>
        </w:rPr>
        <w:t xml:space="preserve">HDI Grant to Advance Employer Engagement Strategies in Vocational Rehabilitation. (2025). </w:t>
      </w:r>
      <w:r w:rsidRPr="00B66E47">
        <w:rPr>
          <w:i/>
          <w:iCs/>
          <w:noProof/>
          <w:lang w:val="en-GB"/>
        </w:rPr>
        <w:t>Kentucky Nurse</w:t>
      </w:r>
      <w:r w:rsidRPr="00B66E47">
        <w:rPr>
          <w:noProof/>
          <w:lang w:val="en-GB"/>
        </w:rPr>
        <w:t>, 19–1. (190601648).</w:t>
      </w:r>
    </w:p>
    <w:p w14:paraId="693C0C43" w14:textId="77777777" w:rsidR="00B66E47" w:rsidRPr="00B66E47" w:rsidRDefault="00B66E47" w:rsidP="00B66E47">
      <w:pPr>
        <w:pStyle w:val="EndNoteBibliography"/>
        <w:rPr>
          <w:noProof/>
          <w:lang w:val="en-GB"/>
        </w:rPr>
      </w:pPr>
      <w:r w:rsidRPr="00B66E47">
        <w:rPr>
          <w:noProof/>
          <w:lang w:val="en-GB"/>
        </w:rPr>
        <w:t>Hiring managers’ utilisation of employment services: A relationship of social exchange. (n.d.).</w:t>
      </w:r>
    </w:p>
    <w:p w14:paraId="3FAF426D" w14:textId="77777777" w:rsidR="00B66E47" w:rsidRPr="00B66E47" w:rsidRDefault="00B66E47" w:rsidP="00B66E47">
      <w:pPr>
        <w:pStyle w:val="EndNoteBibliography"/>
        <w:rPr>
          <w:noProof/>
          <w:lang w:val="en-GB"/>
        </w:rPr>
      </w:pPr>
      <w:r w:rsidRPr="00B66E47">
        <w:rPr>
          <w:noProof/>
          <w:lang w:val="en-GB"/>
        </w:rPr>
        <w:t>Hiring Outside the Box Employer Presentation—Without quiz. (n.d.).</w:t>
      </w:r>
    </w:p>
    <w:p w14:paraId="41943281" w14:textId="77777777" w:rsidR="00B66E47" w:rsidRPr="00B66E47" w:rsidRDefault="00B66E47" w:rsidP="00B66E47">
      <w:pPr>
        <w:pStyle w:val="EndNoteBibliography"/>
        <w:rPr>
          <w:noProof/>
          <w:lang w:val="en-GB"/>
        </w:rPr>
      </w:pPr>
      <w:r w:rsidRPr="00B66E47">
        <w:rPr>
          <w:noProof/>
          <w:lang w:val="en-GB"/>
        </w:rPr>
        <w:t>How to address polarisation at work—Diversity Council Australia. (n.d.).</w:t>
      </w:r>
    </w:p>
    <w:p w14:paraId="6D624FB5" w14:textId="77777777" w:rsidR="00B66E47" w:rsidRPr="00B66E47" w:rsidRDefault="00B66E47" w:rsidP="00B66E47">
      <w:pPr>
        <w:pStyle w:val="EndNoteBibliography"/>
        <w:rPr>
          <w:noProof/>
          <w:lang w:val="en-GB"/>
        </w:rPr>
      </w:pPr>
      <w:r w:rsidRPr="00B66E47">
        <w:rPr>
          <w:noProof/>
          <w:lang w:val="en-GB"/>
        </w:rPr>
        <w:t>How to review policy from a D&amp;I lens—Diversity Council Australia. (n.d.).</w:t>
      </w:r>
    </w:p>
    <w:p w14:paraId="6F98D294" w14:textId="77777777" w:rsidR="00B66E47" w:rsidRPr="00B66E47" w:rsidRDefault="00B66E47" w:rsidP="00B66E47">
      <w:pPr>
        <w:pStyle w:val="EndNoteBibliography"/>
        <w:rPr>
          <w:noProof/>
          <w:lang w:val="en-GB"/>
        </w:rPr>
      </w:pPr>
      <w:r w:rsidRPr="00B66E47">
        <w:rPr>
          <w:noProof/>
          <w:lang w:val="en-GB"/>
        </w:rPr>
        <w:t>How to Support Employees with Psychosocial Disabilities.</w:t>
      </w:r>
    </w:p>
    <w:p w14:paraId="54D37352" w14:textId="77777777" w:rsidR="00B66E47" w:rsidRPr="00B66E47" w:rsidRDefault="00B66E47" w:rsidP="00B66E47">
      <w:pPr>
        <w:pStyle w:val="EndNoteBibliography"/>
        <w:rPr>
          <w:noProof/>
          <w:lang w:val="en-GB"/>
        </w:rPr>
      </w:pPr>
      <w:r w:rsidRPr="00B66E47">
        <w:rPr>
          <w:noProof/>
          <w:lang w:val="en-GB"/>
        </w:rPr>
        <w:t xml:space="preserve">Hyggen, C., &amp; Vedeler, J. (2021). Employer Engagement and Active Labour Market Policies. Evidence from a Norwegian Multi-Method Study. </w:t>
      </w:r>
      <w:r w:rsidRPr="00B66E47">
        <w:rPr>
          <w:i/>
          <w:iCs/>
          <w:noProof/>
          <w:lang w:val="en-GB"/>
        </w:rPr>
        <w:t>SOCIAL POLICY AND SOCIETY</w:t>
      </w:r>
      <w:r w:rsidRPr="00B66E47">
        <w:rPr>
          <w:noProof/>
          <w:lang w:val="en-GB"/>
        </w:rPr>
        <w:t xml:space="preserve">, </w:t>
      </w:r>
      <w:r w:rsidRPr="00B66E47">
        <w:rPr>
          <w:i/>
          <w:iCs/>
          <w:noProof/>
          <w:lang w:val="en-GB"/>
        </w:rPr>
        <w:t>20</w:t>
      </w:r>
      <w:r w:rsidRPr="00B66E47">
        <w:rPr>
          <w:noProof/>
          <w:lang w:val="en-GB"/>
        </w:rPr>
        <w:t xml:space="preserve">(4), 548–560. (WOS:000721235400004). </w:t>
      </w:r>
      <w:hyperlink r:id="rId118" w:history="1">
        <w:r w:rsidRPr="00B66E47">
          <w:rPr>
            <w:rStyle w:val="Hyperlink"/>
            <w:noProof/>
            <w:lang w:val="en-GB"/>
          </w:rPr>
          <w:t>https://doi.org/10.1017/S1474746420000421</w:t>
        </w:r>
      </w:hyperlink>
    </w:p>
    <w:p w14:paraId="4EFBFEDC" w14:textId="77777777" w:rsidR="00B66E47" w:rsidRPr="00B66E47" w:rsidRDefault="00B66E47" w:rsidP="00B66E47">
      <w:pPr>
        <w:pStyle w:val="EndNoteBibliography"/>
        <w:rPr>
          <w:noProof/>
          <w:lang w:val="en-GB"/>
        </w:rPr>
      </w:pPr>
      <w:r w:rsidRPr="00B66E47">
        <w:rPr>
          <w:noProof/>
          <w:lang w:val="en-GB"/>
        </w:rPr>
        <w:t>IEP Summit Final Jo Ingold. (n.d.).</w:t>
      </w:r>
    </w:p>
    <w:p w14:paraId="346D113E" w14:textId="77777777" w:rsidR="00B66E47" w:rsidRPr="00B66E47" w:rsidRDefault="00B66E47" w:rsidP="00B66E47">
      <w:pPr>
        <w:pStyle w:val="EndNoteBibliography"/>
        <w:rPr>
          <w:noProof/>
          <w:lang w:val="en-GB"/>
        </w:rPr>
      </w:pPr>
      <w:r w:rsidRPr="00B66E47">
        <w:rPr>
          <w:noProof/>
          <w:lang w:val="en-GB"/>
        </w:rPr>
        <w:t>Implementation Canvas. (n.d.).</w:t>
      </w:r>
    </w:p>
    <w:p w14:paraId="573B50C3" w14:textId="77777777" w:rsidR="00B66E47" w:rsidRPr="00B66E47" w:rsidRDefault="00B66E47" w:rsidP="00B66E47">
      <w:pPr>
        <w:pStyle w:val="EndNoteBibliography"/>
        <w:rPr>
          <w:noProof/>
          <w:lang w:val="en-GB"/>
        </w:rPr>
      </w:pPr>
      <w:r w:rsidRPr="00B66E47">
        <w:rPr>
          <w:noProof/>
          <w:lang w:val="en-GB"/>
        </w:rPr>
        <w:lastRenderedPageBreak/>
        <w:t>Inclusive Bathrooms—Diversity Council Australia. (n.d.).</w:t>
      </w:r>
    </w:p>
    <w:p w14:paraId="19962F7F" w14:textId="77777777" w:rsidR="00B66E47" w:rsidRPr="00B66E47" w:rsidRDefault="00B66E47" w:rsidP="00B66E47">
      <w:pPr>
        <w:pStyle w:val="EndNoteBibliography"/>
        <w:rPr>
          <w:noProof/>
          <w:lang w:val="en-GB"/>
        </w:rPr>
      </w:pPr>
      <w:r w:rsidRPr="00B66E47">
        <w:rPr>
          <w:noProof/>
          <w:lang w:val="en-GB"/>
        </w:rPr>
        <w:t xml:space="preserve">Inclusive Leadership—Diversity Council Australia. (n.d.). </w:t>
      </w:r>
      <w:r w:rsidRPr="00B66E47">
        <w:rPr>
          <w:i/>
          <w:iCs/>
          <w:noProof/>
          <w:lang w:val="en-GB"/>
        </w:rPr>
        <w:t>Inclusive Leadership</w:t>
      </w:r>
      <w:r w:rsidRPr="00B66E47">
        <w:rPr>
          <w:noProof/>
          <w:lang w:val="en-GB"/>
        </w:rPr>
        <w:t>.</w:t>
      </w:r>
    </w:p>
    <w:p w14:paraId="31A8C8C5" w14:textId="77777777" w:rsidR="00B66E47" w:rsidRPr="00B66E47" w:rsidRDefault="00B66E47" w:rsidP="00B66E47">
      <w:pPr>
        <w:pStyle w:val="EndNoteBibliography"/>
        <w:rPr>
          <w:noProof/>
          <w:lang w:val="en-GB"/>
        </w:rPr>
      </w:pPr>
      <w:r w:rsidRPr="00B66E47">
        <w:rPr>
          <w:noProof/>
          <w:lang w:val="en-GB"/>
        </w:rPr>
        <w:t>Inclusive Recruitment—Diversity Council Australia. (n.d.).</w:t>
      </w:r>
    </w:p>
    <w:p w14:paraId="332AF8CC" w14:textId="77777777" w:rsidR="00B66E47" w:rsidRPr="00B66E47" w:rsidRDefault="00B66E47" w:rsidP="00B66E47">
      <w:pPr>
        <w:pStyle w:val="EndNoteBibliography"/>
        <w:rPr>
          <w:noProof/>
          <w:lang w:val="en-GB"/>
        </w:rPr>
      </w:pPr>
      <w:r w:rsidRPr="00B66E47">
        <w:rPr>
          <w:noProof/>
          <w:lang w:val="en-GB"/>
        </w:rPr>
        <w:t xml:space="preserve">Ingold, J. (2018). Employer engagement in active labour market programmes: The role of boundary spanners. </w:t>
      </w:r>
      <w:r w:rsidRPr="00B66E47">
        <w:rPr>
          <w:i/>
          <w:iCs/>
          <w:noProof/>
          <w:lang w:val="en-GB"/>
        </w:rPr>
        <w:t>Public Administration</w:t>
      </w:r>
      <w:r w:rsidRPr="00B66E47">
        <w:rPr>
          <w:noProof/>
          <w:lang w:val="en-GB"/>
        </w:rPr>
        <w:t xml:space="preserve">, </w:t>
      </w:r>
      <w:r w:rsidRPr="00B66E47">
        <w:rPr>
          <w:i/>
          <w:iCs/>
          <w:noProof/>
          <w:lang w:val="en-GB"/>
        </w:rPr>
        <w:t>96</w:t>
      </w:r>
      <w:r w:rsidRPr="00B66E47">
        <w:rPr>
          <w:noProof/>
          <w:lang w:val="en-GB"/>
        </w:rPr>
        <w:t xml:space="preserve">(4), 707–720. </w:t>
      </w:r>
      <w:hyperlink r:id="rId119" w:history="1">
        <w:r w:rsidRPr="00B66E47">
          <w:rPr>
            <w:rStyle w:val="Hyperlink"/>
            <w:noProof/>
            <w:lang w:val="en-GB"/>
          </w:rPr>
          <w:t>https://doi.org/10.1111/padm.12545</w:t>
        </w:r>
      </w:hyperlink>
    </w:p>
    <w:p w14:paraId="12976BAD" w14:textId="77777777" w:rsidR="00B66E47" w:rsidRPr="00B66E47" w:rsidRDefault="00B66E47" w:rsidP="00B66E47">
      <w:pPr>
        <w:pStyle w:val="EndNoteBibliography"/>
        <w:rPr>
          <w:noProof/>
          <w:lang w:val="en-GB"/>
        </w:rPr>
      </w:pPr>
      <w:r w:rsidRPr="00B66E47">
        <w:rPr>
          <w:noProof/>
          <w:lang w:val="en-GB"/>
        </w:rPr>
        <w:t xml:space="preserve">Ingold, J., Kakhkharov, J., &amp; Lee, Q. Y. (2025). The Case for Reorienting Active Labour Market Policies Towards the Demand‐Side. </w:t>
      </w:r>
      <w:r w:rsidRPr="00B66E47">
        <w:rPr>
          <w:i/>
          <w:iCs/>
          <w:noProof/>
          <w:lang w:val="en-GB"/>
        </w:rPr>
        <w:t>Australian Economic Review</w:t>
      </w:r>
      <w:r w:rsidRPr="00B66E47">
        <w:rPr>
          <w:noProof/>
          <w:lang w:val="en-GB"/>
        </w:rPr>
        <w:t xml:space="preserve">, </w:t>
      </w:r>
      <w:r w:rsidRPr="00B66E47">
        <w:rPr>
          <w:i/>
          <w:iCs/>
          <w:noProof/>
          <w:lang w:val="en-GB"/>
        </w:rPr>
        <w:t>58</w:t>
      </w:r>
      <w:r w:rsidRPr="00B66E47">
        <w:rPr>
          <w:noProof/>
          <w:lang w:val="en-GB"/>
        </w:rPr>
        <w:t xml:space="preserve">(4), 326–331. </w:t>
      </w:r>
      <w:hyperlink r:id="rId120" w:history="1">
        <w:r w:rsidRPr="00B66E47">
          <w:rPr>
            <w:rStyle w:val="Hyperlink"/>
            <w:noProof/>
            <w:lang w:val="en-GB"/>
          </w:rPr>
          <w:t>https://doi.org/10.1111/1467-8462.70035</w:t>
        </w:r>
      </w:hyperlink>
    </w:p>
    <w:p w14:paraId="560A7CDA" w14:textId="77777777" w:rsidR="00B66E47" w:rsidRPr="00B66E47" w:rsidRDefault="00B66E47" w:rsidP="00B66E47">
      <w:pPr>
        <w:pStyle w:val="EndNoteBibliography"/>
        <w:rPr>
          <w:noProof/>
          <w:lang w:val="en-GB"/>
        </w:rPr>
      </w:pPr>
      <w:r w:rsidRPr="00B66E47">
        <w:rPr>
          <w:noProof/>
          <w:lang w:val="en-GB"/>
        </w:rPr>
        <w:t>Ingold, J., Knox, A., &amp; Lee, Q. Y. (n.d.). Accessing hidden talent to improve organisational outcomes.</w:t>
      </w:r>
    </w:p>
    <w:p w14:paraId="6B648917" w14:textId="77777777" w:rsidR="00B66E47" w:rsidRPr="00B66E47" w:rsidRDefault="00B66E47" w:rsidP="00B66E47">
      <w:pPr>
        <w:pStyle w:val="EndNoteBibliography"/>
        <w:rPr>
          <w:noProof/>
          <w:lang w:val="en-GB"/>
        </w:rPr>
      </w:pPr>
      <w:r w:rsidRPr="00B66E47">
        <w:rPr>
          <w:noProof/>
          <w:lang w:val="en-GB"/>
        </w:rPr>
        <w:t xml:space="preserve">Ingold, J., Knox, A., Macaulay, L., &amp; Senewiratne, S. (2023). ‘What about me?’: An analysis of employers’ engagement with employment service providers in Australia. </w:t>
      </w:r>
      <w:r w:rsidRPr="00B66E47">
        <w:rPr>
          <w:i/>
          <w:iCs/>
          <w:noProof/>
          <w:lang w:val="en-GB"/>
        </w:rPr>
        <w:t>Journal of Industrial Relations</w:t>
      </w:r>
      <w:r w:rsidRPr="00B66E47">
        <w:rPr>
          <w:noProof/>
          <w:lang w:val="en-GB"/>
        </w:rPr>
        <w:t xml:space="preserve">, </w:t>
      </w:r>
      <w:r w:rsidRPr="00B66E47">
        <w:rPr>
          <w:i/>
          <w:iCs/>
          <w:noProof/>
          <w:lang w:val="en-GB"/>
        </w:rPr>
        <w:t>65</w:t>
      </w:r>
      <w:r w:rsidRPr="00B66E47">
        <w:rPr>
          <w:noProof/>
          <w:lang w:val="en-GB"/>
        </w:rPr>
        <w:t xml:space="preserve">(3), 251–273. </w:t>
      </w:r>
      <w:hyperlink r:id="rId121" w:history="1">
        <w:r w:rsidRPr="00B66E47">
          <w:rPr>
            <w:rStyle w:val="Hyperlink"/>
            <w:noProof/>
            <w:lang w:val="en-GB"/>
          </w:rPr>
          <w:t>https://doi.org/10.1177/00221856231159512</w:t>
        </w:r>
      </w:hyperlink>
    </w:p>
    <w:p w14:paraId="0AEC25A7" w14:textId="77777777" w:rsidR="00B66E47" w:rsidRPr="00B66E47" w:rsidRDefault="00B66E47" w:rsidP="00B66E47">
      <w:pPr>
        <w:pStyle w:val="EndNoteBibliography"/>
        <w:rPr>
          <w:noProof/>
          <w:lang w:val="en-GB"/>
        </w:rPr>
      </w:pPr>
      <w:r w:rsidRPr="00B66E47">
        <w:rPr>
          <w:noProof/>
          <w:lang w:val="en-GB"/>
        </w:rPr>
        <w:t xml:space="preserve">Ingold, J., Lee, Q. Y., Sabo, V., &amp; Knox, A. (2026). Executive Strategies. In </w:t>
      </w:r>
      <w:r w:rsidRPr="00B66E47">
        <w:rPr>
          <w:i/>
          <w:iCs/>
          <w:noProof/>
          <w:lang w:val="en-GB"/>
        </w:rPr>
        <w:t>Shaping Inclusive Workplaces for Persons with Disabilities</w:t>
      </w:r>
      <w:r w:rsidRPr="00B66E47">
        <w:rPr>
          <w:noProof/>
          <w:lang w:val="en-GB"/>
        </w:rPr>
        <w:t xml:space="preserve"> (pp. 15–27). Springer Nature Switzerland. </w:t>
      </w:r>
      <w:hyperlink r:id="rId122" w:history="1">
        <w:r w:rsidRPr="00B66E47">
          <w:rPr>
            <w:rStyle w:val="Hyperlink"/>
            <w:noProof/>
            <w:lang w:val="en-GB"/>
          </w:rPr>
          <w:t>https://doi.org/10.1007/978-3-031-96315-5_2</w:t>
        </w:r>
      </w:hyperlink>
    </w:p>
    <w:p w14:paraId="206D3988" w14:textId="77777777" w:rsidR="00B66E47" w:rsidRPr="00B66E47" w:rsidRDefault="00B66E47" w:rsidP="00B66E47">
      <w:pPr>
        <w:pStyle w:val="EndNoteBibliography"/>
        <w:rPr>
          <w:noProof/>
          <w:lang w:val="en-GB"/>
        </w:rPr>
      </w:pPr>
      <w:r w:rsidRPr="00B66E47">
        <w:rPr>
          <w:noProof/>
          <w:lang w:val="en-GB"/>
        </w:rPr>
        <w:t>Ingold, J., &amp; McGurk, P. (n.d.). Introduction: Why Is Employer Engagement Important?</w:t>
      </w:r>
    </w:p>
    <w:p w14:paraId="1944E349" w14:textId="77777777" w:rsidR="00B66E47" w:rsidRPr="00B66E47" w:rsidRDefault="00B66E47" w:rsidP="00B66E47">
      <w:pPr>
        <w:pStyle w:val="EndNoteBibliography"/>
        <w:rPr>
          <w:noProof/>
          <w:lang w:val="en-GB"/>
        </w:rPr>
      </w:pPr>
      <w:r w:rsidRPr="00B66E47">
        <w:rPr>
          <w:noProof/>
          <w:lang w:val="en-GB"/>
        </w:rPr>
        <w:t>Ingold, J., &amp; Stuart, M. (n.d.). Employer Engagement in the Work Programme.</w:t>
      </w:r>
    </w:p>
    <w:p w14:paraId="02D028F0" w14:textId="77777777" w:rsidR="00B66E47" w:rsidRPr="00B66E47" w:rsidRDefault="00B66E47" w:rsidP="00B66E47">
      <w:pPr>
        <w:pStyle w:val="EndNoteBibliography"/>
        <w:rPr>
          <w:noProof/>
          <w:lang w:val="en-GB"/>
        </w:rPr>
      </w:pPr>
      <w:r w:rsidRPr="00B66E47">
        <w:rPr>
          <w:noProof/>
          <w:lang w:val="en-GB"/>
        </w:rPr>
        <w:t xml:space="preserve">Ingold, J., &amp; Stuart, M. (2015). The Demand-Side of Active Labour Market Policies: A Regional Study of Employer Engagement in the Work Programme. </w:t>
      </w:r>
      <w:r w:rsidRPr="00B66E47">
        <w:rPr>
          <w:i/>
          <w:iCs/>
          <w:noProof/>
          <w:lang w:val="en-GB"/>
        </w:rPr>
        <w:t>J. Soc. Pol.</w:t>
      </w:r>
      <w:r w:rsidRPr="00B66E47">
        <w:rPr>
          <w:noProof/>
          <w:lang w:val="en-GB"/>
        </w:rPr>
        <w:t xml:space="preserve">, </w:t>
      </w:r>
      <w:r w:rsidRPr="00B66E47">
        <w:rPr>
          <w:i/>
          <w:iCs/>
          <w:noProof/>
          <w:lang w:val="en-GB"/>
        </w:rPr>
        <w:t>44</w:t>
      </w:r>
      <w:r w:rsidRPr="00B66E47">
        <w:rPr>
          <w:noProof/>
          <w:lang w:val="en-GB"/>
        </w:rPr>
        <w:t xml:space="preserve">(3), 443–462. </w:t>
      </w:r>
      <w:hyperlink r:id="rId123" w:history="1">
        <w:r w:rsidRPr="00B66E47">
          <w:rPr>
            <w:rStyle w:val="Hyperlink"/>
            <w:noProof/>
            <w:lang w:val="en-GB"/>
          </w:rPr>
          <w:t>https://doi.org/10.1017/S0047279414000890</w:t>
        </w:r>
      </w:hyperlink>
    </w:p>
    <w:p w14:paraId="06BF2242" w14:textId="77777777" w:rsidR="00B66E47" w:rsidRPr="00B66E47" w:rsidRDefault="00B66E47" w:rsidP="00B66E47">
      <w:pPr>
        <w:pStyle w:val="EndNoteBibliography"/>
        <w:rPr>
          <w:noProof/>
          <w:lang w:val="en-GB"/>
        </w:rPr>
      </w:pPr>
      <w:r w:rsidRPr="00B66E47">
        <w:rPr>
          <w:noProof/>
          <w:lang w:val="en-GB"/>
        </w:rPr>
        <w:t>Ingold, J., &amp; Valizade, D. (n.d.). Employer engagement in active labour market policies in the UK and Denmark: A survey of employers.</w:t>
      </w:r>
    </w:p>
    <w:p w14:paraId="6D91F1C0" w14:textId="77777777" w:rsidR="00B66E47" w:rsidRPr="00B66E47" w:rsidRDefault="00B66E47" w:rsidP="00B66E47">
      <w:pPr>
        <w:pStyle w:val="EndNoteBibliography"/>
        <w:rPr>
          <w:noProof/>
          <w:lang w:val="en-GB"/>
        </w:rPr>
      </w:pPr>
      <w:r w:rsidRPr="00B66E47">
        <w:rPr>
          <w:noProof/>
          <w:lang w:val="en-GB"/>
        </w:rPr>
        <w:t xml:space="preserve">Ingold, J., &amp; Valizade, D. (2017). Employers’ recruitment of disadvantaged groups: Exploring the effect of active labour market programme agencies as labour market intermediaries. </w:t>
      </w:r>
      <w:r w:rsidRPr="00B66E47">
        <w:rPr>
          <w:i/>
          <w:iCs/>
          <w:noProof/>
          <w:lang w:val="en-GB"/>
        </w:rPr>
        <w:t>Human Res Mgmt Journal</w:t>
      </w:r>
      <w:r w:rsidRPr="00B66E47">
        <w:rPr>
          <w:noProof/>
          <w:lang w:val="en-GB"/>
        </w:rPr>
        <w:t xml:space="preserve">, </w:t>
      </w:r>
      <w:r w:rsidRPr="00B66E47">
        <w:rPr>
          <w:i/>
          <w:iCs/>
          <w:noProof/>
          <w:lang w:val="en-GB"/>
        </w:rPr>
        <w:t>27</w:t>
      </w:r>
      <w:r w:rsidRPr="00B66E47">
        <w:rPr>
          <w:noProof/>
          <w:lang w:val="en-GB"/>
        </w:rPr>
        <w:t xml:space="preserve">(4), 530–547. </w:t>
      </w:r>
      <w:hyperlink r:id="rId124" w:history="1">
        <w:r w:rsidRPr="00B66E47">
          <w:rPr>
            <w:rStyle w:val="Hyperlink"/>
            <w:noProof/>
            <w:lang w:val="en-GB"/>
          </w:rPr>
          <w:t>https://doi.org/10.1111/1748-8583.12154</w:t>
        </w:r>
      </w:hyperlink>
    </w:p>
    <w:p w14:paraId="12F4574B" w14:textId="77777777" w:rsidR="00B66E47" w:rsidRPr="00B66E47" w:rsidRDefault="00B66E47" w:rsidP="00B66E47">
      <w:pPr>
        <w:pStyle w:val="EndNoteBibliography"/>
        <w:rPr>
          <w:noProof/>
          <w:lang w:val="en-GB"/>
        </w:rPr>
      </w:pPr>
      <w:r w:rsidRPr="00B66E47">
        <w:rPr>
          <w:noProof/>
          <w:lang w:val="en-GB"/>
        </w:rPr>
        <w:t>Introduction to Digital in Demand and Business Talent Compacts. (n.d.).</w:t>
      </w:r>
    </w:p>
    <w:p w14:paraId="42C588E0" w14:textId="77777777" w:rsidR="00B66E47" w:rsidRPr="00B66E47" w:rsidRDefault="00B66E47" w:rsidP="00B66E47">
      <w:pPr>
        <w:pStyle w:val="EndNoteBibliography"/>
        <w:rPr>
          <w:noProof/>
          <w:lang w:val="en-GB"/>
        </w:rPr>
      </w:pPr>
      <w:r w:rsidRPr="00B66E47">
        <w:rPr>
          <w:noProof/>
          <w:lang w:val="en-GB"/>
        </w:rPr>
        <w:t xml:space="preserve">Irwin, P. (2008). Competencies and employer engagement. </w:t>
      </w:r>
      <w:r w:rsidRPr="00B66E47">
        <w:rPr>
          <w:i/>
          <w:iCs/>
          <w:noProof/>
          <w:lang w:val="en-GB"/>
        </w:rPr>
        <w:t>Asia Pacific Education Review</w:t>
      </w:r>
      <w:r w:rsidRPr="00B66E47">
        <w:rPr>
          <w:noProof/>
          <w:lang w:val="en-GB"/>
        </w:rPr>
        <w:t xml:space="preserve">, </w:t>
      </w:r>
      <w:r w:rsidRPr="00B66E47">
        <w:rPr>
          <w:i/>
          <w:iCs/>
          <w:noProof/>
          <w:lang w:val="en-GB"/>
        </w:rPr>
        <w:t>9</w:t>
      </w:r>
      <w:r w:rsidRPr="00B66E47">
        <w:rPr>
          <w:noProof/>
          <w:lang w:val="en-GB"/>
        </w:rPr>
        <w:t xml:space="preserve">(1), 63–69. </w:t>
      </w:r>
      <w:hyperlink r:id="rId125" w:history="1">
        <w:r w:rsidRPr="00B66E47">
          <w:rPr>
            <w:rStyle w:val="Hyperlink"/>
            <w:noProof/>
            <w:lang w:val="en-GB"/>
          </w:rPr>
          <w:t>https://doi.org/10.1007/BF03025826</w:t>
        </w:r>
      </w:hyperlink>
    </w:p>
    <w:p w14:paraId="2F20CECB" w14:textId="77777777" w:rsidR="00B66E47" w:rsidRPr="00B66E47" w:rsidRDefault="00B66E47" w:rsidP="00B66E47">
      <w:pPr>
        <w:pStyle w:val="EndNoteBibliography"/>
        <w:rPr>
          <w:noProof/>
          <w:lang w:val="en-GB"/>
        </w:rPr>
      </w:pPr>
      <w:r w:rsidRPr="00B66E47">
        <w:rPr>
          <w:noProof/>
          <w:lang w:val="en-GB"/>
        </w:rPr>
        <w:t xml:space="preserve">Jammaers, E., &amp; Zanoni, P. (2021). The Identity Regulation of Disabled Employees: Unveiling the ‘varieties of ableism’ in employers’ socio-ideological control. </w:t>
      </w:r>
      <w:r w:rsidRPr="00B66E47">
        <w:rPr>
          <w:i/>
          <w:iCs/>
          <w:noProof/>
          <w:lang w:val="en-GB"/>
        </w:rPr>
        <w:t>Organization Studies</w:t>
      </w:r>
      <w:r w:rsidRPr="00B66E47">
        <w:rPr>
          <w:noProof/>
          <w:lang w:val="en-GB"/>
        </w:rPr>
        <w:t xml:space="preserve">, </w:t>
      </w:r>
      <w:r w:rsidRPr="00B66E47">
        <w:rPr>
          <w:i/>
          <w:iCs/>
          <w:noProof/>
          <w:lang w:val="en-GB"/>
        </w:rPr>
        <w:t>42</w:t>
      </w:r>
      <w:r w:rsidRPr="00B66E47">
        <w:rPr>
          <w:noProof/>
          <w:lang w:val="en-GB"/>
        </w:rPr>
        <w:t xml:space="preserve">(3), 429–452. (148906327). </w:t>
      </w:r>
      <w:hyperlink r:id="rId126" w:history="1">
        <w:r w:rsidRPr="00B66E47">
          <w:rPr>
            <w:rStyle w:val="Hyperlink"/>
            <w:noProof/>
            <w:lang w:val="en-GB"/>
          </w:rPr>
          <w:t>https://doi.org/10.1177/0170840619900292</w:t>
        </w:r>
      </w:hyperlink>
    </w:p>
    <w:p w14:paraId="18AA1E49" w14:textId="77777777" w:rsidR="00B66E47" w:rsidRPr="00B66E47" w:rsidRDefault="00B66E47" w:rsidP="00B66E47">
      <w:pPr>
        <w:pStyle w:val="EndNoteBibliography"/>
        <w:rPr>
          <w:noProof/>
          <w:lang w:val="en-GB"/>
        </w:rPr>
      </w:pPr>
      <w:r w:rsidRPr="00B66E47">
        <w:rPr>
          <w:noProof/>
          <w:lang w:val="en-GB"/>
        </w:rPr>
        <w:t>Jo Ingold. (n.d.-a). The Meso Level: Programmes and Actors.</w:t>
      </w:r>
    </w:p>
    <w:p w14:paraId="51589682" w14:textId="77777777" w:rsidR="00B66E47" w:rsidRPr="00B66E47" w:rsidRDefault="00B66E47" w:rsidP="00B66E47">
      <w:pPr>
        <w:pStyle w:val="EndNoteBibliography"/>
        <w:rPr>
          <w:noProof/>
          <w:lang w:val="en-GB"/>
        </w:rPr>
      </w:pPr>
      <w:r w:rsidRPr="00B66E47">
        <w:rPr>
          <w:noProof/>
          <w:lang w:val="en-GB"/>
        </w:rPr>
        <w:t>Jo Ingold. (n.d.-b). The Micro Level: Workplaces and Their Contexts.</w:t>
      </w:r>
    </w:p>
    <w:p w14:paraId="4E92D7B6" w14:textId="77777777" w:rsidR="00B66E47" w:rsidRPr="00B66E47" w:rsidRDefault="00B66E47" w:rsidP="00B66E47">
      <w:pPr>
        <w:pStyle w:val="EndNoteBibliography"/>
        <w:rPr>
          <w:noProof/>
          <w:lang w:val="en-GB"/>
        </w:rPr>
      </w:pPr>
      <w:r w:rsidRPr="00B66E47">
        <w:rPr>
          <w:noProof/>
          <w:lang w:val="en-GB"/>
        </w:rPr>
        <w:lastRenderedPageBreak/>
        <w:t>Jo Ingold. (n.d.-c). Varieties of Policy Approaches to Employer Engagement in Activation Policies.</w:t>
      </w:r>
    </w:p>
    <w:p w14:paraId="726A3CD4" w14:textId="77777777" w:rsidR="00B66E47" w:rsidRPr="00B66E47" w:rsidRDefault="00B66E47" w:rsidP="00B66E47">
      <w:pPr>
        <w:pStyle w:val="EndNoteBibliography"/>
        <w:rPr>
          <w:noProof/>
          <w:lang w:val="en-GB"/>
        </w:rPr>
      </w:pPr>
      <w:r w:rsidRPr="00B66E47">
        <w:rPr>
          <w:noProof/>
          <w:lang w:val="en-GB"/>
        </w:rPr>
        <w:t xml:space="preserve">Jo Ingold. (2020). Employers’ perspectives on benefit conditionality in the UK and Denmark. </w:t>
      </w:r>
      <w:r w:rsidRPr="00B66E47">
        <w:rPr>
          <w:i/>
          <w:iCs/>
          <w:noProof/>
          <w:lang w:val="en-GB"/>
        </w:rPr>
        <w:t>Soc Policy Adm</w:t>
      </w:r>
      <w:r w:rsidRPr="00B66E47">
        <w:rPr>
          <w:noProof/>
          <w:lang w:val="en-GB"/>
        </w:rPr>
        <w:t xml:space="preserve">, </w:t>
      </w:r>
      <w:r w:rsidRPr="00B66E47">
        <w:rPr>
          <w:i/>
          <w:iCs/>
          <w:noProof/>
          <w:lang w:val="en-GB"/>
        </w:rPr>
        <w:t>54</w:t>
      </w:r>
      <w:r w:rsidRPr="00B66E47">
        <w:rPr>
          <w:noProof/>
          <w:lang w:val="en-GB"/>
        </w:rPr>
        <w:t xml:space="preserve">(2), 236–249. </w:t>
      </w:r>
      <w:hyperlink r:id="rId127" w:history="1">
        <w:r w:rsidRPr="00B66E47">
          <w:rPr>
            <w:rStyle w:val="Hyperlink"/>
            <w:noProof/>
            <w:lang w:val="en-GB"/>
          </w:rPr>
          <w:t>https://doi.org/10.1111/spol.12552</w:t>
        </w:r>
      </w:hyperlink>
    </w:p>
    <w:p w14:paraId="70AC7771" w14:textId="77777777" w:rsidR="00B66E47" w:rsidRPr="00B66E47" w:rsidRDefault="00B66E47" w:rsidP="00B66E47">
      <w:pPr>
        <w:pStyle w:val="EndNoteBibliography"/>
        <w:rPr>
          <w:noProof/>
          <w:lang w:val="en-GB"/>
        </w:rPr>
      </w:pPr>
      <w:r w:rsidRPr="00B66E47">
        <w:rPr>
          <w:noProof/>
          <w:lang w:val="en-GB"/>
        </w:rPr>
        <w:t>Jo Ingold. (2024). WELFARE POLICY  The Role of Social Protection and Active Labour Market Programmes in the Future of Work.</w:t>
      </w:r>
    </w:p>
    <w:p w14:paraId="236F0F95" w14:textId="77777777" w:rsidR="00B66E47" w:rsidRPr="00B66E47" w:rsidRDefault="00B66E47" w:rsidP="00B66E47">
      <w:pPr>
        <w:pStyle w:val="EndNoteBibliography"/>
        <w:rPr>
          <w:noProof/>
          <w:lang w:val="en-GB"/>
        </w:rPr>
      </w:pPr>
      <w:r w:rsidRPr="00B66E47">
        <w:rPr>
          <w:noProof/>
          <w:lang w:val="en-GB"/>
        </w:rPr>
        <w:t>Job Access Survey report The impact of workplace adjustments, two years on. (n.d.).</w:t>
      </w:r>
    </w:p>
    <w:p w14:paraId="76B57F66" w14:textId="77777777" w:rsidR="00B66E47" w:rsidRPr="00B66E47" w:rsidRDefault="00B66E47" w:rsidP="00B66E47">
      <w:pPr>
        <w:pStyle w:val="EndNoteBibliography"/>
        <w:rPr>
          <w:noProof/>
          <w:lang w:val="en-GB"/>
        </w:rPr>
      </w:pPr>
      <w:r w:rsidRPr="00B66E47">
        <w:rPr>
          <w:noProof/>
          <w:lang w:val="en-GB"/>
        </w:rPr>
        <w:t>JobAccess Communication and language cheat sheet. (n.d.).</w:t>
      </w:r>
    </w:p>
    <w:p w14:paraId="2BE555B5" w14:textId="77777777" w:rsidR="00B66E47" w:rsidRPr="00B66E47" w:rsidRDefault="00B66E47" w:rsidP="00B66E47">
      <w:pPr>
        <w:pStyle w:val="EndNoteBibliography"/>
        <w:rPr>
          <w:noProof/>
          <w:lang w:val="en-GB"/>
        </w:rPr>
      </w:pPr>
      <w:r w:rsidRPr="00B66E47">
        <w:rPr>
          <w:noProof/>
          <w:lang w:val="en-GB"/>
        </w:rPr>
        <w:t>JobAccess FAQs. (n.d.).</w:t>
      </w:r>
    </w:p>
    <w:p w14:paraId="1815B894" w14:textId="77777777" w:rsidR="00B66E47" w:rsidRPr="00B66E47" w:rsidRDefault="00B66E47" w:rsidP="00B66E47">
      <w:pPr>
        <w:pStyle w:val="EndNoteBibliography"/>
        <w:rPr>
          <w:noProof/>
          <w:lang w:val="en-GB"/>
        </w:rPr>
      </w:pPr>
      <w:r w:rsidRPr="00B66E47">
        <w:rPr>
          <w:noProof/>
          <w:lang w:val="en-GB"/>
        </w:rPr>
        <w:t>JobAccess—Reasonable adjustment. (n.d.).</w:t>
      </w:r>
    </w:p>
    <w:p w14:paraId="1456C59C" w14:textId="77777777" w:rsidR="00B66E47" w:rsidRPr="00B66E47" w:rsidRDefault="00B66E47" w:rsidP="00B66E47">
      <w:pPr>
        <w:pStyle w:val="EndNoteBibliography"/>
        <w:rPr>
          <w:noProof/>
          <w:lang w:val="en-GB"/>
        </w:rPr>
      </w:pPr>
      <w:r w:rsidRPr="00B66E47">
        <w:rPr>
          <w:noProof/>
          <w:lang w:val="en-GB"/>
        </w:rPr>
        <w:t>JobAccess—Workplace adjustment passport. (n.d.).</w:t>
      </w:r>
    </w:p>
    <w:p w14:paraId="5FE79BDB" w14:textId="77777777" w:rsidR="00B66E47" w:rsidRPr="00B66E47" w:rsidRDefault="00B66E47" w:rsidP="00B66E47">
      <w:pPr>
        <w:pStyle w:val="EndNoteBibliography"/>
        <w:rPr>
          <w:noProof/>
          <w:lang w:val="en-GB"/>
        </w:rPr>
      </w:pPr>
      <w:r w:rsidRPr="00B66E47">
        <w:rPr>
          <w:noProof/>
          <w:lang w:val="en-GB"/>
        </w:rPr>
        <w:t xml:space="preserve">Kang, D. (2013). Why would companies not employ people with disabilities in Korea? </w:t>
      </w:r>
      <w:r w:rsidRPr="00B66E47">
        <w:rPr>
          <w:i/>
          <w:iCs/>
          <w:noProof/>
          <w:lang w:val="en-GB"/>
        </w:rPr>
        <w:t>Asia Pacific Journal of Social Work and Development</w:t>
      </w:r>
      <w:r w:rsidRPr="00B66E47">
        <w:rPr>
          <w:noProof/>
          <w:lang w:val="en-GB"/>
        </w:rPr>
        <w:t xml:space="preserve">, </w:t>
      </w:r>
      <w:r w:rsidRPr="00B66E47">
        <w:rPr>
          <w:i/>
          <w:iCs/>
          <w:noProof/>
          <w:lang w:val="en-GB"/>
        </w:rPr>
        <w:t>23</w:t>
      </w:r>
      <w:r w:rsidRPr="00B66E47">
        <w:rPr>
          <w:noProof/>
          <w:lang w:val="en-GB"/>
        </w:rPr>
        <w:t xml:space="preserve">(3), 222–229. </w:t>
      </w:r>
      <w:hyperlink r:id="rId128" w:history="1">
        <w:r w:rsidRPr="00B66E47">
          <w:rPr>
            <w:rStyle w:val="Hyperlink"/>
            <w:noProof/>
            <w:lang w:val="en-GB"/>
          </w:rPr>
          <w:t>https://doi.org/10.1080/02185385.2013.818202</w:t>
        </w:r>
      </w:hyperlink>
    </w:p>
    <w:p w14:paraId="53530483" w14:textId="77777777" w:rsidR="00B66E47" w:rsidRPr="00B66E47" w:rsidRDefault="00B66E47" w:rsidP="00B66E47">
      <w:pPr>
        <w:pStyle w:val="EndNoteBibliography"/>
        <w:rPr>
          <w:noProof/>
          <w:lang w:val="en-GB"/>
        </w:rPr>
      </w:pPr>
      <w:r w:rsidRPr="00B66E47">
        <w:rPr>
          <w:noProof/>
          <w:lang w:val="en-GB"/>
        </w:rPr>
        <w:t xml:space="preserve">Kersten, A., van Woerkom, M., Geuskens, G. A., &amp; Blonk, R. W. B. (2024). Correction: Organisational policies and practices for the inclusion of vulnerable workers: A scoping review of the employer’s perspective. </w:t>
      </w:r>
      <w:r w:rsidRPr="00B66E47">
        <w:rPr>
          <w:i/>
          <w:iCs/>
          <w:noProof/>
          <w:lang w:val="en-GB"/>
        </w:rPr>
        <w:t>Journal of Occupational Rehabilitation</w:t>
      </w:r>
      <w:r w:rsidRPr="00B66E47">
        <w:rPr>
          <w:noProof/>
          <w:lang w:val="en-GB"/>
        </w:rPr>
        <w:t xml:space="preserve">, </w:t>
      </w:r>
      <w:r w:rsidRPr="00B66E47">
        <w:rPr>
          <w:i/>
          <w:iCs/>
          <w:noProof/>
          <w:lang w:val="en-GB"/>
        </w:rPr>
        <w:t>34</w:t>
      </w:r>
      <w:r w:rsidRPr="00B66E47">
        <w:rPr>
          <w:noProof/>
          <w:lang w:val="en-GB"/>
        </w:rPr>
        <w:t xml:space="preserve">(4), 925–925. (2025-44914-017). </w:t>
      </w:r>
      <w:hyperlink r:id="rId129" w:history="1">
        <w:r w:rsidRPr="00B66E47">
          <w:rPr>
            <w:rStyle w:val="Hyperlink"/>
            <w:noProof/>
            <w:lang w:val="en-GB"/>
          </w:rPr>
          <w:t>https://doi.org/10.1007/s10926-024-10242-7</w:t>
        </w:r>
      </w:hyperlink>
    </w:p>
    <w:p w14:paraId="32E0FB45" w14:textId="77777777" w:rsidR="00B66E47" w:rsidRPr="00B66E47" w:rsidRDefault="00B66E47" w:rsidP="00B66E47">
      <w:pPr>
        <w:pStyle w:val="EndNoteBibliography"/>
        <w:rPr>
          <w:noProof/>
          <w:lang w:val="en-GB"/>
        </w:rPr>
      </w:pPr>
      <w:r w:rsidRPr="00B66E47">
        <w:rPr>
          <w:noProof/>
          <w:lang w:val="en-GB"/>
        </w:rPr>
        <w:t xml:space="preserve">Kersten A., van Woerkom M., Geuskens G.A., &amp; Blonk R.W.B. (2023). Organisational Policies and Practices for the Inclusion of Vulnerable Workers: A Scoping Review of the Employer’s Perspective. </w:t>
      </w:r>
      <w:r w:rsidRPr="00B66E47">
        <w:rPr>
          <w:i/>
          <w:iCs/>
          <w:noProof/>
          <w:lang w:val="en-GB"/>
        </w:rPr>
        <w:t>Journal of Occupational Rehabilitation</w:t>
      </w:r>
      <w:r w:rsidRPr="00B66E47">
        <w:rPr>
          <w:noProof/>
          <w:lang w:val="en-GB"/>
        </w:rPr>
        <w:t xml:space="preserve">, </w:t>
      </w:r>
      <w:r w:rsidRPr="00B66E47">
        <w:rPr>
          <w:i/>
          <w:iCs/>
          <w:noProof/>
          <w:lang w:val="en-GB"/>
        </w:rPr>
        <w:t>33</w:t>
      </w:r>
      <w:r w:rsidRPr="00B66E47">
        <w:rPr>
          <w:noProof/>
          <w:lang w:val="en-GB"/>
        </w:rPr>
        <w:t xml:space="preserve">(2), 245–266. (638985605). </w:t>
      </w:r>
      <w:hyperlink r:id="rId130" w:history="1">
        <w:r w:rsidRPr="00B66E47">
          <w:rPr>
            <w:rStyle w:val="Hyperlink"/>
            <w:noProof/>
            <w:lang w:val="en-GB"/>
          </w:rPr>
          <w:t>https://doi.org/10.1007/s10926-022-10067-2</w:t>
        </w:r>
      </w:hyperlink>
    </w:p>
    <w:p w14:paraId="7C144C32" w14:textId="77777777" w:rsidR="00B66E47" w:rsidRPr="00B66E47" w:rsidRDefault="00B66E47" w:rsidP="00B66E47">
      <w:pPr>
        <w:pStyle w:val="EndNoteBibliography"/>
        <w:rPr>
          <w:noProof/>
          <w:lang w:val="en-GB"/>
        </w:rPr>
      </w:pPr>
      <w:r w:rsidRPr="00B66E47">
        <w:rPr>
          <w:noProof/>
          <w:lang w:val="en-GB"/>
        </w:rPr>
        <w:t xml:space="preserve">Kersten A., van Woerkom M., Geuskens G.A., &amp; Blonk R.W.B. (2025). The Relationship Between Strategic Human Resource Management Practices and the Employment of Vulnerable Workers: A Two-Wave Study Among Employers. </w:t>
      </w:r>
      <w:r w:rsidRPr="00B66E47">
        <w:rPr>
          <w:i/>
          <w:iCs/>
          <w:noProof/>
          <w:lang w:val="en-GB"/>
        </w:rPr>
        <w:t>Journal of Occupational Rehabilitation</w:t>
      </w:r>
      <w:r w:rsidRPr="00B66E47">
        <w:rPr>
          <w:noProof/>
          <w:lang w:val="en-GB"/>
        </w:rPr>
        <w:t xml:space="preserve">, </w:t>
      </w:r>
      <w:r w:rsidRPr="00B66E47">
        <w:rPr>
          <w:i/>
          <w:iCs/>
          <w:noProof/>
          <w:lang w:val="en-GB"/>
        </w:rPr>
        <w:t>35</w:t>
      </w:r>
      <w:r w:rsidRPr="00B66E47">
        <w:rPr>
          <w:noProof/>
          <w:lang w:val="en-GB"/>
        </w:rPr>
        <w:t xml:space="preserve">(2), 294–305. (644168995). </w:t>
      </w:r>
      <w:hyperlink r:id="rId131" w:history="1">
        <w:r w:rsidRPr="00B66E47">
          <w:rPr>
            <w:rStyle w:val="Hyperlink"/>
            <w:noProof/>
            <w:lang w:val="en-GB"/>
          </w:rPr>
          <w:t>https://doi.org/10.1007/s10926-024-10197-9</w:t>
        </w:r>
      </w:hyperlink>
    </w:p>
    <w:p w14:paraId="31BC1AF8" w14:textId="77777777" w:rsidR="00B66E47" w:rsidRPr="00B66E47" w:rsidRDefault="00B66E47" w:rsidP="00B66E47">
      <w:pPr>
        <w:pStyle w:val="EndNoteBibliography"/>
        <w:rPr>
          <w:noProof/>
          <w:lang w:val="en-GB"/>
        </w:rPr>
      </w:pPr>
      <w:r w:rsidRPr="00B66E47">
        <w:rPr>
          <w:noProof/>
          <w:lang w:val="en-GB"/>
        </w:rPr>
        <w:t xml:space="preserve">Khodakarami, F., Kuo, H. J., Narayanan, S., Piatt, J., Ealy, N., George, S., Hammond, B., Hickox, S., &amp; Sung, C. (2025). A Service Quality Lens in Examining the Dual-Customer Strategy of State Vocational Rehabilitation Agencies in the United States. In </w:t>
      </w:r>
      <w:r w:rsidRPr="00B66E47">
        <w:rPr>
          <w:i/>
          <w:iCs/>
          <w:noProof/>
          <w:lang w:val="en-GB"/>
        </w:rPr>
        <w:t>Springer Series in Supply Chain Management</w:t>
      </w:r>
      <w:r w:rsidRPr="00B66E47">
        <w:rPr>
          <w:noProof/>
          <w:lang w:val="en-GB"/>
        </w:rPr>
        <w:t xml:space="preserve"> (Vol. 25, pp. 349–368). </w:t>
      </w:r>
      <w:hyperlink r:id="rId132" w:history="1">
        <w:r w:rsidRPr="00B66E47">
          <w:rPr>
            <w:rStyle w:val="Hyperlink"/>
            <w:noProof/>
            <w:lang w:val="en-GB"/>
          </w:rPr>
          <w:t>https://doi.org/10.1007/978-3-031-74994-0_15</w:t>
        </w:r>
      </w:hyperlink>
    </w:p>
    <w:p w14:paraId="186358DD" w14:textId="77777777" w:rsidR="00B66E47" w:rsidRDefault="00B66E47" w:rsidP="00B66E47">
      <w:pPr>
        <w:pStyle w:val="EndNoteBibliography"/>
        <w:rPr>
          <w:noProof/>
        </w:rPr>
      </w:pPr>
      <w:r w:rsidRPr="00B66E47">
        <w:rPr>
          <w:noProof/>
          <w:lang w:val="en-GB"/>
        </w:rPr>
        <w:t xml:space="preserve">Kim, J. (2022). Diversity field officer service: An evaluation of an employer engagement strategy trialed in Geelong, Australia. </w:t>
      </w:r>
      <w:r w:rsidRPr="00B66E47">
        <w:rPr>
          <w:i/>
          <w:iCs/>
          <w:noProof/>
          <w:lang w:val="en-GB"/>
        </w:rPr>
        <w:t>JOURNAL OF VOCATIONAL REHABILITATION</w:t>
      </w:r>
      <w:r w:rsidRPr="00B66E47">
        <w:rPr>
          <w:noProof/>
          <w:lang w:val="en-GB"/>
        </w:rPr>
        <w:t xml:space="preserve">, </w:t>
      </w:r>
      <w:r w:rsidRPr="00B66E47">
        <w:rPr>
          <w:i/>
          <w:iCs/>
          <w:noProof/>
          <w:lang w:val="en-GB"/>
        </w:rPr>
        <w:t>57</w:t>
      </w:r>
      <w:r w:rsidRPr="00B66E47">
        <w:rPr>
          <w:noProof/>
          <w:lang w:val="en-GB"/>
        </w:rPr>
        <w:t xml:space="preserve">(3), 215–223. (WOS:000887969000002). </w:t>
      </w:r>
      <w:hyperlink r:id="rId133" w:history="1">
        <w:r w:rsidRPr="00B66E47">
          <w:rPr>
            <w:rStyle w:val="Hyperlink"/>
            <w:noProof/>
            <w:lang w:val="en-GB"/>
          </w:rPr>
          <w:t>https://doi.org/10.3233/JVR-221212</w:t>
        </w:r>
      </w:hyperlink>
    </w:p>
    <w:p w14:paraId="29957680" w14:textId="65EFE07E" w:rsidR="00376284" w:rsidRPr="00B66E47" w:rsidRDefault="00376284" w:rsidP="00B66E47">
      <w:pPr>
        <w:pStyle w:val="EndNoteBibliography"/>
        <w:rPr>
          <w:noProof/>
          <w:lang w:val="en-GB"/>
        </w:rPr>
      </w:pPr>
      <w:r w:rsidRPr="009D48BC">
        <w:rPr>
          <w:noProof/>
        </w:rPr>
        <w:t xml:space="preserve">Klerings, I., Robalino, S., Booth, A., Escobar-Liquitay, C. M., Sommer, I., Gartlehner, G., Devane, D., Waffenschmidt, S., &amp; Group, C. R. R. M. (2023). Rapid reviews </w:t>
      </w:r>
      <w:r w:rsidRPr="009D48BC">
        <w:rPr>
          <w:noProof/>
        </w:rPr>
        <w:lastRenderedPageBreak/>
        <w:t xml:space="preserve">methods series: guidance on literature search. </w:t>
      </w:r>
      <w:r w:rsidRPr="009D48BC">
        <w:rPr>
          <w:i/>
          <w:noProof/>
        </w:rPr>
        <w:t>BMJ Evidence-Based Medicine</w:t>
      </w:r>
      <w:r w:rsidRPr="009D48BC">
        <w:rPr>
          <w:noProof/>
        </w:rPr>
        <w:t>,</w:t>
      </w:r>
      <w:r w:rsidRPr="009D48BC">
        <w:rPr>
          <w:i/>
          <w:noProof/>
        </w:rPr>
        <w:t xml:space="preserve"> 28</w:t>
      </w:r>
      <w:r w:rsidRPr="009D48BC">
        <w:rPr>
          <w:noProof/>
        </w:rPr>
        <w:t xml:space="preserve">(6), 412-417. </w:t>
      </w:r>
      <w:r w:rsidRPr="009D48BC">
        <w:rPr>
          <w:rStyle w:val="Hyperlink"/>
        </w:rPr>
        <w:t>https://doi.org/10.1136/bmjebm-2022-112079</w:t>
      </w:r>
    </w:p>
    <w:p w14:paraId="3654D5AD" w14:textId="77777777" w:rsidR="00B66E47" w:rsidRPr="00B66E47" w:rsidRDefault="00B66E47" w:rsidP="00B66E47">
      <w:pPr>
        <w:pStyle w:val="EndNoteBibliography"/>
        <w:rPr>
          <w:noProof/>
          <w:lang w:val="en-GB"/>
        </w:rPr>
      </w:pPr>
      <w:r w:rsidRPr="00B66E47">
        <w:rPr>
          <w:noProof/>
          <w:lang w:val="en-GB"/>
        </w:rPr>
        <w:t xml:space="preserve">Komesaroff, F., Monson-Wilbraham, L., DeLiseo, M., &amp; Clarke, K. (2025). </w:t>
      </w:r>
      <w:r w:rsidRPr="00B66E47">
        <w:rPr>
          <w:i/>
          <w:iCs/>
          <w:noProof/>
          <w:lang w:val="en-GB"/>
        </w:rPr>
        <w:t>Community Investment Committee Practice Guide</w:t>
      </w:r>
      <w:r w:rsidRPr="00B66E47">
        <w:rPr>
          <w:noProof/>
          <w:lang w:val="en-GB"/>
        </w:rPr>
        <w:t>.</w:t>
      </w:r>
    </w:p>
    <w:p w14:paraId="6F961AF2" w14:textId="77777777" w:rsidR="00B66E47" w:rsidRPr="00B66E47" w:rsidRDefault="00B66E47" w:rsidP="00B66E47">
      <w:pPr>
        <w:pStyle w:val="EndNoteBibliography"/>
        <w:rPr>
          <w:noProof/>
          <w:lang w:val="en-GB"/>
        </w:rPr>
      </w:pPr>
      <w:r w:rsidRPr="00B66E47">
        <w:rPr>
          <w:noProof/>
          <w:lang w:val="en-GB"/>
        </w:rPr>
        <w:t xml:space="preserve">Levine, S., Shapiro, D., Brown, C., &amp; Tenney, L. (2024). Employer Engagement Strategies to Promote and Add Evidence-Based Chronic Disease Prevention and Management Programs as a Covered Benefit. </w:t>
      </w:r>
      <w:r w:rsidRPr="00B66E47">
        <w:rPr>
          <w:i/>
          <w:iCs/>
          <w:noProof/>
          <w:lang w:val="en-GB"/>
        </w:rPr>
        <w:t>OCCUPATIONAL HEALTH SCIENCE</w:t>
      </w:r>
      <w:r w:rsidRPr="00B66E47">
        <w:rPr>
          <w:noProof/>
          <w:lang w:val="en-GB"/>
        </w:rPr>
        <w:t xml:space="preserve">, </w:t>
      </w:r>
      <w:r w:rsidRPr="00B66E47">
        <w:rPr>
          <w:i/>
          <w:iCs/>
          <w:noProof/>
          <w:lang w:val="en-GB"/>
        </w:rPr>
        <w:t>8</w:t>
      </w:r>
      <w:r w:rsidRPr="00B66E47">
        <w:rPr>
          <w:noProof/>
          <w:lang w:val="en-GB"/>
        </w:rPr>
        <w:t xml:space="preserve">(2), 365–382. (WOS:001194841300001). </w:t>
      </w:r>
      <w:hyperlink r:id="rId134" w:history="1">
        <w:r w:rsidRPr="00B66E47">
          <w:rPr>
            <w:rStyle w:val="Hyperlink"/>
            <w:noProof/>
            <w:lang w:val="en-GB"/>
          </w:rPr>
          <w:t>https://doi.org/10.1007/s41542-024-00185-z</w:t>
        </w:r>
      </w:hyperlink>
    </w:p>
    <w:p w14:paraId="6C94B298" w14:textId="77777777" w:rsidR="00B66E47" w:rsidRPr="00B66E47" w:rsidRDefault="00B66E47" w:rsidP="00B66E47">
      <w:pPr>
        <w:pStyle w:val="EndNoteBibliography"/>
        <w:rPr>
          <w:noProof/>
          <w:lang w:val="en-GB"/>
        </w:rPr>
      </w:pPr>
      <w:r w:rsidRPr="00B66E47">
        <w:rPr>
          <w:noProof/>
          <w:lang w:val="en-GB"/>
        </w:rPr>
        <w:t xml:space="preserve">Lewis, R. L. (2022). Employment practices that sustain the competitive employment for individuals with intellectual disabilities: Employers’ perceptions. (Issues 9-A) [ProQuest Information &amp; Learning]. (2022-56502-074). </w:t>
      </w:r>
      <w:hyperlink r:id="rId135" w:history="1">
        <w:r w:rsidRPr="00B66E47">
          <w:rPr>
            <w:rStyle w:val="Hyperlink"/>
            <w:noProof/>
            <w:lang w:val="en-GB"/>
          </w:rPr>
          <w:t>https://research.ebsco.com/plink/eba0f98c-1300-32a0-8d18-ec22280e3964</w:t>
        </w:r>
      </w:hyperlink>
    </w:p>
    <w:p w14:paraId="1F9454A7" w14:textId="77777777" w:rsidR="00B66E47" w:rsidRDefault="00B66E47" w:rsidP="00B66E47">
      <w:pPr>
        <w:pStyle w:val="EndNoteBibliography"/>
        <w:rPr>
          <w:noProof/>
          <w:lang w:val="en-GB"/>
        </w:rPr>
      </w:pPr>
      <w:r w:rsidRPr="00B66E47">
        <w:rPr>
          <w:noProof/>
          <w:lang w:val="en-GB"/>
        </w:rPr>
        <w:t xml:space="preserve">Luecking, R. G., Cuozzo, L., &amp; Buchanan, L. (2006). Demand-side Workforce Needs and the Potential for Job Customization. </w:t>
      </w:r>
      <w:r w:rsidRPr="00B66E47">
        <w:rPr>
          <w:i/>
          <w:iCs/>
          <w:noProof/>
          <w:lang w:val="en-GB"/>
        </w:rPr>
        <w:t>Journal of Applied Rehabilitation Counseling</w:t>
      </w:r>
      <w:r w:rsidRPr="00B66E47">
        <w:rPr>
          <w:noProof/>
          <w:lang w:val="en-GB"/>
        </w:rPr>
        <w:t xml:space="preserve">, </w:t>
      </w:r>
      <w:r w:rsidRPr="00B66E47">
        <w:rPr>
          <w:i/>
          <w:iCs/>
          <w:noProof/>
          <w:lang w:val="en-GB"/>
        </w:rPr>
        <w:t>37</w:t>
      </w:r>
      <w:r w:rsidRPr="00B66E47">
        <w:rPr>
          <w:noProof/>
          <w:lang w:val="en-GB"/>
        </w:rPr>
        <w:t>(4), 5–13. (2007-00812-002).</w:t>
      </w:r>
    </w:p>
    <w:p w14:paraId="27D8298C" w14:textId="2ABEBA26" w:rsidR="00376284" w:rsidRPr="00B66E47" w:rsidRDefault="00376284" w:rsidP="00B66E47">
      <w:pPr>
        <w:pStyle w:val="EndNoteBibliography"/>
        <w:rPr>
          <w:noProof/>
          <w:lang w:val="en-GB"/>
        </w:rPr>
      </w:pPr>
      <w:r w:rsidRPr="009D48BC">
        <w:rPr>
          <w:noProof/>
        </w:rPr>
        <w:t xml:space="preserve">MacPherson, M. M., Wang, R. H., Smith, E. M., Sithamparanathan, G., Sadiq, C. A., &amp; Braunizer, A. R. (2023). Rapid reviews to support practice: a guide for professional organization practice networks. </w:t>
      </w:r>
      <w:r w:rsidRPr="009D48BC">
        <w:rPr>
          <w:i/>
          <w:noProof/>
        </w:rPr>
        <w:t>Canadian Journal of Occupational Therapy</w:t>
      </w:r>
      <w:r w:rsidRPr="009D48BC">
        <w:rPr>
          <w:noProof/>
        </w:rPr>
        <w:t>,</w:t>
      </w:r>
      <w:r w:rsidRPr="009D48BC">
        <w:rPr>
          <w:i/>
          <w:noProof/>
        </w:rPr>
        <w:t xml:space="preserve"> 90</w:t>
      </w:r>
      <w:r w:rsidRPr="009D48BC">
        <w:rPr>
          <w:noProof/>
        </w:rPr>
        <w:t xml:space="preserve">(3), 269-279. </w:t>
      </w:r>
      <w:r w:rsidRPr="009D48BC">
        <w:rPr>
          <w:rStyle w:val="Hyperlink"/>
        </w:rPr>
        <w:t>https://doi.org/https://doi.org/10.1177/00084174221123721</w:t>
      </w:r>
    </w:p>
    <w:p w14:paraId="18803FA5" w14:textId="77777777" w:rsidR="00B66E47" w:rsidRPr="00B66E47" w:rsidRDefault="00B66E47" w:rsidP="00B66E47">
      <w:pPr>
        <w:pStyle w:val="EndNoteBibliography"/>
        <w:rPr>
          <w:noProof/>
          <w:lang w:val="en-GB"/>
        </w:rPr>
      </w:pPr>
      <w:r w:rsidRPr="00B66E47">
        <w:rPr>
          <w:noProof/>
          <w:lang w:val="en-GB"/>
        </w:rPr>
        <w:t xml:space="preserve">Main, C. J., Shaw, W. S., &amp; The Hopkinton Conference Working Group on Workplace Disability Prevention. (2016). Employer policies and practices to manage and prevent disability: Conclusion to the special issue. </w:t>
      </w:r>
      <w:r w:rsidRPr="00B66E47">
        <w:rPr>
          <w:i/>
          <w:iCs/>
          <w:noProof/>
          <w:lang w:val="en-GB"/>
        </w:rPr>
        <w:t>Journal of Occupational Rehabilitation</w:t>
      </w:r>
      <w:r w:rsidRPr="00B66E47">
        <w:rPr>
          <w:noProof/>
          <w:lang w:val="en-GB"/>
        </w:rPr>
        <w:t xml:space="preserve">, </w:t>
      </w:r>
      <w:r w:rsidRPr="00B66E47">
        <w:rPr>
          <w:i/>
          <w:iCs/>
          <w:noProof/>
          <w:lang w:val="en-GB"/>
        </w:rPr>
        <w:t>26</w:t>
      </w:r>
      <w:r w:rsidRPr="00B66E47">
        <w:rPr>
          <w:noProof/>
          <w:lang w:val="en-GB"/>
        </w:rPr>
        <w:t xml:space="preserve">(4), 490–498. (2016-55119-009). </w:t>
      </w:r>
      <w:hyperlink r:id="rId136" w:history="1">
        <w:r w:rsidRPr="00B66E47">
          <w:rPr>
            <w:rStyle w:val="Hyperlink"/>
            <w:noProof/>
            <w:lang w:val="en-GB"/>
          </w:rPr>
          <w:t>https://doi.org/10.1007/s10926-016-9655-0</w:t>
        </w:r>
      </w:hyperlink>
    </w:p>
    <w:p w14:paraId="0B166088" w14:textId="77777777" w:rsidR="00B66E47" w:rsidRPr="00B66E47" w:rsidRDefault="00B66E47" w:rsidP="00B66E47">
      <w:pPr>
        <w:pStyle w:val="EndNoteBibliography"/>
        <w:rPr>
          <w:noProof/>
          <w:lang w:val="en-GB"/>
        </w:rPr>
      </w:pPr>
      <w:r w:rsidRPr="00B66E47">
        <w:rPr>
          <w:noProof/>
          <w:lang w:val="en-GB"/>
        </w:rPr>
        <w:t xml:space="preserve">Main C.J. &amp; Shaw W.S. (2016). Employer Policies and Practices to Manage and Prevent Disability: Conclusion to the Special Issue. </w:t>
      </w:r>
      <w:r w:rsidRPr="00B66E47">
        <w:rPr>
          <w:i/>
          <w:iCs/>
          <w:noProof/>
          <w:lang w:val="en-GB"/>
        </w:rPr>
        <w:t>Journal of Occupational Rehabilitation</w:t>
      </w:r>
      <w:r w:rsidRPr="00B66E47">
        <w:rPr>
          <w:noProof/>
          <w:lang w:val="en-GB"/>
        </w:rPr>
        <w:t xml:space="preserve">, </w:t>
      </w:r>
      <w:r w:rsidRPr="00B66E47">
        <w:rPr>
          <w:i/>
          <w:iCs/>
          <w:noProof/>
          <w:lang w:val="en-GB"/>
        </w:rPr>
        <w:t>26</w:t>
      </w:r>
      <w:r w:rsidRPr="00B66E47">
        <w:rPr>
          <w:noProof/>
          <w:lang w:val="en-GB"/>
        </w:rPr>
        <w:t>(4), 490–498. (620419310).</w:t>
      </w:r>
    </w:p>
    <w:p w14:paraId="7481EEBC" w14:textId="77777777" w:rsidR="00B66E47" w:rsidRPr="00B66E47" w:rsidRDefault="00B66E47" w:rsidP="00B66E47">
      <w:pPr>
        <w:pStyle w:val="EndNoteBibliography"/>
        <w:rPr>
          <w:noProof/>
          <w:lang w:val="en-GB"/>
        </w:rPr>
      </w:pPr>
      <w:r w:rsidRPr="00B66E47">
        <w:rPr>
          <w:noProof/>
          <w:lang w:val="en-GB"/>
        </w:rPr>
        <w:t xml:space="preserve">McDonnall, M. (2017). Working With Business: Counselor Expectations, Actions, and Challenges. </w:t>
      </w:r>
      <w:r w:rsidRPr="00B66E47">
        <w:rPr>
          <w:i/>
          <w:iCs/>
          <w:noProof/>
          <w:lang w:val="en-GB"/>
        </w:rPr>
        <w:t>REHABILITATION RESEARCH POLICY AND EDUCATION</w:t>
      </w:r>
      <w:r w:rsidRPr="00B66E47">
        <w:rPr>
          <w:noProof/>
          <w:lang w:val="en-GB"/>
        </w:rPr>
        <w:t xml:space="preserve">, </w:t>
      </w:r>
      <w:r w:rsidRPr="00B66E47">
        <w:rPr>
          <w:i/>
          <w:iCs/>
          <w:noProof/>
          <w:lang w:val="en-GB"/>
        </w:rPr>
        <w:t>31</w:t>
      </w:r>
      <w:r w:rsidRPr="00B66E47">
        <w:rPr>
          <w:noProof/>
          <w:lang w:val="en-GB"/>
        </w:rPr>
        <w:t xml:space="preserve">(2), 135–145. (WOS:000443423700005). </w:t>
      </w:r>
      <w:hyperlink r:id="rId137" w:history="1">
        <w:r w:rsidRPr="00B66E47">
          <w:rPr>
            <w:rStyle w:val="Hyperlink"/>
            <w:noProof/>
            <w:lang w:val="en-GB"/>
          </w:rPr>
          <w:t>https://doi.org/10.1891/2168-6653.31.2.135</w:t>
        </w:r>
      </w:hyperlink>
    </w:p>
    <w:p w14:paraId="37B09E61" w14:textId="77777777" w:rsidR="00B66E47" w:rsidRPr="00B66E47" w:rsidRDefault="00B66E47" w:rsidP="00B66E47">
      <w:pPr>
        <w:pStyle w:val="EndNoteBibliography"/>
        <w:rPr>
          <w:noProof/>
          <w:lang w:val="en-GB"/>
        </w:rPr>
      </w:pPr>
      <w:r w:rsidRPr="00B66E47">
        <w:rPr>
          <w:noProof/>
          <w:lang w:val="en-GB"/>
        </w:rPr>
        <w:t xml:space="preserve">McDonnall, M. C., &amp; Antonelli, K. (2020). The Impact of a Brief Meeting on Employer Attitudes, Knowledge, and Intent to Hire. </w:t>
      </w:r>
      <w:r w:rsidRPr="00B66E47">
        <w:rPr>
          <w:i/>
          <w:iCs/>
          <w:noProof/>
          <w:lang w:val="en-GB"/>
        </w:rPr>
        <w:t>Rehabilitation Counseling Bulletin</w:t>
      </w:r>
      <w:r w:rsidRPr="00B66E47">
        <w:rPr>
          <w:noProof/>
          <w:lang w:val="en-GB"/>
        </w:rPr>
        <w:t xml:space="preserve">, </w:t>
      </w:r>
      <w:r w:rsidRPr="00B66E47">
        <w:rPr>
          <w:i/>
          <w:iCs/>
          <w:noProof/>
          <w:lang w:val="en-GB"/>
        </w:rPr>
        <w:t>63</w:t>
      </w:r>
      <w:r w:rsidRPr="00B66E47">
        <w:rPr>
          <w:noProof/>
          <w:lang w:val="en-GB"/>
        </w:rPr>
        <w:t xml:space="preserve">(3), 131–142. (142360531). </w:t>
      </w:r>
      <w:hyperlink r:id="rId138" w:history="1">
        <w:r w:rsidRPr="00B66E47">
          <w:rPr>
            <w:rStyle w:val="Hyperlink"/>
            <w:noProof/>
            <w:lang w:val="en-GB"/>
          </w:rPr>
          <w:t>https://doi.org/10.1177/0034355219889409</w:t>
        </w:r>
      </w:hyperlink>
    </w:p>
    <w:p w14:paraId="0DB8C14A" w14:textId="77777777" w:rsidR="00B66E47" w:rsidRPr="00B66E47" w:rsidRDefault="00B66E47" w:rsidP="00B66E47">
      <w:pPr>
        <w:pStyle w:val="EndNoteBibliography"/>
        <w:rPr>
          <w:noProof/>
          <w:lang w:val="en-GB"/>
        </w:rPr>
      </w:pPr>
      <w:r w:rsidRPr="00B66E47">
        <w:rPr>
          <w:noProof/>
          <w:lang w:val="en-GB"/>
        </w:rPr>
        <w:t xml:space="preserve">McDonnall, M. C., &amp; Sui, Z. (2019). Effectiveness of a business development training for rehabilitation counselors who work with consumers who are blind or visually impaired. </w:t>
      </w:r>
      <w:r w:rsidRPr="00B66E47">
        <w:rPr>
          <w:i/>
          <w:iCs/>
          <w:noProof/>
          <w:lang w:val="en-GB"/>
        </w:rPr>
        <w:t>Rehabilitation Counseling Bulletin</w:t>
      </w:r>
      <w:r w:rsidRPr="00B66E47">
        <w:rPr>
          <w:noProof/>
          <w:lang w:val="en-GB"/>
        </w:rPr>
        <w:t xml:space="preserve">, </w:t>
      </w:r>
      <w:r w:rsidRPr="00B66E47">
        <w:rPr>
          <w:i/>
          <w:iCs/>
          <w:noProof/>
          <w:lang w:val="en-GB"/>
        </w:rPr>
        <w:t>63</w:t>
      </w:r>
      <w:r w:rsidRPr="00B66E47">
        <w:rPr>
          <w:noProof/>
          <w:lang w:val="en-GB"/>
        </w:rPr>
        <w:t xml:space="preserve">(1), 25–34. (2019-55309-003). </w:t>
      </w:r>
      <w:hyperlink r:id="rId139" w:history="1">
        <w:r w:rsidRPr="00B66E47">
          <w:rPr>
            <w:rStyle w:val="Hyperlink"/>
            <w:noProof/>
            <w:lang w:val="en-GB"/>
          </w:rPr>
          <w:t>https://doi.org/10.1177/0034355218796276</w:t>
        </w:r>
      </w:hyperlink>
    </w:p>
    <w:p w14:paraId="03DBE364" w14:textId="77777777" w:rsidR="00B66E47" w:rsidRPr="00B66E47" w:rsidRDefault="00B66E47" w:rsidP="00B66E47">
      <w:pPr>
        <w:pStyle w:val="EndNoteBibliography"/>
        <w:rPr>
          <w:noProof/>
          <w:lang w:val="en-GB"/>
        </w:rPr>
      </w:pPr>
      <w:r w:rsidRPr="00B66E47">
        <w:rPr>
          <w:noProof/>
          <w:lang w:val="en-GB"/>
        </w:rPr>
        <w:t xml:space="preserve">McDonnall, M., Cmar, J., &amp; Tatch, A. (2020). Importance of agency context for </w:t>
      </w:r>
      <w:r w:rsidRPr="00B66E47">
        <w:rPr>
          <w:noProof/>
          <w:lang w:val="en-GB"/>
        </w:rPr>
        <w:lastRenderedPageBreak/>
        <w:t xml:space="preserve">long-term effectiveness of a business development training for rehabilitation counselors. </w:t>
      </w:r>
      <w:r w:rsidRPr="00B66E47">
        <w:rPr>
          <w:i/>
          <w:iCs/>
          <w:noProof/>
          <w:lang w:val="en-GB"/>
        </w:rPr>
        <w:t>JOURNAL OF VOCATIONAL REHABILITATION</w:t>
      </w:r>
      <w:r w:rsidRPr="00B66E47">
        <w:rPr>
          <w:noProof/>
          <w:lang w:val="en-GB"/>
        </w:rPr>
        <w:t xml:space="preserve">, </w:t>
      </w:r>
      <w:r w:rsidRPr="00B66E47">
        <w:rPr>
          <w:i/>
          <w:iCs/>
          <w:noProof/>
          <w:lang w:val="en-GB"/>
        </w:rPr>
        <w:t>53</w:t>
      </w:r>
      <w:r w:rsidRPr="00B66E47">
        <w:rPr>
          <w:noProof/>
          <w:lang w:val="en-GB"/>
        </w:rPr>
        <w:t xml:space="preserve">(1), 1–16. (WOS:000546999700001). </w:t>
      </w:r>
      <w:hyperlink r:id="rId140" w:history="1">
        <w:r w:rsidRPr="00B66E47">
          <w:rPr>
            <w:rStyle w:val="Hyperlink"/>
            <w:noProof/>
            <w:lang w:val="en-GB"/>
          </w:rPr>
          <w:t>https://doi.org/10.3233/JVR-201081</w:t>
        </w:r>
      </w:hyperlink>
    </w:p>
    <w:p w14:paraId="25AF2CF3" w14:textId="77777777" w:rsidR="00B66E47" w:rsidRPr="00B66E47" w:rsidRDefault="00B66E47" w:rsidP="00B66E47">
      <w:pPr>
        <w:pStyle w:val="EndNoteBibliography"/>
        <w:rPr>
          <w:noProof/>
          <w:lang w:val="en-GB"/>
        </w:rPr>
      </w:pPr>
      <w:r w:rsidRPr="00B66E47">
        <w:rPr>
          <w:noProof/>
          <w:lang w:val="en-GB"/>
        </w:rPr>
        <w:t>McGillivray, R., Schichtel, B., Hedges, J., Nelson, N., Pedrick, L., Schieber, C., &amp; Minjares, Y. (n.d.). Employer Engagement  Best Practices Toolkit  A resource for institutions of higher education to establish industry partnerships.</w:t>
      </w:r>
    </w:p>
    <w:p w14:paraId="4C5C33E7" w14:textId="77777777" w:rsidR="00B66E47" w:rsidRPr="00B66E47" w:rsidRDefault="00B66E47" w:rsidP="00B66E47">
      <w:pPr>
        <w:pStyle w:val="EndNoteBibliography"/>
        <w:rPr>
          <w:noProof/>
          <w:lang w:val="en-GB"/>
        </w:rPr>
      </w:pPr>
      <w:r w:rsidRPr="00B66E47">
        <w:rPr>
          <w:noProof/>
          <w:lang w:val="en-GB"/>
        </w:rPr>
        <w:t>McGurk, P., &amp; Olaleye, O. (n.d.). Skills, Apprenticeships and Diversity: Employer Engagement with Further and Higher Education.</w:t>
      </w:r>
    </w:p>
    <w:p w14:paraId="084005A7" w14:textId="77777777" w:rsidR="00B66E47" w:rsidRPr="00B66E47" w:rsidRDefault="00B66E47" w:rsidP="00B66E47">
      <w:pPr>
        <w:pStyle w:val="EndNoteBibliography"/>
        <w:rPr>
          <w:noProof/>
          <w:lang w:val="en-GB"/>
        </w:rPr>
      </w:pPr>
      <w:r w:rsidRPr="00B66E47">
        <w:rPr>
          <w:noProof/>
          <w:lang w:val="en-GB"/>
        </w:rPr>
        <w:t>Moore, J., &amp; Hanson, W. (n.d.). Conditions, Processes and Pressures Promoting Inclusive Organizations.</w:t>
      </w:r>
    </w:p>
    <w:p w14:paraId="1B259E41" w14:textId="77777777" w:rsidR="00B66E47" w:rsidRPr="00B66E47" w:rsidRDefault="00B66E47" w:rsidP="00B66E47">
      <w:pPr>
        <w:pStyle w:val="EndNoteBibliography"/>
        <w:rPr>
          <w:noProof/>
          <w:lang w:val="en-GB"/>
        </w:rPr>
      </w:pPr>
      <w:r w:rsidRPr="00B66E47">
        <w:rPr>
          <w:noProof/>
          <w:lang w:val="en-GB"/>
        </w:rPr>
        <w:t xml:space="preserve">Muenchberger, H., Kendall, E., &amp; Mills, E. (2006). Creating successful rehabilitation partnerships between health professionals and employers. </w:t>
      </w:r>
      <w:r w:rsidRPr="00B66E47">
        <w:rPr>
          <w:i/>
          <w:iCs/>
          <w:noProof/>
          <w:lang w:val="en-GB"/>
        </w:rPr>
        <w:t>The International Journal of Disability Management Research</w:t>
      </w:r>
      <w:r w:rsidRPr="00B66E47">
        <w:rPr>
          <w:noProof/>
          <w:lang w:val="en-GB"/>
        </w:rPr>
        <w:t xml:space="preserve">, </w:t>
      </w:r>
      <w:r w:rsidRPr="00B66E47">
        <w:rPr>
          <w:i/>
          <w:iCs/>
          <w:noProof/>
          <w:lang w:val="en-GB"/>
        </w:rPr>
        <w:t>1</w:t>
      </w:r>
      <w:r w:rsidRPr="00B66E47">
        <w:rPr>
          <w:noProof/>
          <w:lang w:val="en-GB"/>
        </w:rPr>
        <w:t xml:space="preserve">(1), 10–20. (2008-18560-003). </w:t>
      </w:r>
      <w:hyperlink r:id="rId141" w:history="1">
        <w:r w:rsidRPr="00B66E47">
          <w:rPr>
            <w:rStyle w:val="Hyperlink"/>
            <w:noProof/>
            <w:lang w:val="en-GB"/>
          </w:rPr>
          <w:t>https://doi.org/10.1375/jdmr.1.1.10</w:t>
        </w:r>
      </w:hyperlink>
    </w:p>
    <w:p w14:paraId="0D34DB23" w14:textId="77777777" w:rsidR="00B66E47" w:rsidRPr="00B66E47" w:rsidRDefault="00B66E47" w:rsidP="00B66E47">
      <w:pPr>
        <w:pStyle w:val="EndNoteBibliography"/>
        <w:rPr>
          <w:noProof/>
          <w:lang w:val="en-GB"/>
        </w:rPr>
      </w:pPr>
      <w:r w:rsidRPr="00B66E47">
        <w:rPr>
          <w:noProof/>
          <w:lang w:val="en-GB"/>
        </w:rPr>
        <w:t xml:space="preserve">Müller, E., VanGilder, R., &amp; Kiasi, D. (2018). Employer satisfaction with Project SEARCH interns, hires, and support received from Project SEARCH teams. </w:t>
      </w:r>
      <w:r w:rsidRPr="00B66E47">
        <w:rPr>
          <w:i/>
          <w:iCs/>
          <w:noProof/>
          <w:lang w:val="en-GB"/>
        </w:rPr>
        <w:t>Journal of Vocational Rehabilitation</w:t>
      </w:r>
      <w:r w:rsidRPr="00B66E47">
        <w:rPr>
          <w:noProof/>
          <w:lang w:val="en-GB"/>
        </w:rPr>
        <w:t xml:space="preserve">, </w:t>
      </w:r>
      <w:r w:rsidRPr="00B66E47">
        <w:rPr>
          <w:i/>
          <w:iCs/>
          <w:noProof/>
          <w:lang w:val="en-GB"/>
        </w:rPr>
        <w:t>49</w:t>
      </w:r>
      <w:r w:rsidRPr="00B66E47">
        <w:rPr>
          <w:noProof/>
          <w:lang w:val="en-GB"/>
        </w:rPr>
        <w:t xml:space="preserve">(3), 339–350. (133954139). </w:t>
      </w:r>
      <w:hyperlink r:id="rId142" w:history="1">
        <w:r w:rsidRPr="00B66E47">
          <w:rPr>
            <w:rStyle w:val="Hyperlink"/>
            <w:noProof/>
            <w:lang w:val="en-GB"/>
          </w:rPr>
          <w:t>https://doi.org/10.3233/JVR-180978</w:t>
        </w:r>
      </w:hyperlink>
    </w:p>
    <w:p w14:paraId="3FC7980B" w14:textId="77777777" w:rsidR="00B66E47" w:rsidRPr="00B66E47" w:rsidRDefault="00B66E47" w:rsidP="00B66E47">
      <w:pPr>
        <w:pStyle w:val="EndNoteBibliography"/>
        <w:rPr>
          <w:noProof/>
          <w:lang w:val="en-GB"/>
        </w:rPr>
      </w:pPr>
      <w:r w:rsidRPr="00B66E47">
        <w:rPr>
          <w:noProof/>
          <w:lang w:val="en-GB"/>
        </w:rPr>
        <w:t xml:space="preserve">Munsell, E. G. S., Kudla, A., Su, H., Wong, J., Crown, D., Capraro, P., Trierweiler, R., Park, M., &amp; Heinemann, A. W. (2024). Employers’ Perceptions of Challenges and Strategies in Hiring, Retaining, and Promoting Employees With Physical Disabilities. </w:t>
      </w:r>
      <w:r w:rsidRPr="00B66E47">
        <w:rPr>
          <w:i/>
          <w:iCs/>
          <w:noProof/>
          <w:lang w:val="en-GB"/>
        </w:rPr>
        <w:t>Rehabilitation Counseling Bulletin</w:t>
      </w:r>
      <w:r w:rsidRPr="00B66E47">
        <w:rPr>
          <w:noProof/>
          <w:lang w:val="en-GB"/>
        </w:rPr>
        <w:t xml:space="preserve">, </w:t>
      </w:r>
      <w:r w:rsidRPr="00B66E47">
        <w:rPr>
          <w:i/>
          <w:iCs/>
          <w:noProof/>
          <w:lang w:val="en-GB"/>
        </w:rPr>
        <w:t>67</w:t>
      </w:r>
      <w:r w:rsidRPr="00B66E47">
        <w:rPr>
          <w:noProof/>
          <w:lang w:val="en-GB"/>
        </w:rPr>
        <w:t xml:space="preserve">(3), 177–189. </w:t>
      </w:r>
      <w:hyperlink r:id="rId143" w:history="1">
        <w:r w:rsidRPr="00B66E47">
          <w:rPr>
            <w:rStyle w:val="Hyperlink"/>
            <w:noProof/>
            <w:lang w:val="en-GB"/>
          </w:rPr>
          <w:t>https://doi.org/10.1177/00343552221130304</w:t>
        </w:r>
      </w:hyperlink>
    </w:p>
    <w:p w14:paraId="6720BF07" w14:textId="77777777" w:rsidR="00B66E47" w:rsidRPr="00B66E47" w:rsidRDefault="00B66E47" w:rsidP="00B66E47">
      <w:pPr>
        <w:pStyle w:val="EndNoteBibliography"/>
        <w:rPr>
          <w:noProof/>
          <w:lang w:val="en-GB"/>
        </w:rPr>
      </w:pPr>
      <w:r w:rsidRPr="00B66E47">
        <w:rPr>
          <w:noProof/>
          <w:lang w:val="en-GB"/>
        </w:rPr>
        <w:t xml:space="preserve">Murphy, K. M., Rasmussen, J., Trevino, S., &amp; Scardaville, M. (2024). Business Engagement Strategies for Vocational Rehabilitation Professionals: A Scoping Review. </w:t>
      </w:r>
      <w:r w:rsidRPr="00B66E47">
        <w:rPr>
          <w:i/>
          <w:iCs/>
          <w:noProof/>
          <w:lang w:val="en-GB"/>
        </w:rPr>
        <w:t>Rehabilitation Counseling Bulletin</w:t>
      </w:r>
      <w:r w:rsidRPr="00B66E47">
        <w:rPr>
          <w:noProof/>
          <w:lang w:val="en-GB"/>
        </w:rPr>
        <w:t xml:space="preserve">, </w:t>
      </w:r>
      <w:r w:rsidRPr="00B66E47">
        <w:rPr>
          <w:i/>
          <w:iCs/>
          <w:noProof/>
          <w:lang w:val="en-GB"/>
        </w:rPr>
        <w:t>68</w:t>
      </w:r>
      <w:r w:rsidRPr="00B66E47">
        <w:rPr>
          <w:noProof/>
          <w:lang w:val="en-GB"/>
        </w:rPr>
        <w:t xml:space="preserve">(1), 55–70. (180428392). </w:t>
      </w:r>
      <w:hyperlink r:id="rId144" w:history="1">
        <w:r w:rsidRPr="00B66E47">
          <w:rPr>
            <w:rStyle w:val="Hyperlink"/>
            <w:noProof/>
            <w:lang w:val="en-GB"/>
          </w:rPr>
          <w:t>https://doi.org/10.1177/00343552231176535</w:t>
        </w:r>
      </w:hyperlink>
    </w:p>
    <w:p w14:paraId="6E4D51FF" w14:textId="77777777" w:rsidR="00B66E47" w:rsidRPr="00B66E47" w:rsidRDefault="00B66E47" w:rsidP="00B66E47">
      <w:pPr>
        <w:pStyle w:val="EndNoteBibliography"/>
        <w:rPr>
          <w:noProof/>
          <w:lang w:val="en-GB"/>
        </w:rPr>
      </w:pPr>
      <w:r w:rsidRPr="00B66E47">
        <w:rPr>
          <w:noProof/>
          <w:lang w:val="en-GB"/>
        </w:rPr>
        <w:t xml:space="preserve">Nicholas, D., Mitchell, W., Dudley, C., &amp; Zulla, R. (2019). Perspectives of employers about hiring individuals with autism spectrum disorder: Evaluating a cohort of employers engaged in a job-readiness initiative. </w:t>
      </w:r>
      <w:r w:rsidRPr="00B66E47">
        <w:rPr>
          <w:i/>
          <w:iCs/>
          <w:noProof/>
          <w:lang w:val="en-GB"/>
        </w:rPr>
        <w:t>Journal of Vocational Rehabilitation</w:t>
      </w:r>
      <w:r w:rsidRPr="00B66E47">
        <w:rPr>
          <w:noProof/>
          <w:lang w:val="en-GB"/>
        </w:rPr>
        <w:t xml:space="preserve">, </w:t>
      </w:r>
      <w:r w:rsidRPr="00B66E47">
        <w:rPr>
          <w:i/>
          <w:iCs/>
          <w:noProof/>
          <w:lang w:val="en-GB"/>
        </w:rPr>
        <w:t>50</w:t>
      </w:r>
      <w:r w:rsidRPr="00B66E47">
        <w:rPr>
          <w:noProof/>
          <w:lang w:val="en-GB"/>
        </w:rPr>
        <w:t xml:space="preserve">(3), 353–364. (136564584). </w:t>
      </w:r>
      <w:hyperlink r:id="rId145" w:history="1">
        <w:r w:rsidRPr="00B66E47">
          <w:rPr>
            <w:rStyle w:val="Hyperlink"/>
            <w:noProof/>
            <w:lang w:val="en-GB"/>
          </w:rPr>
          <w:t>https://doi.org/10.3233/JVR-191018</w:t>
        </w:r>
      </w:hyperlink>
    </w:p>
    <w:p w14:paraId="274F9767" w14:textId="77777777" w:rsidR="00B66E47" w:rsidRPr="00B66E47" w:rsidRDefault="00B66E47" w:rsidP="00B66E47">
      <w:pPr>
        <w:pStyle w:val="EndNoteBibliography"/>
        <w:rPr>
          <w:noProof/>
          <w:lang w:val="en-GB"/>
        </w:rPr>
      </w:pPr>
      <w:r w:rsidRPr="00B66E47">
        <w:rPr>
          <w:noProof/>
          <w:lang w:val="en-GB"/>
        </w:rPr>
        <w:t xml:space="preserve">O’Bryan, A., Daston, M. M., &amp; Riehle, E. (2014). Employer engagement that works: The European expansion of Project SEARCH. </w:t>
      </w:r>
      <w:r w:rsidRPr="00B66E47">
        <w:rPr>
          <w:i/>
          <w:iCs/>
          <w:noProof/>
          <w:lang w:val="en-GB"/>
        </w:rPr>
        <w:t>Journal of Vocational Rehabilitation</w:t>
      </w:r>
      <w:r w:rsidRPr="00B66E47">
        <w:rPr>
          <w:noProof/>
          <w:lang w:val="en-GB"/>
        </w:rPr>
        <w:t xml:space="preserve">, </w:t>
      </w:r>
      <w:r w:rsidRPr="00B66E47">
        <w:rPr>
          <w:i/>
          <w:iCs/>
          <w:noProof/>
          <w:lang w:val="en-GB"/>
        </w:rPr>
        <w:t>41</w:t>
      </w:r>
      <w:r w:rsidRPr="00B66E47">
        <w:rPr>
          <w:noProof/>
          <w:lang w:val="en-GB"/>
        </w:rPr>
        <w:t xml:space="preserve">(1), 45–51. (103965612). </w:t>
      </w:r>
      <w:hyperlink r:id="rId146" w:history="1">
        <w:r w:rsidRPr="00B66E47">
          <w:rPr>
            <w:rStyle w:val="Hyperlink"/>
            <w:noProof/>
            <w:lang w:val="en-GB"/>
          </w:rPr>
          <w:t>https://doi.org/10.3233/JVR-140697</w:t>
        </w:r>
      </w:hyperlink>
    </w:p>
    <w:p w14:paraId="33701652" w14:textId="77777777" w:rsidR="00B66E47" w:rsidRPr="00B66E47" w:rsidRDefault="00B66E47" w:rsidP="00B66E47">
      <w:pPr>
        <w:pStyle w:val="EndNoteBibliography"/>
        <w:rPr>
          <w:noProof/>
          <w:lang w:val="en-GB"/>
        </w:rPr>
      </w:pPr>
      <w:r w:rsidRPr="00B66E47">
        <w:rPr>
          <w:noProof/>
          <w:lang w:val="en-GB"/>
        </w:rPr>
        <w:t>Opening doors to Victoria’s Big Build: How EBTA redesigned jobs to include young people with disability—Social Ventures. (n.d.).</w:t>
      </w:r>
    </w:p>
    <w:p w14:paraId="6E1521B3" w14:textId="77777777" w:rsidR="00B66E47" w:rsidRPr="00B66E47" w:rsidRDefault="00B66E47" w:rsidP="00B66E47">
      <w:pPr>
        <w:pStyle w:val="EndNoteBibliography"/>
        <w:rPr>
          <w:noProof/>
          <w:lang w:val="en-GB"/>
        </w:rPr>
      </w:pPr>
      <w:r w:rsidRPr="00B66E47">
        <w:rPr>
          <w:noProof/>
          <w:lang w:val="en-GB"/>
        </w:rPr>
        <w:t>PES TO PES DIALOGUE PROGRAMME: (n.d.).</w:t>
      </w:r>
    </w:p>
    <w:p w14:paraId="3BBACF08" w14:textId="77777777" w:rsidR="00B66E47" w:rsidRPr="00B66E47" w:rsidRDefault="00B66E47" w:rsidP="00B66E47">
      <w:pPr>
        <w:pStyle w:val="EndNoteBibliography"/>
        <w:rPr>
          <w:noProof/>
          <w:lang w:val="en-GB"/>
        </w:rPr>
      </w:pPr>
      <w:r w:rsidRPr="00B66E47">
        <w:rPr>
          <w:noProof/>
          <w:lang w:val="en-GB"/>
        </w:rPr>
        <w:t>Protecting the privacy of staff with disability | Job Access. (n.d.).</w:t>
      </w:r>
    </w:p>
    <w:p w14:paraId="08A53B41" w14:textId="77777777" w:rsidR="00B66E47" w:rsidRPr="00B66E47" w:rsidRDefault="00B66E47" w:rsidP="00B66E47">
      <w:pPr>
        <w:pStyle w:val="EndNoteBibliography"/>
        <w:rPr>
          <w:noProof/>
          <w:lang w:val="en-GB"/>
        </w:rPr>
      </w:pPr>
      <w:r w:rsidRPr="00B66E47">
        <w:rPr>
          <w:noProof/>
          <w:lang w:val="en-GB"/>
        </w:rPr>
        <w:t>Public Economic Forum 11 Dec Jo Ingold. (n.d.).</w:t>
      </w:r>
    </w:p>
    <w:p w14:paraId="45DEDBD1" w14:textId="77777777" w:rsidR="00B66E47" w:rsidRPr="00B66E47" w:rsidRDefault="00B66E47" w:rsidP="00B66E47">
      <w:pPr>
        <w:pStyle w:val="EndNoteBibliography"/>
        <w:rPr>
          <w:noProof/>
          <w:lang w:val="en-GB"/>
        </w:rPr>
      </w:pPr>
      <w:r w:rsidRPr="00B66E47">
        <w:rPr>
          <w:noProof/>
          <w:lang w:val="en-GB"/>
        </w:rPr>
        <w:t xml:space="preserve">Raynor, O., Hayward, K., Semenza, G., &amp; Stoffmacher, B. (2018). Community </w:t>
      </w:r>
      <w:r w:rsidRPr="00B66E47">
        <w:rPr>
          <w:noProof/>
          <w:lang w:val="en-GB"/>
        </w:rPr>
        <w:lastRenderedPageBreak/>
        <w:t xml:space="preserve">Conversations to Increase Employment Opportunities for Young Adults With Developmental Disabilities in California. </w:t>
      </w:r>
      <w:r w:rsidRPr="00B66E47">
        <w:rPr>
          <w:i/>
          <w:iCs/>
          <w:noProof/>
          <w:lang w:val="en-GB"/>
        </w:rPr>
        <w:t>Journal of Disability Policy Studies</w:t>
      </w:r>
      <w:r w:rsidRPr="00B66E47">
        <w:rPr>
          <w:noProof/>
          <w:lang w:val="en-GB"/>
        </w:rPr>
        <w:t xml:space="preserve">, </w:t>
      </w:r>
      <w:r w:rsidRPr="00B66E47">
        <w:rPr>
          <w:i/>
          <w:iCs/>
          <w:noProof/>
          <w:lang w:val="en-GB"/>
        </w:rPr>
        <w:t>28</w:t>
      </w:r>
      <w:r w:rsidRPr="00B66E47">
        <w:rPr>
          <w:noProof/>
          <w:lang w:val="en-GB"/>
        </w:rPr>
        <w:t xml:space="preserve">(4), 203–215. </w:t>
      </w:r>
      <w:hyperlink r:id="rId147" w:history="1">
        <w:r w:rsidRPr="00B66E47">
          <w:rPr>
            <w:rStyle w:val="Hyperlink"/>
            <w:noProof/>
            <w:lang w:val="en-GB"/>
          </w:rPr>
          <w:t>https://doi.org/10.1177/1044207317739405</w:t>
        </w:r>
      </w:hyperlink>
    </w:p>
    <w:p w14:paraId="11A3CB67" w14:textId="77777777" w:rsidR="00B66E47" w:rsidRPr="00B66E47" w:rsidRDefault="00B66E47" w:rsidP="00B66E47">
      <w:pPr>
        <w:pStyle w:val="EndNoteBibliography"/>
        <w:rPr>
          <w:noProof/>
          <w:lang w:val="en-GB"/>
        </w:rPr>
      </w:pPr>
      <w:r w:rsidRPr="00B66E47">
        <w:rPr>
          <w:noProof/>
          <w:lang w:val="en-GB"/>
        </w:rPr>
        <w:t xml:space="preserve">Reardon, K., Rowe, D. A., Unruh, D. K., &amp; Bromley, K. W. (2025). Business Factors That Influence Employer Perceptions Toward Hiring, Recruiting, and Retaining Individuals With Disabilities. </w:t>
      </w:r>
      <w:r w:rsidRPr="00B66E47">
        <w:rPr>
          <w:i/>
          <w:iCs/>
          <w:noProof/>
          <w:lang w:val="en-GB"/>
        </w:rPr>
        <w:t>Journal of Applied Rehabilitation Counseling</w:t>
      </w:r>
      <w:r w:rsidRPr="00B66E47">
        <w:rPr>
          <w:noProof/>
          <w:lang w:val="en-GB"/>
        </w:rPr>
        <w:t xml:space="preserve">, </w:t>
      </w:r>
      <w:r w:rsidRPr="00B66E47">
        <w:rPr>
          <w:i/>
          <w:iCs/>
          <w:noProof/>
          <w:lang w:val="en-GB"/>
        </w:rPr>
        <w:t>56</w:t>
      </w:r>
      <w:r w:rsidRPr="00B66E47">
        <w:rPr>
          <w:noProof/>
          <w:lang w:val="en-GB"/>
        </w:rPr>
        <w:t xml:space="preserve">(4), 358–377. </w:t>
      </w:r>
      <w:hyperlink r:id="rId148" w:history="1">
        <w:r w:rsidRPr="00B66E47">
          <w:rPr>
            <w:rStyle w:val="Hyperlink"/>
            <w:noProof/>
            <w:lang w:val="en-GB"/>
          </w:rPr>
          <w:t>https://doi.org/10.1891/JARC-2025-0021</w:t>
        </w:r>
      </w:hyperlink>
    </w:p>
    <w:p w14:paraId="53BEE62A" w14:textId="77777777" w:rsidR="00B66E47" w:rsidRPr="00B66E47" w:rsidRDefault="00B66E47" w:rsidP="00B66E47">
      <w:pPr>
        <w:pStyle w:val="EndNoteBibliography"/>
        <w:rPr>
          <w:noProof/>
          <w:lang w:val="en-GB"/>
        </w:rPr>
      </w:pPr>
      <w:r w:rsidRPr="00B66E47">
        <w:rPr>
          <w:noProof/>
          <w:lang w:val="en-GB"/>
        </w:rPr>
        <w:t xml:space="preserve">Reardon, K., Unruh, D. K., &amp; Rowe, D. A. (2025). Employer Perspectives Toward Hiring and Retaining Individuals with Disabilities: A National Survey of Entry-Level Employers. </w:t>
      </w:r>
      <w:r w:rsidRPr="00B66E47">
        <w:rPr>
          <w:i/>
          <w:iCs/>
          <w:noProof/>
          <w:lang w:val="en-GB"/>
        </w:rPr>
        <w:t>Journal of Vocational Rehabilitation</w:t>
      </w:r>
      <w:r w:rsidRPr="00B66E47">
        <w:rPr>
          <w:noProof/>
          <w:lang w:val="en-GB"/>
        </w:rPr>
        <w:t xml:space="preserve">, </w:t>
      </w:r>
      <w:r w:rsidRPr="00B66E47">
        <w:rPr>
          <w:i/>
          <w:iCs/>
          <w:noProof/>
          <w:lang w:val="en-GB"/>
        </w:rPr>
        <w:t>62</w:t>
      </w:r>
      <w:r w:rsidRPr="00B66E47">
        <w:rPr>
          <w:noProof/>
          <w:lang w:val="en-GB"/>
        </w:rPr>
        <w:t xml:space="preserve">(3), 310–324. </w:t>
      </w:r>
      <w:hyperlink r:id="rId149" w:history="1">
        <w:r w:rsidRPr="00B66E47">
          <w:rPr>
            <w:rStyle w:val="Hyperlink"/>
            <w:noProof/>
            <w:lang w:val="en-GB"/>
          </w:rPr>
          <w:t>https://doi.org/10.1177/10522263251326524</w:t>
        </w:r>
      </w:hyperlink>
    </w:p>
    <w:p w14:paraId="5D90B87D" w14:textId="77777777" w:rsidR="00B66E47" w:rsidRPr="00B66E47" w:rsidRDefault="00B66E47" w:rsidP="00B66E47">
      <w:pPr>
        <w:pStyle w:val="EndNoteBibliography"/>
        <w:rPr>
          <w:noProof/>
          <w:lang w:val="en-GB"/>
        </w:rPr>
      </w:pPr>
      <w:r w:rsidRPr="00B66E47">
        <w:rPr>
          <w:noProof/>
          <w:lang w:val="en-GB"/>
        </w:rPr>
        <w:t>Reasonable Adjustment checklist. (n.d.).</w:t>
      </w:r>
    </w:p>
    <w:p w14:paraId="14028E72" w14:textId="77777777" w:rsidR="00B66E47" w:rsidRPr="00B66E47" w:rsidRDefault="00B66E47" w:rsidP="00B66E47">
      <w:pPr>
        <w:pStyle w:val="EndNoteBibliography"/>
        <w:rPr>
          <w:noProof/>
          <w:lang w:val="en-GB"/>
        </w:rPr>
      </w:pPr>
      <w:r w:rsidRPr="00B66E47">
        <w:rPr>
          <w:noProof/>
          <w:lang w:val="en-GB"/>
        </w:rPr>
        <w:t>Reimagining the Employment  Services System of Australia. (n.d.).</w:t>
      </w:r>
    </w:p>
    <w:p w14:paraId="411F68A1" w14:textId="77777777" w:rsidR="00B66E47" w:rsidRPr="00B66E47" w:rsidRDefault="00B66E47" w:rsidP="00B66E47">
      <w:pPr>
        <w:pStyle w:val="EndNoteBibliography"/>
        <w:rPr>
          <w:noProof/>
          <w:lang w:val="en-GB"/>
        </w:rPr>
      </w:pPr>
      <w:r w:rsidRPr="00B66E47">
        <w:rPr>
          <w:noProof/>
          <w:lang w:val="en-GB"/>
        </w:rPr>
        <w:t xml:space="preserve">Reindrawati, D. Y., Noviyanti, U. D. E., Azmi, A., &amp; Wiranti, D. A. (2025). Disability-Friendly Hospitality Services as a Catalyst for Empowering Inclusive Tourism in Indonesia. </w:t>
      </w:r>
      <w:r w:rsidRPr="00B66E47">
        <w:rPr>
          <w:i/>
          <w:iCs/>
          <w:noProof/>
          <w:lang w:val="en-GB"/>
        </w:rPr>
        <w:t>Sustainability (Switzerland)</w:t>
      </w:r>
      <w:r w:rsidRPr="00B66E47">
        <w:rPr>
          <w:noProof/>
          <w:lang w:val="en-GB"/>
        </w:rPr>
        <w:t xml:space="preserve">, </w:t>
      </w:r>
      <w:r w:rsidRPr="00B66E47">
        <w:rPr>
          <w:i/>
          <w:iCs/>
          <w:noProof/>
          <w:lang w:val="en-GB"/>
        </w:rPr>
        <w:t>17</w:t>
      </w:r>
      <w:r w:rsidRPr="00B66E47">
        <w:rPr>
          <w:noProof/>
          <w:lang w:val="en-GB"/>
        </w:rPr>
        <w:t xml:space="preserve">(9). </w:t>
      </w:r>
      <w:hyperlink r:id="rId150" w:history="1">
        <w:r w:rsidRPr="00B66E47">
          <w:rPr>
            <w:rStyle w:val="Hyperlink"/>
            <w:noProof/>
            <w:lang w:val="en-GB"/>
          </w:rPr>
          <w:t>https://doi.org/10.3390/su17093785</w:t>
        </w:r>
      </w:hyperlink>
    </w:p>
    <w:p w14:paraId="6CFDD1AF" w14:textId="77777777" w:rsidR="00B66E47" w:rsidRPr="00B66E47" w:rsidRDefault="00B66E47" w:rsidP="00B66E47">
      <w:pPr>
        <w:pStyle w:val="EndNoteBibliography"/>
        <w:rPr>
          <w:noProof/>
          <w:lang w:val="en-GB"/>
        </w:rPr>
      </w:pPr>
      <w:r w:rsidRPr="00B66E47">
        <w:rPr>
          <w:noProof/>
          <w:lang w:val="en-GB"/>
        </w:rPr>
        <w:t xml:space="preserve">Riesen, T., &amp; Oertle, K. M. (2019). Developing Work-based Learning Experiences for Students with Intellectual and Developmental Disabilities: A Preliminary Study of Employers’ Perspectives. </w:t>
      </w:r>
      <w:r w:rsidRPr="00B66E47">
        <w:rPr>
          <w:i/>
          <w:iCs/>
          <w:noProof/>
          <w:lang w:val="en-GB"/>
        </w:rPr>
        <w:t>Journal of Rehabilitation</w:t>
      </w:r>
      <w:r w:rsidRPr="00B66E47">
        <w:rPr>
          <w:noProof/>
          <w:lang w:val="en-GB"/>
        </w:rPr>
        <w:t xml:space="preserve">, </w:t>
      </w:r>
      <w:r w:rsidRPr="00B66E47">
        <w:rPr>
          <w:i/>
          <w:iCs/>
          <w:noProof/>
          <w:lang w:val="en-GB"/>
        </w:rPr>
        <w:t>85</w:t>
      </w:r>
      <w:r w:rsidRPr="00B66E47">
        <w:rPr>
          <w:noProof/>
          <w:lang w:val="en-GB"/>
        </w:rPr>
        <w:t>(2), 27–36. (137509281).</w:t>
      </w:r>
    </w:p>
    <w:p w14:paraId="606227AD" w14:textId="77777777" w:rsidR="00B66E47" w:rsidRPr="00B66E47" w:rsidRDefault="00B66E47" w:rsidP="00B66E47">
      <w:pPr>
        <w:pStyle w:val="EndNoteBibliography"/>
        <w:rPr>
          <w:noProof/>
          <w:lang w:val="en-GB"/>
        </w:rPr>
      </w:pPr>
      <w:r w:rsidRPr="00B66E47">
        <w:rPr>
          <w:noProof/>
          <w:lang w:val="en-GB"/>
        </w:rPr>
        <w:t xml:space="preserve">Scott, D. M., Falkmer, D. M., Girdler, S., Falkmer, T., &amp; Rodger, S. (n.d.). </w:t>
      </w:r>
      <w:r w:rsidRPr="00B66E47">
        <w:rPr>
          <w:i/>
          <w:iCs/>
          <w:noProof/>
          <w:lang w:val="en-GB"/>
        </w:rPr>
        <w:t>The Integrated Employment Success Tool (IEST)</w:t>
      </w:r>
      <w:r w:rsidRPr="00B66E47">
        <w:rPr>
          <w:noProof/>
          <w:lang w:val="en-GB"/>
        </w:rPr>
        <w:t>.</w:t>
      </w:r>
    </w:p>
    <w:p w14:paraId="3098F07D" w14:textId="77777777" w:rsidR="00B66E47" w:rsidRPr="00B66E47" w:rsidRDefault="00B66E47" w:rsidP="00B66E47">
      <w:pPr>
        <w:pStyle w:val="EndNoteBibliography"/>
        <w:rPr>
          <w:noProof/>
          <w:lang w:val="en-GB"/>
        </w:rPr>
      </w:pPr>
      <w:r w:rsidRPr="00B66E47">
        <w:rPr>
          <w:noProof/>
          <w:lang w:val="en-GB"/>
        </w:rPr>
        <w:t>Scott-Parker, S. (n.d.-a). The business and ethical rationale for investing in the corporate best practice called: ‘Disability Confidence’.</w:t>
      </w:r>
    </w:p>
    <w:p w14:paraId="764EC0AD" w14:textId="77777777" w:rsidR="00B66E47" w:rsidRPr="00B66E47" w:rsidRDefault="00B66E47" w:rsidP="00B66E47">
      <w:pPr>
        <w:pStyle w:val="EndNoteBibliography"/>
        <w:rPr>
          <w:noProof/>
          <w:lang w:val="en-GB"/>
        </w:rPr>
      </w:pPr>
      <w:r w:rsidRPr="00B66E47">
        <w:rPr>
          <w:noProof/>
          <w:lang w:val="en-GB"/>
        </w:rPr>
        <w:t>Scott-Parker, S. (n.d.-b). The welcoming disabled &amp; older customers charter.</w:t>
      </w:r>
    </w:p>
    <w:p w14:paraId="4642A1D0" w14:textId="77777777" w:rsidR="00B66E47" w:rsidRPr="00B66E47" w:rsidRDefault="00B66E47" w:rsidP="00B66E47">
      <w:pPr>
        <w:pStyle w:val="EndNoteBibliography"/>
        <w:rPr>
          <w:noProof/>
          <w:lang w:val="en-GB"/>
        </w:rPr>
      </w:pPr>
      <w:r w:rsidRPr="00B66E47">
        <w:rPr>
          <w:noProof/>
          <w:lang w:val="en-GB"/>
        </w:rPr>
        <w:t>Scott-Parker, S., &amp; Siabi, N. (n.d.). ’Everyone wins a Balloon’—The Business Value of Adjustment Management.</w:t>
      </w:r>
    </w:p>
    <w:p w14:paraId="054670DF" w14:textId="77777777" w:rsidR="00B66E47" w:rsidRDefault="00B66E47" w:rsidP="00B66E47">
      <w:pPr>
        <w:pStyle w:val="EndNoteBibliography"/>
        <w:rPr>
          <w:noProof/>
        </w:rPr>
      </w:pPr>
      <w:r w:rsidRPr="00B66E47">
        <w:rPr>
          <w:i/>
          <w:iCs/>
          <w:noProof/>
          <w:lang w:val="en-GB"/>
        </w:rPr>
        <w:t>Shaping Inclusive Workplaces for Persons with Disabilities: A Management and HRM Practitioner Perspective</w:t>
      </w:r>
      <w:r w:rsidRPr="00B66E47">
        <w:rPr>
          <w:noProof/>
          <w:lang w:val="en-GB"/>
        </w:rPr>
        <w:t xml:space="preserve">. (2026). Springer Nature Switzerland. </w:t>
      </w:r>
      <w:hyperlink r:id="rId151" w:history="1">
        <w:r w:rsidRPr="00B66E47">
          <w:rPr>
            <w:rStyle w:val="Hyperlink"/>
            <w:noProof/>
            <w:lang w:val="en-GB"/>
          </w:rPr>
          <w:t>https://doi.org/10.1007/978-3-031-96315-5</w:t>
        </w:r>
      </w:hyperlink>
    </w:p>
    <w:p w14:paraId="7AE156C1" w14:textId="1F482BDE" w:rsidR="00376284" w:rsidRPr="00BE3585" w:rsidRDefault="00376284" w:rsidP="00B66E47">
      <w:pPr>
        <w:pStyle w:val="EndNoteBibliography"/>
        <w:rPr>
          <w:rStyle w:val="Hyperlink"/>
          <w:lang w:val="en-GB"/>
        </w:rPr>
      </w:pPr>
      <w:r w:rsidRPr="009D48BC">
        <w:rPr>
          <w:noProof/>
        </w:rPr>
        <w:t xml:space="preserve">Smela, B., Toumi, M., Świerk, K., Francois, C., Biernikiewicz, M., Clay, E., &amp; Boyer, L. (2023). Rapid literature review: definition and methodology. </w:t>
      </w:r>
      <w:r w:rsidRPr="009D48BC">
        <w:rPr>
          <w:i/>
          <w:noProof/>
        </w:rPr>
        <w:t>Journal of market access &amp; health policy</w:t>
      </w:r>
      <w:r w:rsidRPr="009D48BC">
        <w:rPr>
          <w:noProof/>
        </w:rPr>
        <w:t>,</w:t>
      </w:r>
      <w:r w:rsidRPr="009D48BC">
        <w:rPr>
          <w:i/>
          <w:noProof/>
        </w:rPr>
        <w:t xml:space="preserve"> 11</w:t>
      </w:r>
      <w:r w:rsidRPr="009D48BC">
        <w:rPr>
          <w:noProof/>
        </w:rPr>
        <w:t>(1), 2241234</w:t>
      </w:r>
      <w:r>
        <w:rPr>
          <w:noProof/>
        </w:rPr>
        <w:t>.</w:t>
      </w:r>
      <w:r w:rsidR="00BE3585">
        <w:rPr>
          <w:noProof/>
        </w:rPr>
        <w:t xml:space="preserve"> </w:t>
      </w:r>
      <w:r w:rsidR="00BE3585">
        <w:rPr>
          <w:rStyle w:val="Hyperlink"/>
        </w:rPr>
        <w:t>https://doi.org/</w:t>
      </w:r>
      <w:r w:rsidR="00BE3585" w:rsidRPr="00BE3585">
        <w:t xml:space="preserve"> </w:t>
      </w:r>
      <w:r w:rsidR="00BE3585" w:rsidRPr="00BE3585">
        <w:rPr>
          <w:rStyle w:val="Hyperlink"/>
        </w:rPr>
        <w:t>10.1080/20016689.2023.2241234</w:t>
      </w:r>
    </w:p>
    <w:p w14:paraId="7A64D959" w14:textId="77777777" w:rsidR="00B66E47" w:rsidRPr="00B66E47" w:rsidRDefault="00B66E47" w:rsidP="00B66E47">
      <w:pPr>
        <w:pStyle w:val="EndNoteBibliography"/>
        <w:rPr>
          <w:noProof/>
          <w:lang w:val="en-GB"/>
        </w:rPr>
      </w:pPr>
      <w:r w:rsidRPr="00B66E47">
        <w:rPr>
          <w:noProof/>
          <w:lang w:val="en-GB"/>
        </w:rPr>
        <w:t>Sparking opportunities: Building inclusive work pathways in events—Social Ventures. (n.d.).</w:t>
      </w:r>
    </w:p>
    <w:p w14:paraId="09F33055" w14:textId="77777777" w:rsidR="00B66E47" w:rsidRPr="00B66E47" w:rsidRDefault="00B66E47" w:rsidP="00B66E47">
      <w:pPr>
        <w:pStyle w:val="EndNoteBibliography"/>
        <w:rPr>
          <w:noProof/>
          <w:lang w:val="en-GB"/>
        </w:rPr>
      </w:pPr>
      <w:r w:rsidRPr="00B66E47">
        <w:rPr>
          <w:noProof/>
          <w:lang w:val="en-GB"/>
        </w:rPr>
        <w:t>Spaulding, S., &amp; Martin-Caughey, A. (n.d.). The Goals and Dimensions of Employer  Engagement in Workforce  Development Programs.</w:t>
      </w:r>
    </w:p>
    <w:p w14:paraId="5191F03D" w14:textId="77777777" w:rsidR="00B66E47" w:rsidRPr="00B66E47" w:rsidRDefault="00B66E47" w:rsidP="00B66E47">
      <w:pPr>
        <w:pStyle w:val="EndNoteBibliography"/>
        <w:rPr>
          <w:noProof/>
          <w:lang w:val="en-GB"/>
        </w:rPr>
      </w:pPr>
      <w:r w:rsidRPr="00B66E47">
        <w:rPr>
          <w:noProof/>
          <w:lang w:val="en-GB"/>
        </w:rPr>
        <w:t xml:space="preserve">Strauser, D. G., Price, R. A., Brehmer, C. E., &amp; Strauser, D. R. (2026). Exploring Employer’s Successful Hiring and Retention Practices of Individuals with </w:t>
      </w:r>
      <w:r w:rsidRPr="00B66E47">
        <w:rPr>
          <w:noProof/>
          <w:lang w:val="en-GB"/>
        </w:rPr>
        <w:lastRenderedPageBreak/>
        <w:t xml:space="preserve">Disabilities. </w:t>
      </w:r>
      <w:r w:rsidRPr="00B66E47">
        <w:rPr>
          <w:i/>
          <w:iCs/>
          <w:noProof/>
          <w:lang w:val="en-GB"/>
        </w:rPr>
        <w:t>Rehabilitation Counseling Bulletin</w:t>
      </w:r>
      <w:r w:rsidRPr="00B66E47">
        <w:rPr>
          <w:noProof/>
          <w:lang w:val="en-GB"/>
        </w:rPr>
        <w:t xml:space="preserve">, </w:t>
      </w:r>
      <w:r w:rsidRPr="00B66E47">
        <w:rPr>
          <w:i/>
          <w:iCs/>
          <w:noProof/>
          <w:lang w:val="en-GB"/>
        </w:rPr>
        <w:t>69</w:t>
      </w:r>
      <w:r w:rsidRPr="00B66E47">
        <w:rPr>
          <w:noProof/>
          <w:lang w:val="en-GB"/>
        </w:rPr>
        <w:t xml:space="preserve">(2), 109–119. </w:t>
      </w:r>
      <w:hyperlink r:id="rId152" w:history="1">
        <w:r w:rsidRPr="00B66E47">
          <w:rPr>
            <w:rStyle w:val="Hyperlink"/>
            <w:noProof/>
            <w:lang w:val="en-GB"/>
          </w:rPr>
          <w:t>https://doi.org/10.1177/00343552241265319</w:t>
        </w:r>
      </w:hyperlink>
    </w:p>
    <w:p w14:paraId="66BA3950" w14:textId="77777777" w:rsidR="00B66E47" w:rsidRPr="00B66E47" w:rsidRDefault="00B66E47" w:rsidP="00B66E47">
      <w:pPr>
        <w:pStyle w:val="EndNoteBibliography"/>
        <w:rPr>
          <w:noProof/>
          <w:lang w:val="en-GB"/>
        </w:rPr>
      </w:pPr>
      <w:r w:rsidRPr="00B66E47">
        <w:rPr>
          <w:noProof/>
          <w:lang w:val="en-GB"/>
        </w:rPr>
        <w:t>Strengths-based interviewing | Testlify. (n.d.).</w:t>
      </w:r>
    </w:p>
    <w:p w14:paraId="11359426" w14:textId="77777777" w:rsidR="00B66E47" w:rsidRPr="00B66E47" w:rsidRDefault="00B66E47" w:rsidP="00B66E47">
      <w:pPr>
        <w:pStyle w:val="EndNoteBibliography"/>
        <w:rPr>
          <w:noProof/>
          <w:lang w:val="en-GB"/>
        </w:rPr>
      </w:pPr>
      <w:r w:rsidRPr="00B66E47">
        <w:rPr>
          <w:noProof/>
          <w:lang w:val="en-GB"/>
        </w:rPr>
        <w:t xml:space="preserve">Strindlund, L., Abrandt-Dahlgren, M., &amp; Ståhl, C. (2019). Employers’ views on disability, employability, and labor market inclusion: A phenomenographic study. </w:t>
      </w:r>
      <w:r w:rsidRPr="00B66E47">
        <w:rPr>
          <w:i/>
          <w:iCs/>
          <w:noProof/>
          <w:lang w:val="en-GB"/>
        </w:rPr>
        <w:t>Disability and Rehabilitation</w:t>
      </w:r>
      <w:r w:rsidRPr="00B66E47">
        <w:rPr>
          <w:noProof/>
          <w:lang w:val="en-GB"/>
        </w:rPr>
        <w:t xml:space="preserve">, </w:t>
      </w:r>
      <w:r w:rsidRPr="00B66E47">
        <w:rPr>
          <w:i/>
          <w:iCs/>
          <w:noProof/>
          <w:lang w:val="en-GB"/>
        </w:rPr>
        <w:t>41</w:t>
      </w:r>
      <w:r w:rsidRPr="00B66E47">
        <w:rPr>
          <w:noProof/>
          <w:lang w:val="en-GB"/>
        </w:rPr>
        <w:t xml:space="preserve">(24), 2910–2917. </w:t>
      </w:r>
      <w:hyperlink r:id="rId153" w:history="1">
        <w:r w:rsidRPr="00B66E47">
          <w:rPr>
            <w:rStyle w:val="Hyperlink"/>
            <w:noProof/>
            <w:lang w:val="en-GB"/>
          </w:rPr>
          <w:t>https://doi.org/10.1080/09638288.2018.1481150</w:t>
        </w:r>
      </w:hyperlink>
    </w:p>
    <w:p w14:paraId="4F81205D" w14:textId="77777777" w:rsidR="00B66E47" w:rsidRPr="00B66E47" w:rsidRDefault="00B66E47" w:rsidP="00B66E47">
      <w:pPr>
        <w:pStyle w:val="EndNoteBibliography"/>
        <w:rPr>
          <w:noProof/>
          <w:lang w:val="en-GB"/>
        </w:rPr>
      </w:pPr>
      <w:r w:rsidRPr="00B66E47">
        <w:rPr>
          <w:noProof/>
          <w:lang w:val="en-GB"/>
        </w:rPr>
        <w:t>SVA-CYDA-Guide_How-to-discuss-workplace-adjustments. (n.d.).</w:t>
      </w:r>
    </w:p>
    <w:p w14:paraId="27C37038" w14:textId="77777777" w:rsidR="00B66E47" w:rsidRPr="00B66E47" w:rsidRDefault="00B66E47" w:rsidP="00B66E47">
      <w:pPr>
        <w:pStyle w:val="EndNoteBibliography"/>
        <w:rPr>
          <w:noProof/>
          <w:lang w:val="en-GB"/>
        </w:rPr>
      </w:pPr>
      <w:r w:rsidRPr="00B66E47">
        <w:rPr>
          <w:noProof/>
          <w:lang w:val="en-GB"/>
        </w:rPr>
        <w:t>SVA-Guide_How-to-Support-Young-Workers. (n.d.).</w:t>
      </w:r>
    </w:p>
    <w:p w14:paraId="0FB4E56B" w14:textId="77777777" w:rsidR="00B66E47" w:rsidRPr="00B66E47" w:rsidRDefault="00B66E47" w:rsidP="00B66E47">
      <w:pPr>
        <w:pStyle w:val="EndNoteBibliography"/>
        <w:rPr>
          <w:noProof/>
          <w:lang w:val="en-GB"/>
        </w:rPr>
      </w:pPr>
      <w:r w:rsidRPr="00B66E47">
        <w:rPr>
          <w:noProof/>
          <w:lang w:val="en-GB"/>
        </w:rPr>
        <w:t xml:space="preserve">Tamburo, J., Switzer, E., &amp; Gower, W. S. (2019). Lessons from the Diversity Partners Project: Using knowledge translation to strengthen business engagement strategies and improve employment outcomes for job seekers with disabilities. </w:t>
      </w:r>
      <w:r w:rsidRPr="00B66E47">
        <w:rPr>
          <w:i/>
          <w:iCs/>
          <w:noProof/>
          <w:lang w:val="en-GB"/>
        </w:rPr>
        <w:t>Journal of Vocational Rehabilitation</w:t>
      </w:r>
      <w:r w:rsidRPr="00B66E47">
        <w:rPr>
          <w:noProof/>
          <w:lang w:val="en-GB"/>
        </w:rPr>
        <w:t xml:space="preserve">, </w:t>
      </w:r>
      <w:r w:rsidRPr="00B66E47">
        <w:rPr>
          <w:i/>
          <w:iCs/>
          <w:noProof/>
          <w:lang w:val="en-GB"/>
        </w:rPr>
        <w:t>50</w:t>
      </w:r>
      <w:r w:rsidRPr="00B66E47">
        <w:rPr>
          <w:noProof/>
          <w:lang w:val="en-GB"/>
        </w:rPr>
        <w:t xml:space="preserve">(3), 291–299. (136564576). </w:t>
      </w:r>
      <w:hyperlink r:id="rId154" w:history="1">
        <w:r w:rsidRPr="00B66E47">
          <w:rPr>
            <w:rStyle w:val="Hyperlink"/>
            <w:noProof/>
            <w:lang w:val="en-GB"/>
          </w:rPr>
          <w:t>https://doi.org/10.3233/JVR-191010</w:t>
        </w:r>
      </w:hyperlink>
    </w:p>
    <w:p w14:paraId="29D201E1" w14:textId="77777777" w:rsidR="00B66E47" w:rsidRPr="00B66E47" w:rsidRDefault="00B66E47" w:rsidP="00B66E47">
      <w:pPr>
        <w:pStyle w:val="EndNoteBibliography"/>
        <w:rPr>
          <w:noProof/>
          <w:lang w:val="en-GB"/>
        </w:rPr>
      </w:pPr>
      <w:r w:rsidRPr="00B66E47">
        <w:rPr>
          <w:noProof/>
          <w:lang w:val="en-GB"/>
        </w:rPr>
        <w:t>The ILO Global Business Disability Network (ILOGBDN)  Self-Assessment 2022. (n.d.).</w:t>
      </w:r>
    </w:p>
    <w:p w14:paraId="789EDD91" w14:textId="77777777" w:rsidR="00B66E47" w:rsidRPr="00B66E47" w:rsidRDefault="00B66E47" w:rsidP="00B66E47">
      <w:pPr>
        <w:pStyle w:val="EndNoteBibliography"/>
        <w:rPr>
          <w:noProof/>
          <w:lang w:val="en-GB"/>
        </w:rPr>
      </w:pPr>
      <w:r w:rsidRPr="00B66E47">
        <w:rPr>
          <w:noProof/>
          <w:lang w:val="en-GB"/>
        </w:rPr>
        <w:t xml:space="preserve">Tsagaris, G. S., Keeler, J., Carpenter, C., Blatt, G. R., &amp; Seck, M. M. (2026). An Alternative Approach to Employment Service Supports: Utilizing Localized Collaboration and Business Engagement. </w:t>
      </w:r>
      <w:r w:rsidRPr="00B66E47">
        <w:rPr>
          <w:i/>
          <w:iCs/>
          <w:noProof/>
          <w:lang w:val="en-GB"/>
        </w:rPr>
        <w:t>Journal of Vocational Rehabilitation</w:t>
      </w:r>
      <w:r w:rsidRPr="00B66E47">
        <w:rPr>
          <w:noProof/>
          <w:lang w:val="en-GB"/>
        </w:rPr>
        <w:t xml:space="preserve">, </w:t>
      </w:r>
      <w:r w:rsidRPr="00B66E47">
        <w:rPr>
          <w:i/>
          <w:iCs/>
          <w:noProof/>
          <w:lang w:val="en-GB"/>
        </w:rPr>
        <w:t>64</w:t>
      </w:r>
      <w:r w:rsidRPr="00B66E47">
        <w:rPr>
          <w:noProof/>
          <w:lang w:val="en-GB"/>
        </w:rPr>
        <w:t xml:space="preserve">(1), 103–112. (190326277). </w:t>
      </w:r>
      <w:hyperlink r:id="rId155" w:history="1">
        <w:r w:rsidRPr="00B66E47">
          <w:rPr>
            <w:rStyle w:val="Hyperlink"/>
            <w:noProof/>
            <w:lang w:val="en-GB"/>
          </w:rPr>
          <w:t>https://doi.org/10.1177/10522263251394313</w:t>
        </w:r>
      </w:hyperlink>
    </w:p>
    <w:p w14:paraId="01A6F2CC" w14:textId="77777777" w:rsidR="00B66E47" w:rsidRPr="00B66E47" w:rsidRDefault="00B66E47" w:rsidP="00B66E47">
      <w:pPr>
        <w:pStyle w:val="EndNoteBibliography"/>
        <w:rPr>
          <w:noProof/>
          <w:lang w:val="en-GB"/>
        </w:rPr>
      </w:pPr>
      <w:r w:rsidRPr="00B66E47">
        <w:rPr>
          <w:noProof/>
          <w:lang w:val="en-GB"/>
        </w:rPr>
        <w:t>UK-focused, practice-based evidence on employer engagement across attraction, recruitment, retention and progression. (2026).</w:t>
      </w:r>
    </w:p>
    <w:p w14:paraId="7CBD3DF8" w14:textId="77777777" w:rsidR="00B66E47" w:rsidRPr="00B66E47" w:rsidRDefault="00B66E47" w:rsidP="00B66E47">
      <w:pPr>
        <w:pStyle w:val="EndNoteBibliography"/>
        <w:rPr>
          <w:noProof/>
          <w:lang w:val="en-GB"/>
        </w:rPr>
      </w:pPr>
      <w:r w:rsidRPr="00B66E47">
        <w:rPr>
          <w:noProof/>
          <w:lang w:val="en-GB"/>
        </w:rPr>
        <w:t xml:space="preserve">Ulstein, J. (2025). The Impact of Employer Characteristics on Sustaining Employment for Workers with Reduced Capacity: Evidence from Norwegian Register Data. </w:t>
      </w:r>
      <w:r w:rsidRPr="00B66E47">
        <w:rPr>
          <w:i/>
          <w:iCs/>
          <w:noProof/>
          <w:lang w:val="en-GB"/>
        </w:rPr>
        <w:t>Social Policy and Society</w:t>
      </w:r>
      <w:r w:rsidRPr="00B66E47">
        <w:rPr>
          <w:noProof/>
          <w:lang w:val="en-GB"/>
        </w:rPr>
        <w:t xml:space="preserve">, </w:t>
      </w:r>
      <w:r w:rsidRPr="00B66E47">
        <w:rPr>
          <w:i/>
          <w:iCs/>
          <w:noProof/>
          <w:lang w:val="en-GB"/>
        </w:rPr>
        <w:t>24</w:t>
      </w:r>
      <w:r w:rsidRPr="00B66E47">
        <w:rPr>
          <w:noProof/>
          <w:lang w:val="en-GB"/>
        </w:rPr>
        <w:t xml:space="preserve">(2), 232–247. </w:t>
      </w:r>
      <w:hyperlink r:id="rId156" w:history="1">
        <w:r w:rsidRPr="00B66E47">
          <w:rPr>
            <w:rStyle w:val="Hyperlink"/>
            <w:noProof/>
            <w:lang w:val="en-GB"/>
          </w:rPr>
          <w:t>https://doi.org/10.1017/S1474746423000027</w:t>
        </w:r>
      </w:hyperlink>
    </w:p>
    <w:p w14:paraId="02FF4657" w14:textId="77777777" w:rsidR="00B66E47" w:rsidRPr="00B66E47" w:rsidRDefault="00B66E47" w:rsidP="00B66E47">
      <w:pPr>
        <w:pStyle w:val="EndNoteBibliography"/>
        <w:rPr>
          <w:noProof/>
          <w:lang w:val="en-GB"/>
        </w:rPr>
      </w:pPr>
      <w:r w:rsidRPr="00B66E47">
        <w:rPr>
          <w:noProof/>
          <w:lang w:val="en-GB"/>
        </w:rPr>
        <w:t>Understanding workplace attitudes toward disability. (2023).</w:t>
      </w:r>
    </w:p>
    <w:p w14:paraId="163A1E32" w14:textId="77777777" w:rsidR="00B66E47" w:rsidRPr="00B66E47" w:rsidRDefault="00B66E47" w:rsidP="00B66E47">
      <w:pPr>
        <w:pStyle w:val="EndNoteBibliography"/>
        <w:rPr>
          <w:noProof/>
          <w:lang w:val="en-GB"/>
        </w:rPr>
      </w:pPr>
      <w:r w:rsidRPr="00B66E47">
        <w:rPr>
          <w:noProof/>
          <w:lang w:val="en-GB"/>
        </w:rPr>
        <w:t>VALID Employment Project What people told us about good support at work. (n.d.).</w:t>
      </w:r>
    </w:p>
    <w:p w14:paraId="4EA52C8C" w14:textId="77777777" w:rsidR="00B66E47" w:rsidRPr="00B66E47" w:rsidRDefault="00B66E47" w:rsidP="00B66E47">
      <w:pPr>
        <w:pStyle w:val="EndNoteBibliography"/>
        <w:rPr>
          <w:noProof/>
          <w:lang w:val="en-GB"/>
        </w:rPr>
      </w:pPr>
      <w:r w:rsidRPr="00B66E47">
        <w:rPr>
          <w:noProof/>
          <w:lang w:val="en-GB"/>
        </w:rPr>
        <w:t>VALID-Employment-Project-consultation-report-FINAL-1. (2020).</w:t>
      </w:r>
    </w:p>
    <w:p w14:paraId="31AAD32C" w14:textId="77777777" w:rsidR="00B66E47" w:rsidRPr="00B66E47" w:rsidRDefault="00B66E47" w:rsidP="00B66E47">
      <w:pPr>
        <w:pStyle w:val="EndNoteBibliography"/>
        <w:rPr>
          <w:noProof/>
          <w:lang w:val="en-GB"/>
        </w:rPr>
      </w:pPr>
      <w:r w:rsidRPr="00B66E47">
        <w:rPr>
          <w:noProof/>
          <w:lang w:val="en-GB"/>
        </w:rPr>
        <w:t xml:space="preserve">Valizade, D., Ingold, J., &amp; Stuart, M. (2023). Employer Participation in Active Labour Market Policies in the United Kingdom and Denmark: The Effect of Employer Associations as Social Networks and the Mediating Role of Collective Voice. </w:t>
      </w:r>
      <w:r w:rsidRPr="00B66E47">
        <w:rPr>
          <w:i/>
          <w:iCs/>
          <w:noProof/>
          <w:lang w:val="en-GB"/>
        </w:rPr>
        <w:t>Work, Employment and Society</w:t>
      </w:r>
      <w:r w:rsidRPr="00B66E47">
        <w:rPr>
          <w:noProof/>
          <w:lang w:val="en-GB"/>
        </w:rPr>
        <w:t xml:space="preserve">, </w:t>
      </w:r>
      <w:r w:rsidRPr="00B66E47">
        <w:rPr>
          <w:i/>
          <w:iCs/>
          <w:noProof/>
          <w:lang w:val="en-GB"/>
        </w:rPr>
        <w:t>37</w:t>
      </w:r>
      <w:r w:rsidRPr="00B66E47">
        <w:rPr>
          <w:noProof/>
          <w:lang w:val="en-GB"/>
        </w:rPr>
        <w:t xml:space="preserve">(4), 991–1012. </w:t>
      </w:r>
      <w:hyperlink r:id="rId157" w:history="1">
        <w:r w:rsidRPr="00B66E47">
          <w:rPr>
            <w:rStyle w:val="Hyperlink"/>
            <w:noProof/>
            <w:lang w:val="en-GB"/>
          </w:rPr>
          <w:t>https://doi.org/10.1177/09500170211063094</w:t>
        </w:r>
      </w:hyperlink>
    </w:p>
    <w:p w14:paraId="01741070" w14:textId="77777777" w:rsidR="00B66E47" w:rsidRPr="00B66E47" w:rsidRDefault="00B66E47" w:rsidP="00B66E47">
      <w:pPr>
        <w:pStyle w:val="EndNoteBibliography"/>
        <w:rPr>
          <w:noProof/>
          <w:lang w:val="en-GB"/>
        </w:rPr>
      </w:pPr>
      <w:r w:rsidRPr="00B66E47">
        <w:rPr>
          <w:noProof/>
          <w:lang w:val="en-GB"/>
        </w:rPr>
        <w:t xml:space="preserve">Van Berkel, R. (2021). Employer Engagement in Promoting the Labour-Market Participation of Jobseekers with Disabilities. An Employer Perspective. </w:t>
      </w:r>
      <w:r w:rsidRPr="00B66E47">
        <w:rPr>
          <w:i/>
          <w:iCs/>
          <w:noProof/>
          <w:lang w:val="en-GB"/>
        </w:rPr>
        <w:t>Social Policy and Society</w:t>
      </w:r>
      <w:r w:rsidRPr="00B66E47">
        <w:rPr>
          <w:noProof/>
          <w:lang w:val="en-GB"/>
        </w:rPr>
        <w:t xml:space="preserve">, </w:t>
      </w:r>
      <w:r w:rsidRPr="00B66E47">
        <w:rPr>
          <w:i/>
          <w:iCs/>
          <w:noProof/>
          <w:lang w:val="en-GB"/>
        </w:rPr>
        <w:t>20</w:t>
      </w:r>
      <w:r w:rsidRPr="00B66E47">
        <w:rPr>
          <w:noProof/>
          <w:lang w:val="en-GB"/>
        </w:rPr>
        <w:t xml:space="preserve">(4), 533–547. </w:t>
      </w:r>
      <w:hyperlink r:id="rId158" w:history="1">
        <w:r w:rsidRPr="00B66E47">
          <w:rPr>
            <w:rStyle w:val="Hyperlink"/>
            <w:noProof/>
            <w:lang w:val="en-GB"/>
          </w:rPr>
          <w:t>https://doi.org/10.1017/S147474642000038X</w:t>
        </w:r>
      </w:hyperlink>
    </w:p>
    <w:p w14:paraId="5CA736CF" w14:textId="77777777" w:rsidR="00B66E47" w:rsidRPr="00B66E47" w:rsidRDefault="00B66E47" w:rsidP="00B66E47">
      <w:pPr>
        <w:pStyle w:val="EndNoteBibliography"/>
        <w:rPr>
          <w:noProof/>
          <w:lang w:val="en-GB"/>
        </w:rPr>
      </w:pPr>
      <w:r w:rsidRPr="00B66E47">
        <w:rPr>
          <w:noProof/>
          <w:lang w:val="en-GB"/>
        </w:rPr>
        <w:t xml:space="preserve">van Berkel, R., &amp; Breit, E. (2025). Organizational Practices for the Inclusion of </w:t>
      </w:r>
      <w:r w:rsidRPr="00B66E47">
        <w:rPr>
          <w:noProof/>
          <w:lang w:val="en-GB"/>
        </w:rPr>
        <w:lastRenderedPageBreak/>
        <w:t xml:space="preserve">People with Disabilities. A Scoping Review. </w:t>
      </w:r>
      <w:r w:rsidRPr="00B66E47">
        <w:rPr>
          <w:i/>
          <w:iCs/>
          <w:noProof/>
          <w:lang w:val="en-GB"/>
        </w:rPr>
        <w:t>Journal of Occupational Rehabilitation</w:t>
      </w:r>
      <w:r w:rsidRPr="00B66E47">
        <w:rPr>
          <w:noProof/>
          <w:lang w:val="en-GB"/>
        </w:rPr>
        <w:t xml:space="preserve">, </w:t>
      </w:r>
      <w:r w:rsidRPr="00B66E47">
        <w:rPr>
          <w:i/>
          <w:iCs/>
          <w:noProof/>
          <w:lang w:val="en-GB"/>
        </w:rPr>
        <w:t>35</w:t>
      </w:r>
      <w:r w:rsidRPr="00B66E47">
        <w:rPr>
          <w:noProof/>
          <w:lang w:val="en-GB"/>
        </w:rPr>
        <w:t xml:space="preserve">(3), 469–478. (187381853). </w:t>
      </w:r>
      <w:hyperlink r:id="rId159" w:history="1">
        <w:r w:rsidRPr="00B66E47">
          <w:rPr>
            <w:rStyle w:val="Hyperlink"/>
            <w:noProof/>
            <w:lang w:val="en-GB"/>
          </w:rPr>
          <w:t>https://doi.org/10.1007/s10926-024-10228-5</w:t>
        </w:r>
      </w:hyperlink>
    </w:p>
    <w:p w14:paraId="15EE7DCB" w14:textId="77777777" w:rsidR="00B66E47" w:rsidRPr="00B66E47" w:rsidRDefault="00B66E47" w:rsidP="00B66E47">
      <w:pPr>
        <w:pStyle w:val="EndNoteBibliography"/>
        <w:rPr>
          <w:noProof/>
          <w:lang w:val="en-GB"/>
        </w:rPr>
      </w:pPr>
      <w:r w:rsidRPr="00B66E47">
        <w:rPr>
          <w:noProof/>
          <w:lang w:val="en-GB"/>
        </w:rPr>
        <w:t xml:space="preserve">Van Berkel, R., Ingold, J., McGurk, P., Boselie, P., &amp; Bredgaard, T. (2017). Editorial introduction: An introduction to employer engagement in the field of HRM. Blending social policy and HRM research in promoting vulnerable groups’ labour. </w:t>
      </w:r>
      <w:r w:rsidRPr="00B66E47">
        <w:rPr>
          <w:i/>
          <w:iCs/>
          <w:noProof/>
          <w:lang w:val="en-GB"/>
        </w:rPr>
        <w:t>Human Res Mgmt Journal</w:t>
      </w:r>
      <w:r w:rsidRPr="00B66E47">
        <w:rPr>
          <w:noProof/>
          <w:lang w:val="en-GB"/>
        </w:rPr>
        <w:t xml:space="preserve">, </w:t>
      </w:r>
      <w:r w:rsidRPr="00B66E47">
        <w:rPr>
          <w:i/>
          <w:iCs/>
          <w:noProof/>
          <w:lang w:val="en-GB"/>
        </w:rPr>
        <w:t>27</w:t>
      </w:r>
      <w:r w:rsidRPr="00B66E47">
        <w:rPr>
          <w:noProof/>
          <w:lang w:val="en-GB"/>
        </w:rPr>
        <w:t xml:space="preserve">(4), 503–513. </w:t>
      </w:r>
      <w:hyperlink r:id="rId160" w:history="1">
        <w:r w:rsidRPr="00B66E47">
          <w:rPr>
            <w:rStyle w:val="Hyperlink"/>
            <w:noProof/>
            <w:lang w:val="en-GB"/>
          </w:rPr>
          <w:t>https://doi.org/10.1111/1748-8583.12169</w:t>
        </w:r>
      </w:hyperlink>
    </w:p>
    <w:p w14:paraId="795C8479" w14:textId="77777777" w:rsidR="00B66E47" w:rsidRPr="00B66E47" w:rsidRDefault="00B66E47" w:rsidP="00B66E47">
      <w:pPr>
        <w:pStyle w:val="EndNoteBibliography"/>
        <w:rPr>
          <w:noProof/>
          <w:lang w:val="en-GB"/>
        </w:rPr>
      </w:pPr>
      <w:r w:rsidRPr="00B66E47">
        <w:rPr>
          <w:noProof/>
          <w:lang w:val="en-GB"/>
        </w:rPr>
        <w:t xml:space="preserve">van Berkel, R., Ingold, J., McGurk, P., Boselie, P., &amp; Bredgaard, T. (2017). Editorial introduction: An introduction to employer engagement in the field of HRM. Blending social policy and HRM research in promoting vulnerable groups’ labour market participation. </w:t>
      </w:r>
      <w:r w:rsidRPr="00B66E47">
        <w:rPr>
          <w:i/>
          <w:iCs/>
          <w:noProof/>
          <w:lang w:val="en-GB"/>
        </w:rPr>
        <w:t>HUMAN RESOURCE MANAGEMENT JOURNAL</w:t>
      </w:r>
      <w:r w:rsidRPr="00B66E47">
        <w:rPr>
          <w:noProof/>
          <w:lang w:val="en-GB"/>
        </w:rPr>
        <w:t xml:space="preserve">, </w:t>
      </w:r>
      <w:r w:rsidRPr="00B66E47">
        <w:rPr>
          <w:i/>
          <w:iCs/>
          <w:noProof/>
          <w:lang w:val="en-GB"/>
        </w:rPr>
        <w:t>27</w:t>
      </w:r>
      <w:r w:rsidRPr="00B66E47">
        <w:rPr>
          <w:noProof/>
          <w:lang w:val="en-GB"/>
        </w:rPr>
        <w:t xml:space="preserve">(4), 503–513. (WOS:000415886300001). </w:t>
      </w:r>
      <w:hyperlink r:id="rId161" w:history="1">
        <w:r w:rsidRPr="00B66E47">
          <w:rPr>
            <w:rStyle w:val="Hyperlink"/>
            <w:noProof/>
            <w:lang w:val="en-GB"/>
          </w:rPr>
          <w:t>https://doi.org/10.1111/1748-8583.12169</w:t>
        </w:r>
      </w:hyperlink>
    </w:p>
    <w:p w14:paraId="6D530AD8" w14:textId="77777777" w:rsidR="00B66E47" w:rsidRPr="00B66E47" w:rsidRDefault="00B66E47" w:rsidP="00B66E47">
      <w:pPr>
        <w:pStyle w:val="EndNoteBibliography"/>
        <w:rPr>
          <w:noProof/>
          <w:lang w:val="en-GB"/>
        </w:rPr>
      </w:pPr>
      <w:r w:rsidRPr="00B66E47">
        <w:rPr>
          <w:noProof/>
          <w:lang w:val="en-GB"/>
        </w:rPr>
        <w:t>Whippy, G. K. (n.d.). Employing  Disabled Talent  A guide for the TV sector.</w:t>
      </w:r>
    </w:p>
    <w:p w14:paraId="25D3E819" w14:textId="77777777" w:rsidR="00B66E47" w:rsidRPr="00B66E47" w:rsidRDefault="00B66E47" w:rsidP="00B66E47">
      <w:pPr>
        <w:pStyle w:val="EndNoteBibliography"/>
        <w:rPr>
          <w:noProof/>
          <w:lang w:val="en-GB"/>
        </w:rPr>
      </w:pPr>
      <w:r w:rsidRPr="00B66E47">
        <w:rPr>
          <w:noProof/>
          <w:lang w:val="en-GB"/>
        </w:rPr>
        <w:t>Wiggan, J., &amp; Knuth, M. (n.d.). Active Labour Market Programmes and Employer Engagement in the UK and Germany.</w:t>
      </w:r>
    </w:p>
    <w:p w14:paraId="4D7BC2A6" w14:textId="77777777" w:rsidR="00B66E47" w:rsidRPr="00B66E47" w:rsidRDefault="00B66E47" w:rsidP="00B66E47">
      <w:pPr>
        <w:pStyle w:val="EndNoteBibliography"/>
        <w:rPr>
          <w:noProof/>
          <w:lang w:val="en-GB"/>
        </w:rPr>
      </w:pPr>
      <w:r w:rsidRPr="00B66E47">
        <w:rPr>
          <w:noProof/>
          <w:lang w:val="en-GB"/>
        </w:rPr>
        <w:t>Working with employers to advance opportunity: A roadmap to strengthen the  eco-system. (2025).</w:t>
      </w:r>
    </w:p>
    <w:p w14:paraId="1FE743A8" w14:textId="77777777" w:rsidR="00B66E47" w:rsidRPr="00B66E47" w:rsidRDefault="00B66E47" w:rsidP="00B66E47">
      <w:pPr>
        <w:pStyle w:val="EndNoteBibliography"/>
        <w:rPr>
          <w:noProof/>
          <w:lang w:val="en-GB"/>
        </w:rPr>
      </w:pPr>
      <w:r w:rsidRPr="00B66E47">
        <w:rPr>
          <w:noProof/>
          <w:lang w:val="en-GB"/>
        </w:rPr>
        <w:t>Workplace disability employment strategies. (n.d.).</w:t>
      </w:r>
    </w:p>
    <w:p w14:paraId="061B4659" w14:textId="77777777" w:rsidR="00B66E47" w:rsidRPr="00B66E47" w:rsidRDefault="00B66E47" w:rsidP="00B66E47">
      <w:pPr>
        <w:pStyle w:val="EndNoteBibliography"/>
        <w:rPr>
          <w:noProof/>
          <w:lang w:val="en-GB"/>
        </w:rPr>
      </w:pPr>
      <w:r w:rsidRPr="00B66E47">
        <w:rPr>
          <w:noProof/>
          <w:lang w:val="en-GB"/>
        </w:rPr>
        <w:t>Workplace psychosocial safety checklist. (n.d.). QUT.</w:t>
      </w:r>
    </w:p>
    <w:p w14:paraId="5F666E4A" w14:textId="77777777" w:rsidR="00B66E47" w:rsidRPr="00B66E47" w:rsidRDefault="00B66E47" w:rsidP="00B66E47">
      <w:pPr>
        <w:pStyle w:val="EndNoteBibliography"/>
        <w:rPr>
          <w:noProof/>
          <w:lang w:val="en-GB"/>
        </w:rPr>
      </w:pPr>
      <w:r w:rsidRPr="00B66E47">
        <w:rPr>
          <w:noProof/>
          <w:lang w:val="en-GB"/>
        </w:rPr>
        <w:t>WorkWell Toolkit: Workers with a disability | WorkSafe Victoria. (2026).</w:t>
      </w:r>
    </w:p>
    <w:p w14:paraId="77A2024B" w14:textId="77777777" w:rsidR="00B66E47" w:rsidRPr="00B66E47" w:rsidRDefault="00B66E47" w:rsidP="00B66E47">
      <w:pPr>
        <w:pStyle w:val="EndNoteBibliography"/>
        <w:rPr>
          <w:noProof/>
          <w:lang w:val="en-GB"/>
        </w:rPr>
      </w:pPr>
      <w:r w:rsidRPr="00B66E47">
        <w:rPr>
          <w:noProof/>
          <w:lang w:val="en-GB"/>
        </w:rPr>
        <w:t xml:space="preserve">Wyckoff, L., &amp; Clymer, C. (n.d.). </w:t>
      </w:r>
      <w:r w:rsidRPr="00B66E47">
        <w:rPr>
          <w:i/>
          <w:iCs/>
          <w:noProof/>
          <w:lang w:val="en-GB"/>
        </w:rPr>
        <w:t>A Guide for Job Developers</w:t>
      </w:r>
      <w:r w:rsidRPr="00B66E47">
        <w:rPr>
          <w:noProof/>
          <w:lang w:val="en-GB"/>
        </w:rPr>
        <w:t>.</w:t>
      </w:r>
    </w:p>
    <w:p w14:paraId="1D3EE94A" w14:textId="77777777" w:rsidR="00B66E47" w:rsidRPr="00B66E47" w:rsidRDefault="00B66E47" w:rsidP="00B66E47">
      <w:pPr>
        <w:pStyle w:val="EndNoteBibliography"/>
        <w:rPr>
          <w:noProof/>
          <w:lang w:val="en-GB"/>
        </w:rPr>
      </w:pPr>
      <w:r w:rsidRPr="00B66E47">
        <w:rPr>
          <w:noProof/>
          <w:lang w:val="en-GB"/>
        </w:rPr>
        <w:t>Wyndham Inclusive Industries Toolkit_Sections ALL_Version 2. (2022). Wyndham City Council.</w:t>
      </w:r>
    </w:p>
    <w:p w14:paraId="5D8325F6" w14:textId="4B049462" w:rsidR="00E0637E" w:rsidRPr="00376284" w:rsidRDefault="00B66E47" w:rsidP="00376284">
      <w:pPr>
        <w:pStyle w:val="EndNoteBibliography"/>
        <w:rPr>
          <w:noProof/>
          <w:lang w:val="en-GB"/>
        </w:rPr>
      </w:pPr>
      <w:r w:rsidRPr="00B66E47">
        <w:rPr>
          <w:noProof/>
          <w:lang w:val="en-GB"/>
        </w:rPr>
        <w:t xml:space="preserve">Zhao, Z., &amp; Liu, J. (2025). </w:t>
      </w:r>
      <w:r w:rsidRPr="00B66E47">
        <w:rPr>
          <w:i/>
          <w:iCs/>
          <w:noProof/>
          <w:lang w:val="en-GB"/>
        </w:rPr>
        <w:t>Improving Employer Engagement in a Manufacturing Professional Workforce Development Program</w:t>
      </w:r>
      <w:r w:rsidRPr="00B66E47">
        <w:rPr>
          <w:noProof/>
          <w:lang w:val="en-GB"/>
        </w:rPr>
        <w:t xml:space="preserve">. ASEE Annual Conference and Exposition, Conference Proceedings. </w:t>
      </w:r>
      <w:hyperlink r:id="rId162" w:history="1">
        <w:r w:rsidRPr="00B66E47">
          <w:rPr>
            <w:rStyle w:val="Hyperlink"/>
            <w:noProof/>
            <w:lang w:val="en-GB"/>
          </w:rPr>
          <w:t>https://doi.org/10.18260/1-2--56760</w:t>
        </w:r>
      </w:hyperlink>
      <w:r w:rsidR="00E0637E" w:rsidRPr="009D48BC">
        <w:rPr>
          <w:noProof/>
        </w:rPr>
        <w:t xml:space="preserve"> </w:t>
      </w:r>
    </w:p>
    <w:p w14:paraId="0BBE4F26" w14:textId="1BBF96F5" w:rsidR="00420F0B" w:rsidRPr="009D48BC" w:rsidRDefault="00420F0B" w:rsidP="002726F7">
      <w:pPr>
        <w:pStyle w:val="Heading1"/>
        <w:rPr>
          <w:sz w:val="24"/>
          <w:szCs w:val="24"/>
        </w:rPr>
      </w:pPr>
    </w:p>
    <w:p w14:paraId="76056455" w14:textId="77777777" w:rsidR="009D48BC" w:rsidRPr="009D48BC" w:rsidRDefault="009D48BC">
      <w:pPr>
        <w:pStyle w:val="Heading1"/>
        <w:rPr>
          <w:sz w:val="24"/>
          <w:szCs w:val="24"/>
        </w:rPr>
      </w:pPr>
    </w:p>
    <w:sectPr w:rsidR="009D48BC" w:rsidRPr="009D48BC" w:rsidSect="00DF0A5A">
      <w:pgSz w:w="11906" w:h="16838" w:code="9"/>
      <w:pgMar w:top="1134" w:right="1134" w:bottom="113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09469" w14:textId="77777777" w:rsidR="00363CE4" w:rsidRDefault="00363CE4" w:rsidP="002726F7">
      <w:r>
        <w:separator/>
      </w:r>
    </w:p>
  </w:endnote>
  <w:endnote w:type="continuationSeparator" w:id="0">
    <w:p w14:paraId="53C0B643" w14:textId="77777777" w:rsidR="00363CE4" w:rsidRDefault="00363CE4" w:rsidP="0027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Univers">
    <w:panose1 w:val="020B0503020202020204"/>
    <w:charset w:val="00"/>
    <w:family w:val="swiss"/>
    <w:pitch w:val="variable"/>
    <w:sig w:usb0="80000287" w:usb1="00000000" w:usb2="00000000" w:usb3="00000000" w:csb0="0000000F" w:csb1="00000000"/>
  </w:font>
  <w:font w:name="Montserrat">
    <w:altName w:val="Calibri"/>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Poppins">
    <w:panose1 w:val="00000500000000000000"/>
    <w:charset w:val="00"/>
    <w:family w:val="auto"/>
    <w:pitch w:val="variable"/>
    <w:sig w:usb0="00008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67757595" w:rsidR="00824DA9" w:rsidRPr="001A33B7" w:rsidRDefault="00824DA9" w:rsidP="002726F7">
          <w:pPr>
            <w:pStyle w:val="Footer"/>
          </w:pPr>
          <w:r>
            <w:fldChar w:fldCharType="begin"/>
          </w:r>
          <w:r>
            <w:instrText xml:space="preserve"> DOCPROPERTY  CoverHeading </w:instrText>
          </w:r>
          <w:r>
            <w:fldChar w:fldCharType="separate"/>
          </w:r>
          <w:r w:rsidR="009F6FC8">
            <w:rPr>
              <w:lang w:val="en-GB"/>
            </w:rPr>
            <w:t>Error! Unknown document property name.</w:t>
          </w:r>
          <w:r>
            <w:fldChar w:fldCharType="end"/>
          </w:r>
        </w:p>
      </w:tc>
      <w:tc>
        <w:tcPr>
          <w:tcW w:w="355" w:type="dxa"/>
          <w:vAlign w:val="bottom"/>
        </w:tcPr>
        <w:p w14:paraId="4C2D95E6" w14:textId="77777777" w:rsidR="00824DA9" w:rsidRPr="001A33B7" w:rsidRDefault="00824DA9" w:rsidP="002726F7">
          <w:pPr>
            <w:pStyle w:val="Footer"/>
            <w:rPr>
              <w:lang w:val="en-AU"/>
            </w:rPr>
          </w:pPr>
          <w:r>
            <w:fldChar w:fldCharType="begin"/>
          </w:r>
          <w:r>
            <w:instrText xml:space="preserve"> PAGE   \* MERGEFORMAT </w:instrText>
          </w:r>
          <w:r>
            <w:fldChar w:fldCharType="separate"/>
          </w:r>
          <w:r>
            <w:t>4</w:t>
          </w:r>
          <w:r>
            <w:rPr>
              <w:noProof/>
            </w:rPr>
            <w:fldChar w:fldCharType="end"/>
          </w:r>
        </w:p>
      </w:tc>
    </w:tr>
  </w:tbl>
  <w:p w14:paraId="215732CD" w14:textId="77777777" w:rsidR="00950BCC" w:rsidRDefault="00950BCC" w:rsidP="002726F7">
    <w:pPr>
      <w:pStyle w:val="Footer"/>
    </w:pPr>
  </w:p>
  <w:p w14:paraId="29449474" w14:textId="77777777" w:rsidR="00D855A8" w:rsidRDefault="00D855A8" w:rsidP="002726F7"/>
  <w:p w14:paraId="46FFDF89" w14:textId="77777777" w:rsidR="00D855A8" w:rsidRDefault="00D855A8" w:rsidP="002726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828" w:type="dxa"/>
      <w:tblCellMar>
        <w:left w:w="0" w:type="dxa"/>
        <w:right w:w="0" w:type="dxa"/>
      </w:tblCellMar>
      <w:tblLook w:val="04A0" w:firstRow="1" w:lastRow="0" w:firstColumn="1" w:lastColumn="0" w:noHBand="0" w:noVBand="1"/>
    </w:tblPr>
    <w:tblGrid>
      <w:gridCol w:w="5014"/>
      <w:gridCol w:w="4814"/>
    </w:tblGrid>
    <w:tr w:rsidR="00F347FF" w14:paraId="662600EA" w14:textId="77777777" w:rsidTr="009C2976">
      <w:tc>
        <w:tcPr>
          <w:tcW w:w="5014" w:type="dxa"/>
          <w:tcBorders>
            <w:top w:val="nil"/>
            <w:left w:val="nil"/>
            <w:bottom w:val="nil"/>
            <w:right w:val="nil"/>
          </w:tcBorders>
        </w:tcPr>
        <w:p w14:paraId="72FCBD4A" w14:textId="683F87E6" w:rsidR="00F347FF" w:rsidRDefault="009130EA" w:rsidP="009C2976">
          <w:pPr>
            <w:pStyle w:val="Footer"/>
            <w:ind w:right="-186"/>
          </w:pPr>
          <w:r w:rsidRPr="009130EA">
            <w:t>Engaging employers to increase the employment of people with disability in Australia. Appendices and references</w:t>
          </w:r>
        </w:p>
      </w:tc>
      <w:tc>
        <w:tcPr>
          <w:tcW w:w="4814" w:type="dxa"/>
          <w:tcBorders>
            <w:top w:val="nil"/>
            <w:left w:val="nil"/>
            <w:bottom w:val="nil"/>
            <w:right w:val="nil"/>
          </w:tcBorders>
        </w:tcPr>
        <w:p w14:paraId="64F6ABB4" w14:textId="77777777" w:rsidR="00F347FF" w:rsidRDefault="00F347FF" w:rsidP="00A83B0C">
          <w:pPr>
            <w:pStyle w:val="Footer"/>
            <w:ind w:left="3837"/>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AFDF9C2" w14:textId="77777777" w:rsidR="00927FA1" w:rsidRPr="0039482E" w:rsidRDefault="00927FA1" w:rsidP="002726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67941010" w14:textId="229F9248" w:rsidR="0037216A" w:rsidRPr="00467F4D" w:rsidRDefault="0037216A" w:rsidP="002726F7">
          <w:pPr>
            <w:pStyle w:val="Footer"/>
          </w:pPr>
        </w:p>
      </w:tc>
      <w:tc>
        <w:tcPr>
          <w:tcW w:w="5517" w:type="dxa"/>
          <w:tcBorders>
            <w:top w:val="nil"/>
            <w:left w:val="nil"/>
            <w:bottom w:val="nil"/>
            <w:right w:val="nil"/>
          </w:tcBorders>
        </w:tcPr>
        <w:p w14:paraId="3639241C" w14:textId="77777777" w:rsidR="0037216A" w:rsidRDefault="0037216A" w:rsidP="002726F7">
          <w:pPr>
            <w:pStyle w:val="Footer"/>
          </w:pPr>
          <w:r>
            <w:rPr>
              <w:noProof/>
            </w:rPr>
            <w:drawing>
              <wp:inline distT="0" distB="0" distL="0" distR="0" wp14:anchorId="754F0319" wp14:editId="1221547D">
                <wp:extent cx="3632400" cy="324000"/>
                <wp:effectExtent l="0" t="0" r="6350" b="0"/>
                <wp:docPr id="226461565"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rsidP="00272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D16E" w14:textId="77777777" w:rsidR="00363CE4" w:rsidRDefault="00363CE4" w:rsidP="002726F7">
      <w:bookmarkStart w:id="0" w:name="_Hlk480808360"/>
      <w:bookmarkEnd w:id="0"/>
      <w:r>
        <w:separator/>
      </w:r>
    </w:p>
  </w:footnote>
  <w:footnote w:type="continuationSeparator" w:id="0">
    <w:p w14:paraId="633996C4" w14:textId="77777777" w:rsidR="00363CE4" w:rsidRDefault="00363CE4" w:rsidP="00272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7BE9" w14:textId="0A871513" w:rsidR="009F2171" w:rsidRDefault="009F2171">
    <w:pPr>
      <w:pStyle w:val="Header"/>
    </w:pPr>
    <w:r>
      <w:rPr>
        <w:noProof/>
      </w:rPr>
      <mc:AlternateContent>
        <mc:Choice Requires="wps">
          <w:drawing>
            <wp:anchor distT="0" distB="0" distL="0" distR="0" simplePos="0" relativeHeight="251658243" behindDoc="0" locked="0" layoutInCell="1" allowOverlap="1" wp14:anchorId="7B4030BF" wp14:editId="1A076592">
              <wp:simplePos x="635" y="635"/>
              <wp:positionH relativeFrom="page">
                <wp:align>left</wp:align>
              </wp:positionH>
              <wp:positionV relativeFrom="page">
                <wp:align>top</wp:align>
              </wp:positionV>
              <wp:extent cx="741045" cy="520700"/>
              <wp:effectExtent l="0" t="0" r="1905" b="12700"/>
              <wp:wrapNone/>
              <wp:docPr id="1204267910"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520700"/>
                      </a:xfrm>
                      <a:prstGeom prst="rect">
                        <a:avLst/>
                      </a:prstGeom>
                      <a:noFill/>
                      <a:ln>
                        <a:noFill/>
                      </a:ln>
                    </wps:spPr>
                    <wps:txbx>
                      <w:txbxContent>
                        <w:p w14:paraId="6941DF7D" w14:textId="1F27A763" w:rsidR="009F2171" w:rsidRPr="009F2171" w:rsidRDefault="009F2171" w:rsidP="002726F7">
                          <w:pPr>
                            <w:rPr>
                              <w:noProof/>
                            </w:rPr>
                          </w:pPr>
                          <w:r w:rsidRPr="009F2171">
                            <w:rPr>
                              <w:noProof/>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4030BF" id="_x0000_t202" coordsize="21600,21600" o:spt="202" path="m,l,21600r21600,l21600,xe">
              <v:stroke joinstyle="miter"/>
              <v:path gradientshapeok="t" o:connecttype="rect"/>
            </v:shapetype>
            <v:shape id="Text Box 2" o:spid="_x0000_s1026" type="#_x0000_t202" alt="Internal" style="position:absolute;margin-left:0;margin-top:0;width:58.35pt;height:41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" filled="f" stroked="f">
              <v:textbox style="mso-fit-shape-to-text:t" inset="20pt,15pt,0,0">
                <w:txbxContent>
                  <w:p w14:paraId="6941DF7D" w14:textId="1F27A763" w:rsidR="009F2171" w:rsidRPr="009F2171" w:rsidRDefault="009F2171" w:rsidP="002726F7">
                    <w:pPr>
                      <w:rPr>
                        <w:noProof/>
                      </w:rPr>
                    </w:pPr>
                    <w:r w:rsidRPr="009F2171">
                      <w:rPr>
                        <w:noProof/>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71A92F48" w:rsidR="0039482E" w:rsidRDefault="0039482E">
    <w:pPr>
      <w:pStyle w:val="Header"/>
    </w:pPr>
    <w:r>
      <w:rPr>
        <w:noProof/>
      </w:rPr>
      <w:drawing>
        <wp:anchor distT="0" distB="0" distL="114300" distR="114300" simplePos="0" relativeHeight="251658241" behindDoc="1" locked="0" layoutInCell="1" allowOverlap="1" wp14:anchorId="373D7012" wp14:editId="0287D99E">
          <wp:simplePos x="0" y="0"/>
          <wp:positionH relativeFrom="page">
            <wp:posOffset>5775960</wp:posOffset>
          </wp:positionH>
          <wp:positionV relativeFrom="page">
            <wp:posOffset>-106680</wp:posOffset>
          </wp:positionV>
          <wp:extent cx="1893600" cy="1893600"/>
          <wp:effectExtent l="0" t="0" r="0" b="0"/>
          <wp:wrapNone/>
          <wp:docPr id="182921208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49C9B230" w14:textId="77777777" w:rsidTr="006D7267">
      <w:trPr>
        <w:trHeight w:val="1984"/>
      </w:trPr>
      <w:tc>
        <w:tcPr>
          <w:tcW w:w="10100" w:type="dxa"/>
          <w:tcBorders>
            <w:top w:val="nil"/>
            <w:left w:val="nil"/>
            <w:bottom w:val="nil"/>
            <w:right w:val="nil"/>
          </w:tcBorders>
        </w:tcPr>
        <w:p w14:paraId="6B37767E" w14:textId="58D7035C" w:rsidR="006D7267" w:rsidRDefault="006D7267" w:rsidP="006D7267">
          <w:pPr>
            <w:pStyle w:val="Header"/>
          </w:pPr>
          <w:r>
            <w:rPr>
              <w:noProof/>
            </w:rPr>
            <w:drawing>
              <wp:inline distT="0" distB="0" distL="0" distR="0" wp14:anchorId="06AA671E" wp14:editId="4BA8B7CA">
                <wp:extent cx="1435611" cy="783338"/>
                <wp:effectExtent l="0" t="0" r="0" b="0"/>
                <wp:docPr id="931085718"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77777777" w:rsidR="006D7267" w:rsidRDefault="006D7267">
    <w:pPr>
      <w:pStyle w:val="Header"/>
    </w:pPr>
    <w:r>
      <w:rPr>
        <w:noProof/>
      </w:rPr>
      <w:drawing>
        <wp:anchor distT="0" distB="0" distL="114300" distR="114300" simplePos="0" relativeHeight="251658240" behindDoc="1" locked="0" layoutInCell="1" allowOverlap="1" wp14:anchorId="5F182F01" wp14:editId="2F0DAD3B">
          <wp:simplePos x="0" y="0"/>
          <wp:positionH relativeFrom="column">
            <wp:posOffset>5060892</wp:posOffset>
          </wp:positionH>
          <wp:positionV relativeFrom="paragraph">
            <wp:posOffset>-1655445</wp:posOffset>
          </wp:positionV>
          <wp:extent cx="1892812" cy="1892812"/>
          <wp:effectExtent l="0" t="0" r="0" b="0"/>
          <wp:wrapNone/>
          <wp:docPr id="718111180"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038D770D"/>
    <w:multiLevelType w:val="hybridMultilevel"/>
    <w:tmpl w:val="F790D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7"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1" w15:restartNumberingAfterBreak="0">
    <w:nsid w:val="33E51464"/>
    <w:multiLevelType w:val="multilevel"/>
    <w:tmpl w:val="BC2EAD96"/>
    <w:numStyleLink w:val="BulletsStyle"/>
  </w:abstractNum>
  <w:abstractNum w:abstractNumId="12"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6"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19"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0"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77701A9"/>
    <w:multiLevelType w:val="multilevel"/>
    <w:tmpl w:val="A914E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B2D97"/>
    <w:multiLevelType w:val="multilevel"/>
    <w:tmpl w:val="BC102C32"/>
    <w:numStyleLink w:val="AppendixStyle"/>
  </w:abstractNum>
  <w:abstractNum w:abstractNumId="26"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677466"/>
    <w:multiLevelType w:val="hybridMultilevel"/>
    <w:tmpl w:val="72047EC8"/>
    <w:lvl w:ilvl="0" w:tplc="0C09000F">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722010FB"/>
    <w:multiLevelType w:val="hybridMultilevel"/>
    <w:tmpl w:val="39CC96D0"/>
    <w:lvl w:ilvl="0" w:tplc="1122C326">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BF7046E"/>
    <w:multiLevelType w:val="multilevel"/>
    <w:tmpl w:val="F29CF010"/>
    <w:numStyleLink w:val="Numbers"/>
  </w:abstractNum>
  <w:abstractNum w:abstractNumId="31"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22"/>
  </w:num>
  <w:num w:numId="2" w16cid:durableId="1421828783">
    <w:abstractNumId w:val="26"/>
  </w:num>
  <w:num w:numId="3" w16cid:durableId="924455219">
    <w:abstractNumId w:val="21"/>
    <w:lvlOverride w:ilvl="1">
      <w:lvl w:ilvl="1">
        <w:start w:val="1"/>
        <w:numFmt w:val="decimalZero"/>
        <w:isLgl/>
        <w:lvlText w:val="Section %1.%2"/>
        <w:lvlJc w:val="left"/>
        <w:pPr>
          <w:ind w:left="0" w:firstLine="0"/>
        </w:pPr>
      </w:lvl>
    </w:lvlOverride>
  </w:num>
  <w:num w:numId="4" w16cid:durableId="8145819">
    <w:abstractNumId w:val="13"/>
  </w:num>
  <w:num w:numId="5" w16cid:durableId="1935043804">
    <w:abstractNumId w:val="10"/>
  </w:num>
  <w:num w:numId="6" w16cid:durableId="1532452615">
    <w:abstractNumId w:val="19"/>
  </w:num>
  <w:num w:numId="7" w16cid:durableId="1898588451">
    <w:abstractNumId w:val="15"/>
  </w:num>
  <w:num w:numId="8" w16cid:durableId="983848062">
    <w:abstractNumId w:val="23"/>
  </w:num>
  <w:num w:numId="9" w16cid:durableId="194080551">
    <w:abstractNumId w:val="29"/>
  </w:num>
  <w:num w:numId="10" w16cid:durableId="2024166019">
    <w:abstractNumId w:val="8"/>
  </w:num>
  <w:num w:numId="11" w16cid:durableId="2124497634">
    <w:abstractNumId w:val="31"/>
  </w:num>
  <w:num w:numId="12" w16cid:durableId="1022440377">
    <w:abstractNumId w:val="12"/>
  </w:num>
  <w:num w:numId="13" w16cid:durableId="988435812">
    <w:abstractNumId w:val="9"/>
  </w:num>
  <w:num w:numId="14" w16cid:durableId="422797658">
    <w:abstractNumId w:val="5"/>
  </w:num>
  <w:num w:numId="15" w16cid:durableId="995574081">
    <w:abstractNumId w:val="17"/>
  </w:num>
  <w:num w:numId="16" w16cid:durableId="1383208082">
    <w:abstractNumId w:val="20"/>
  </w:num>
  <w:num w:numId="17" w16cid:durableId="654719767">
    <w:abstractNumId w:val="2"/>
  </w:num>
  <w:num w:numId="18" w16cid:durableId="2106270163">
    <w:abstractNumId w:val="3"/>
  </w:num>
  <w:num w:numId="19" w16cid:durableId="393092543">
    <w:abstractNumId w:val="1"/>
  </w:num>
  <w:num w:numId="20" w16cid:durableId="358355396">
    <w:abstractNumId w:val="0"/>
  </w:num>
  <w:num w:numId="21" w16cid:durableId="498084787">
    <w:abstractNumId w:val="6"/>
  </w:num>
  <w:num w:numId="22" w16cid:durableId="1153183473">
    <w:abstractNumId w:val="28"/>
  </w:num>
  <w:num w:numId="23" w16cid:durableId="707493237">
    <w:abstractNumId w:val="14"/>
  </w:num>
  <w:num w:numId="24" w16cid:durableId="2011563492">
    <w:abstractNumId w:val="7"/>
  </w:num>
  <w:num w:numId="25" w16cid:durableId="283122014">
    <w:abstractNumId w:val="5"/>
  </w:num>
  <w:num w:numId="26" w16cid:durableId="781416173">
    <w:abstractNumId w:val="17"/>
  </w:num>
  <w:num w:numId="27" w16cid:durableId="1798379127">
    <w:abstractNumId w:val="20"/>
  </w:num>
  <w:num w:numId="28" w16cid:durableId="2115129295">
    <w:abstractNumId w:val="25"/>
  </w:num>
  <w:num w:numId="29" w16cid:durableId="487936713">
    <w:abstractNumId w:val="16"/>
  </w:num>
  <w:num w:numId="30" w16cid:durableId="1494103499">
    <w:abstractNumId w:val="16"/>
  </w:num>
  <w:num w:numId="31" w16cid:durableId="583611803">
    <w:abstractNumId w:val="11"/>
  </w:num>
  <w:num w:numId="32" w16cid:durableId="1832939430">
    <w:abstractNumId w:val="30"/>
    <w:lvlOverride w:ilvl="1">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Override>
  </w:num>
  <w:num w:numId="33" w16cid:durableId="1511530278">
    <w:abstractNumId w:val="24"/>
  </w:num>
  <w:num w:numId="34" w16cid:durableId="1882672469">
    <w:abstractNumId w:val="4"/>
  </w:num>
  <w:num w:numId="35" w16cid:durableId="608854398">
    <w:abstractNumId w:val="27"/>
  </w:num>
  <w:num w:numId="36" w16cid:durableId="192795974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Montserrat&lt;/FontName&gt;&lt;FontSize&gt;2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sp5tfro2pv06ewxd75wstwpw0d0serp95v&quot;&gt;My EndNote Library&lt;record-ids&gt;&lt;item&gt;101&lt;/item&gt;&lt;item&gt;102&lt;/item&gt;&lt;item&gt;103&lt;/item&gt;&lt;item&gt;104&lt;/item&gt;&lt;item&gt;105&lt;/item&gt;&lt;item&gt;106&lt;/item&gt;&lt;/record-ids&gt;&lt;/item&gt;&lt;/Libraries&gt;"/>
  </w:docVars>
  <w:rsids>
    <w:rsidRoot w:val="00D2338B"/>
    <w:rsid w:val="000008CB"/>
    <w:rsid w:val="00000C8B"/>
    <w:rsid w:val="00001DC9"/>
    <w:rsid w:val="0000286A"/>
    <w:rsid w:val="0000298F"/>
    <w:rsid w:val="00002B40"/>
    <w:rsid w:val="00003630"/>
    <w:rsid w:val="000044A0"/>
    <w:rsid w:val="00005224"/>
    <w:rsid w:val="000068F7"/>
    <w:rsid w:val="00007C2C"/>
    <w:rsid w:val="00007CE9"/>
    <w:rsid w:val="00010589"/>
    <w:rsid w:val="0001058E"/>
    <w:rsid w:val="00010985"/>
    <w:rsid w:val="000111D3"/>
    <w:rsid w:val="0001166E"/>
    <w:rsid w:val="00013278"/>
    <w:rsid w:val="00013748"/>
    <w:rsid w:val="000146BC"/>
    <w:rsid w:val="00014D20"/>
    <w:rsid w:val="0001574C"/>
    <w:rsid w:val="000158C2"/>
    <w:rsid w:val="00016C3A"/>
    <w:rsid w:val="00016F9A"/>
    <w:rsid w:val="00017D55"/>
    <w:rsid w:val="000206A4"/>
    <w:rsid w:val="00022B33"/>
    <w:rsid w:val="000232FD"/>
    <w:rsid w:val="00024ABE"/>
    <w:rsid w:val="00024C46"/>
    <w:rsid w:val="00025453"/>
    <w:rsid w:val="00025BC1"/>
    <w:rsid w:val="00026C1B"/>
    <w:rsid w:val="000270AE"/>
    <w:rsid w:val="00027179"/>
    <w:rsid w:val="00030341"/>
    <w:rsid w:val="00030759"/>
    <w:rsid w:val="00031C21"/>
    <w:rsid w:val="00032047"/>
    <w:rsid w:val="00032DF9"/>
    <w:rsid w:val="00034144"/>
    <w:rsid w:val="00034E1C"/>
    <w:rsid w:val="00034E58"/>
    <w:rsid w:val="00035815"/>
    <w:rsid w:val="00036FD8"/>
    <w:rsid w:val="00037557"/>
    <w:rsid w:val="00040147"/>
    <w:rsid w:val="0004015B"/>
    <w:rsid w:val="00040A81"/>
    <w:rsid w:val="00042A67"/>
    <w:rsid w:val="000435A2"/>
    <w:rsid w:val="00045939"/>
    <w:rsid w:val="00045B29"/>
    <w:rsid w:val="00045E20"/>
    <w:rsid w:val="00052A06"/>
    <w:rsid w:val="00053966"/>
    <w:rsid w:val="00053BA4"/>
    <w:rsid w:val="00054CDA"/>
    <w:rsid w:val="000551ED"/>
    <w:rsid w:val="00055D51"/>
    <w:rsid w:val="00055FC0"/>
    <w:rsid w:val="00056955"/>
    <w:rsid w:val="00057197"/>
    <w:rsid w:val="00057494"/>
    <w:rsid w:val="00057FCB"/>
    <w:rsid w:val="000616DC"/>
    <w:rsid w:val="00061732"/>
    <w:rsid w:val="000621E7"/>
    <w:rsid w:val="00062AD7"/>
    <w:rsid w:val="00063DAC"/>
    <w:rsid w:val="0006404F"/>
    <w:rsid w:val="00065466"/>
    <w:rsid w:val="00065C3F"/>
    <w:rsid w:val="00066B7A"/>
    <w:rsid w:val="00070883"/>
    <w:rsid w:val="00070907"/>
    <w:rsid w:val="00071305"/>
    <w:rsid w:val="00071732"/>
    <w:rsid w:val="00072B8D"/>
    <w:rsid w:val="00074CBA"/>
    <w:rsid w:val="00075852"/>
    <w:rsid w:val="00075D39"/>
    <w:rsid w:val="00076195"/>
    <w:rsid w:val="000771AF"/>
    <w:rsid w:val="00077979"/>
    <w:rsid w:val="00077D71"/>
    <w:rsid w:val="00077DC8"/>
    <w:rsid w:val="00080419"/>
    <w:rsid w:val="00081555"/>
    <w:rsid w:val="00082DA8"/>
    <w:rsid w:val="00083151"/>
    <w:rsid w:val="00083246"/>
    <w:rsid w:val="00083CB4"/>
    <w:rsid w:val="00084E2D"/>
    <w:rsid w:val="000860A5"/>
    <w:rsid w:val="0008617C"/>
    <w:rsid w:val="00087FBE"/>
    <w:rsid w:val="0009116E"/>
    <w:rsid w:val="0009118F"/>
    <w:rsid w:val="000913A3"/>
    <w:rsid w:val="000926D8"/>
    <w:rsid w:val="00092CA3"/>
    <w:rsid w:val="00094784"/>
    <w:rsid w:val="000955D1"/>
    <w:rsid w:val="000965E3"/>
    <w:rsid w:val="000975C1"/>
    <w:rsid w:val="000A0203"/>
    <w:rsid w:val="000A0C20"/>
    <w:rsid w:val="000A183B"/>
    <w:rsid w:val="000A1AE3"/>
    <w:rsid w:val="000A37FB"/>
    <w:rsid w:val="000A5889"/>
    <w:rsid w:val="000A5AF4"/>
    <w:rsid w:val="000A712C"/>
    <w:rsid w:val="000A72A8"/>
    <w:rsid w:val="000B0F6E"/>
    <w:rsid w:val="000B19DA"/>
    <w:rsid w:val="000B1DA3"/>
    <w:rsid w:val="000B4572"/>
    <w:rsid w:val="000B462E"/>
    <w:rsid w:val="000B47C7"/>
    <w:rsid w:val="000B6CB9"/>
    <w:rsid w:val="000B7385"/>
    <w:rsid w:val="000B7A79"/>
    <w:rsid w:val="000C2B4F"/>
    <w:rsid w:val="000C2FFB"/>
    <w:rsid w:val="000C3E0C"/>
    <w:rsid w:val="000C470C"/>
    <w:rsid w:val="000C4C5A"/>
    <w:rsid w:val="000C4DF8"/>
    <w:rsid w:val="000C61E5"/>
    <w:rsid w:val="000C73ED"/>
    <w:rsid w:val="000C7FB2"/>
    <w:rsid w:val="000D0297"/>
    <w:rsid w:val="000D1551"/>
    <w:rsid w:val="000D3F86"/>
    <w:rsid w:val="000D45DE"/>
    <w:rsid w:val="000D462C"/>
    <w:rsid w:val="000D4855"/>
    <w:rsid w:val="000D5892"/>
    <w:rsid w:val="000E08F9"/>
    <w:rsid w:val="000E1935"/>
    <w:rsid w:val="000E1D1F"/>
    <w:rsid w:val="000E1D83"/>
    <w:rsid w:val="000E2DA0"/>
    <w:rsid w:val="000E3049"/>
    <w:rsid w:val="000E42FD"/>
    <w:rsid w:val="000E5104"/>
    <w:rsid w:val="000E5230"/>
    <w:rsid w:val="000E709A"/>
    <w:rsid w:val="000F00D9"/>
    <w:rsid w:val="000F08C3"/>
    <w:rsid w:val="000F2402"/>
    <w:rsid w:val="000F28B4"/>
    <w:rsid w:val="000F2DE2"/>
    <w:rsid w:val="000F3149"/>
    <w:rsid w:val="000F37E3"/>
    <w:rsid w:val="000F3D62"/>
    <w:rsid w:val="000F4F58"/>
    <w:rsid w:val="000F50D0"/>
    <w:rsid w:val="000F5C76"/>
    <w:rsid w:val="000F683F"/>
    <w:rsid w:val="000F7FAF"/>
    <w:rsid w:val="00100454"/>
    <w:rsid w:val="001005AC"/>
    <w:rsid w:val="00100982"/>
    <w:rsid w:val="001010A0"/>
    <w:rsid w:val="00101576"/>
    <w:rsid w:val="00101860"/>
    <w:rsid w:val="001019A1"/>
    <w:rsid w:val="001020BD"/>
    <w:rsid w:val="00102488"/>
    <w:rsid w:val="00102ABA"/>
    <w:rsid w:val="00103692"/>
    <w:rsid w:val="00104FA9"/>
    <w:rsid w:val="00105922"/>
    <w:rsid w:val="00106D42"/>
    <w:rsid w:val="00107541"/>
    <w:rsid w:val="001077B2"/>
    <w:rsid w:val="0010791B"/>
    <w:rsid w:val="001100D1"/>
    <w:rsid w:val="0011040E"/>
    <w:rsid w:val="00110802"/>
    <w:rsid w:val="00112DD2"/>
    <w:rsid w:val="0011398D"/>
    <w:rsid w:val="00113DAB"/>
    <w:rsid w:val="001141A4"/>
    <w:rsid w:val="001141AE"/>
    <w:rsid w:val="00116250"/>
    <w:rsid w:val="00116EEC"/>
    <w:rsid w:val="0011711C"/>
    <w:rsid w:val="00117F14"/>
    <w:rsid w:val="001206BD"/>
    <w:rsid w:val="00121694"/>
    <w:rsid w:val="00121AE4"/>
    <w:rsid w:val="00124714"/>
    <w:rsid w:val="00124B3E"/>
    <w:rsid w:val="0012655A"/>
    <w:rsid w:val="001270C1"/>
    <w:rsid w:val="00127BAE"/>
    <w:rsid w:val="001302A7"/>
    <w:rsid w:val="00130F39"/>
    <w:rsid w:val="0013103A"/>
    <w:rsid w:val="001312D6"/>
    <w:rsid w:val="001314C5"/>
    <w:rsid w:val="001333C0"/>
    <w:rsid w:val="00133511"/>
    <w:rsid w:val="00134839"/>
    <w:rsid w:val="00134FBB"/>
    <w:rsid w:val="0013671F"/>
    <w:rsid w:val="00136A27"/>
    <w:rsid w:val="00136A2D"/>
    <w:rsid w:val="00136A74"/>
    <w:rsid w:val="00136E4E"/>
    <w:rsid w:val="0014037B"/>
    <w:rsid w:val="0014132D"/>
    <w:rsid w:val="00142756"/>
    <w:rsid w:val="00143C3B"/>
    <w:rsid w:val="00144389"/>
    <w:rsid w:val="00147D09"/>
    <w:rsid w:val="00152F8B"/>
    <w:rsid w:val="00154484"/>
    <w:rsid w:val="00155BEC"/>
    <w:rsid w:val="00155E82"/>
    <w:rsid w:val="001579E4"/>
    <w:rsid w:val="00157E37"/>
    <w:rsid w:val="00160200"/>
    <w:rsid w:val="00160491"/>
    <w:rsid w:val="00161AC6"/>
    <w:rsid w:val="00162154"/>
    <w:rsid w:val="00162275"/>
    <w:rsid w:val="00162425"/>
    <w:rsid w:val="00162777"/>
    <w:rsid w:val="00163D07"/>
    <w:rsid w:val="001640A1"/>
    <w:rsid w:val="001652D7"/>
    <w:rsid w:val="0016584F"/>
    <w:rsid w:val="00170752"/>
    <w:rsid w:val="001708F4"/>
    <w:rsid w:val="00170DAF"/>
    <w:rsid w:val="001713D8"/>
    <w:rsid w:val="00171CCF"/>
    <w:rsid w:val="001723C0"/>
    <w:rsid w:val="001724BC"/>
    <w:rsid w:val="0017337C"/>
    <w:rsid w:val="0017358E"/>
    <w:rsid w:val="001737F5"/>
    <w:rsid w:val="00174DD0"/>
    <w:rsid w:val="0017526C"/>
    <w:rsid w:val="00175465"/>
    <w:rsid w:val="00175679"/>
    <w:rsid w:val="00175E64"/>
    <w:rsid w:val="00176786"/>
    <w:rsid w:val="00176FD4"/>
    <w:rsid w:val="0017710E"/>
    <w:rsid w:val="0017731E"/>
    <w:rsid w:val="00177731"/>
    <w:rsid w:val="001807CA"/>
    <w:rsid w:val="00182D1F"/>
    <w:rsid w:val="001836F6"/>
    <w:rsid w:val="00184200"/>
    <w:rsid w:val="0018511A"/>
    <w:rsid w:val="00185409"/>
    <w:rsid w:val="00186AFB"/>
    <w:rsid w:val="00186B4B"/>
    <w:rsid w:val="0018796A"/>
    <w:rsid w:val="00190510"/>
    <w:rsid w:val="00190A11"/>
    <w:rsid w:val="00193582"/>
    <w:rsid w:val="001935FF"/>
    <w:rsid w:val="00193A30"/>
    <w:rsid w:val="0019584F"/>
    <w:rsid w:val="00196B82"/>
    <w:rsid w:val="00196C26"/>
    <w:rsid w:val="001A03A7"/>
    <w:rsid w:val="001A11D1"/>
    <w:rsid w:val="001A14D8"/>
    <w:rsid w:val="001A1637"/>
    <w:rsid w:val="001A2B2A"/>
    <w:rsid w:val="001A2BAB"/>
    <w:rsid w:val="001A30E8"/>
    <w:rsid w:val="001A3362"/>
    <w:rsid w:val="001A33B7"/>
    <w:rsid w:val="001A5A98"/>
    <w:rsid w:val="001A639A"/>
    <w:rsid w:val="001A69A2"/>
    <w:rsid w:val="001A6F4A"/>
    <w:rsid w:val="001A70B7"/>
    <w:rsid w:val="001A7694"/>
    <w:rsid w:val="001A76AA"/>
    <w:rsid w:val="001B11B6"/>
    <w:rsid w:val="001B310A"/>
    <w:rsid w:val="001B38D8"/>
    <w:rsid w:val="001B52A0"/>
    <w:rsid w:val="001B5F65"/>
    <w:rsid w:val="001B6BA6"/>
    <w:rsid w:val="001B6CCB"/>
    <w:rsid w:val="001B747C"/>
    <w:rsid w:val="001B7B5E"/>
    <w:rsid w:val="001B7CDA"/>
    <w:rsid w:val="001B7E2B"/>
    <w:rsid w:val="001C0AE1"/>
    <w:rsid w:val="001C0C6B"/>
    <w:rsid w:val="001C1E69"/>
    <w:rsid w:val="001C35E9"/>
    <w:rsid w:val="001C511E"/>
    <w:rsid w:val="001C51AC"/>
    <w:rsid w:val="001D0B96"/>
    <w:rsid w:val="001D0E78"/>
    <w:rsid w:val="001D11F8"/>
    <w:rsid w:val="001D3CBE"/>
    <w:rsid w:val="001D4443"/>
    <w:rsid w:val="001D5DC1"/>
    <w:rsid w:val="001D741B"/>
    <w:rsid w:val="001D7549"/>
    <w:rsid w:val="001E0198"/>
    <w:rsid w:val="001E0E78"/>
    <w:rsid w:val="001E1404"/>
    <w:rsid w:val="001E15F5"/>
    <w:rsid w:val="001E197C"/>
    <w:rsid w:val="001E1CBD"/>
    <w:rsid w:val="001E2705"/>
    <w:rsid w:val="001E2A98"/>
    <w:rsid w:val="001E3099"/>
    <w:rsid w:val="001E3732"/>
    <w:rsid w:val="001E3DB5"/>
    <w:rsid w:val="001E5FC4"/>
    <w:rsid w:val="001E79E0"/>
    <w:rsid w:val="001E7E7B"/>
    <w:rsid w:val="001F0823"/>
    <w:rsid w:val="001F1007"/>
    <w:rsid w:val="001F21B8"/>
    <w:rsid w:val="001F21CB"/>
    <w:rsid w:val="001F3913"/>
    <w:rsid w:val="001F435C"/>
    <w:rsid w:val="001F4C7F"/>
    <w:rsid w:val="001F4E50"/>
    <w:rsid w:val="001F6C35"/>
    <w:rsid w:val="002011F2"/>
    <w:rsid w:val="0020158A"/>
    <w:rsid w:val="0020292B"/>
    <w:rsid w:val="00202B37"/>
    <w:rsid w:val="002033DF"/>
    <w:rsid w:val="002039DC"/>
    <w:rsid w:val="00205972"/>
    <w:rsid w:val="0020679D"/>
    <w:rsid w:val="00206A27"/>
    <w:rsid w:val="00207019"/>
    <w:rsid w:val="00211E67"/>
    <w:rsid w:val="00212D8C"/>
    <w:rsid w:val="00215A55"/>
    <w:rsid w:val="00216CF7"/>
    <w:rsid w:val="00216EDE"/>
    <w:rsid w:val="00221FFD"/>
    <w:rsid w:val="00222191"/>
    <w:rsid w:val="0022478B"/>
    <w:rsid w:val="002267EE"/>
    <w:rsid w:val="0023022E"/>
    <w:rsid w:val="0023065D"/>
    <w:rsid w:val="00230F57"/>
    <w:rsid w:val="00231A11"/>
    <w:rsid w:val="00231ED4"/>
    <w:rsid w:val="00232FB9"/>
    <w:rsid w:val="002347AA"/>
    <w:rsid w:val="00234880"/>
    <w:rsid w:val="00235040"/>
    <w:rsid w:val="00235805"/>
    <w:rsid w:val="002374D4"/>
    <w:rsid w:val="00240131"/>
    <w:rsid w:val="0024035F"/>
    <w:rsid w:val="002418F1"/>
    <w:rsid w:val="00242772"/>
    <w:rsid w:val="00243C09"/>
    <w:rsid w:val="00244191"/>
    <w:rsid w:val="00244791"/>
    <w:rsid w:val="00244B56"/>
    <w:rsid w:val="00244BE9"/>
    <w:rsid w:val="002466C0"/>
    <w:rsid w:val="0024675B"/>
    <w:rsid w:val="00246C10"/>
    <w:rsid w:val="002477A5"/>
    <w:rsid w:val="00250E24"/>
    <w:rsid w:val="00252EA1"/>
    <w:rsid w:val="002538A4"/>
    <w:rsid w:val="002564EB"/>
    <w:rsid w:val="00256BBA"/>
    <w:rsid w:val="002575EC"/>
    <w:rsid w:val="00257752"/>
    <w:rsid w:val="00257B85"/>
    <w:rsid w:val="00257C51"/>
    <w:rsid w:val="0026124F"/>
    <w:rsid w:val="00261423"/>
    <w:rsid w:val="00263425"/>
    <w:rsid w:val="00263835"/>
    <w:rsid w:val="0026399B"/>
    <w:rsid w:val="0026402B"/>
    <w:rsid w:val="0026459F"/>
    <w:rsid w:val="002654B5"/>
    <w:rsid w:val="00265B25"/>
    <w:rsid w:val="0026633C"/>
    <w:rsid w:val="002665E3"/>
    <w:rsid w:val="00266EE5"/>
    <w:rsid w:val="00267270"/>
    <w:rsid w:val="002677C8"/>
    <w:rsid w:val="0027079E"/>
    <w:rsid w:val="00271DAE"/>
    <w:rsid w:val="00272518"/>
    <w:rsid w:val="002726F7"/>
    <w:rsid w:val="0027299A"/>
    <w:rsid w:val="00272D19"/>
    <w:rsid w:val="00272E43"/>
    <w:rsid w:val="002731AE"/>
    <w:rsid w:val="0027436A"/>
    <w:rsid w:val="00274717"/>
    <w:rsid w:val="002750CE"/>
    <w:rsid w:val="00275546"/>
    <w:rsid w:val="00276707"/>
    <w:rsid w:val="00277745"/>
    <w:rsid w:val="0028049D"/>
    <w:rsid w:val="002815F6"/>
    <w:rsid w:val="002817B0"/>
    <w:rsid w:val="002837B5"/>
    <w:rsid w:val="0028524F"/>
    <w:rsid w:val="00285549"/>
    <w:rsid w:val="0028568D"/>
    <w:rsid w:val="00285821"/>
    <w:rsid w:val="00286A37"/>
    <w:rsid w:val="00286EB4"/>
    <w:rsid w:val="00286F8A"/>
    <w:rsid w:val="00287E17"/>
    <w:rsid w:val="002901B8"/>
    <w:rsid w:val="00290222"/>
    <w:rsid w:val="00290CF8"/>
    <w:rsid w:val="00291A57"/>
    <w:rsid w:val="00292A0A"/>
    <w:rsid w:val="00293E9B"/>
    <w:rsid w:val="00293F96"/>
    <w:rsid w:val="00295681"/>
    <w:rsid w:val="00296436"/>
    <w:rsid w:val="00296932"/>
    <w:rsid w:val="002969F7"/>
    <w:rsid w:val="002A0099"/>
    <w:rsid w:val="002A0CC9"/>
    <w:rsid w:val="002A2A6B"/>
    <w:rsid w:val="002A3146"/>
    <w:rsid w:val="002A3908"/>
    <w:rsid w:val="002A3E43"/>
    <w:rsid w:val="002A4937"/>
    <w:rsid w:val="002A4F78"/>
    <w:rsid w:val="002A60C2"/>
    <w:rsid w:val="002A67C2"/>
    <w:rsid w:val="002A7145"/>
    <w:rsid w:val="002A728D"/>
    <w:rsid w:val="002A79CD"/>
    <w:rsid w:val="002B2B46"/>
    <w:rsid w:val="002B3113"/>
    <w:rsid w:val="002B482D"/>
    <w:rsid w:val="002B550F"/>
    <w:rsid w:val="002B5953"/>
    <w:rsid w:val="002B6C97"/>
    <w:rsid w:val="002B756C"/>
    <w:rsid w:val="002C0420"/>
    <w:rsid w:val="002C085F"/>
    <w:rsid w:val="002C1D11"/>
    <w:rsid w:val="002C368B"/>
    <w:rsid w:val="002C3A75"/>
    <w:rsid w:val="002C458A"/>
    <w:rsid w:val="002C58A0"/>
    <w:rsid w:val="002C5B48"/>
    <w:rsid w:val="002C6B77"/>
    <w:rsid w:val="002C700C"/>
    <w:rsid w:val="002C76C4"/>
    <w:rsid w:val="002D0251"/>
    <w:rsid w:val="002D056D"/>
    <w:rsid w:val="002D0FB4"/>
    <w:rsid w:val="002D136C"/>
    <w:rsid w:val="002D2282"/>
    <w:rsid w:val="002D26EC"/>
    <w:rsid w:val="002D74F2"/>
    <w:rsid w:val="002D79DC"/>
    <w:rsid w:val="002D79F8"/>
    <w:rsid w:val="002E0324"/>
    <w:rsid w:val="002E0437"/>
    <w:rsid w:val="002E1110"/>
    <w:rsid w:val="002E22EC"/>
    <w:rsid w:val="002E2492"/>
    <w:rsid w:val="002E3AF4"/>
    <w:rsid w:val="002E3D60"/>
    <w:rsid w:val="002E5419"/>
    <w:rsid w:val="002E5D97"/>
    <w:rsid w:val="002F07BE"/>
    <w:rsid w:val="002F0D73"/>
    <w:rsid w:val="002F1B51"/>
    <w:rsid w:val="002F1C6A"/>
    <w:rsid w:val="002F32B0"/>
    <w:rsid w:val="002F4276"/>
    <w:rsid w:val="002F43DB"/>
    <w:rsid w:val="002F47BF"/>
    <w:rsid w:val="002F7EE9"/>
    <w:rsid w:val="003000E8"/>
    <w:rsid w:val="00300E52"/>
    <w:rsid w:val="00301B57"/>
    <w:rsid w:val="003030C4"/>
    <w:rsid w:val="00304C8B"/>
    <w:rsid w:val="003057EB"/>
    <w:rsid w:val="0030583E"/>
    <w:rsid w:val="00305A3A"/>
    <w:rsid w:val="00306D54"/>
    <w:rsid w:val="00307CD1"/>
    <w:rsid w:val="00310187"/>
    <w:rsid w:val="003103A1"/>
    <w:rsid w:val="00310CFB"/>
    <w:rsid w:val="00311A47"/>
    <w:rsid w:val="00312BB1"/>
    <w:rsid w:val="00312F92"/>
    <w:rsid w:val="00313DA3"/>
    <w:rsid w:val="00314F80"/>
    <w:rsid w:val="003164C5"/>
    <w:rsid w:val="003175F2"/>
    <w:rsid w:val="0031767C"/>
    <w:rsid w:val="003204FF"/>
    <w:rsid w:val="00322CE9"/>
    <w:rsid w:val="00323715"/>
    <w:rsid w:val="003255F2"/>
    <w:rsid w:val="00326038"/>
    <w:rsid w:val="00326473"/>
    <w:rsid w:val="00326498"/>
    <w:rsid w:val="00326E28"/>
    <w:rsid w:val="00330BD8"/>
    <w:rsid w:val="0033246B"/>
    <w:rsid w:val="00332B59"/>
    <w:rsid w:val="0033506F"/>
    <w:rsid w:val="00335767"/>
    <w:rsid w:val="00335BD0"/>
    <w:rsid w:val="0033678D"/>
    <w:rsid w:val="003368BC"/>
    <w:rsid w:val="003368EB"/>
    <w:rsid w:val="0034039B"/>
    <w:rsid w:val="00340E5D"/>
    <w:rsid w:val="00342113"/>
    <w:rsid w:val="00342378"/>
    <w:rsid w:val="0034368D"/>
    <w:rsid w:val="0034373A"/>
    <w:rsid w:val="00344AD0"/>
    <w:rsid w:val="0034543C"/>
    <w:rsid w:val="0034596C"/>
    <w:rsid w:val="00345DE2"/>
    <w:rsid w:val="00345E88"/>
    <w:rsid w:val="003464F5"/>
    <w:rsid w:val="0034687D"/>
    <w:rsid w:val="00346A65"/>
    <w:rsid w:val="00346B8B"/>
    <w:rsid w:val="00347F09"/>
    <w:rsid w:val="00352240"/>
    <w:rsid w:val="00353FA7"/>
    <w:rsid w:val="0035766E"/>
    <w:rsid w:val="00357AE3"/>
    <w:rsid w:val="003605CF"/>
    <w:rsid w:val="00360BB0"/>
    <w:rsid w:val="003612EB"/>
    <w:rsid w:val="00363CE4"/>
    <w:rsid w:val="003649CA"/>
    <w:rsid w:val="003661AA"/>
    <w:rsid w:val="00366C7A"/>
    <w:rsid w:val="003671F4"/>
    <w:rsid w:val="003679CC"/>
    <w:rsid w:val="00370006"/>
    <w:rsid w:val="00370F59"/>
    <w:rsid w:val="00371528"/>
    <w:rsid w:val="00371ADC"/>
    <w:rsid w:val="0037216A"/>
    <w:rsid w:val="00373495"/>
    <w:rsid w:val="00373531"/>
    <w:rsid w:val="00373535"/>
    <w:rsid w:val="003736E8"/>
    <w:rsid w:val="003736F9"/>
    <w:rsid w:val="00373CAB"/>
    <w:rsid w:val="00374753"/>
    <w:rsid w:val="00375149"/>
    <w:rsid w:val="003752DA"/>
    <w:rsid w:val="00375A2D"/>
    <w:rsid w:val="00376284"/>
    <w:rsid w:val="00377877"/>
    <w:rsid w:val="00377A6B"/>
    <w:rsid w:val="003810F2"/>
    <w:rsid w:val="00381F4F"/>
    <w:rsid w:val="00382D37"/>
    <w:rsid w:val="00383CDB"/>
    <w:rsid w:val="00384FBC"/>
    <w:rsid w:val="00385280"/>
    <w:rsid w:val="00387D52"/>
    <w:rsid w:val="00391207"/>
    <w:rsid w:val="00391980"/>
    <w:rsid w:val="00392147"/>
    <w:rsid w:val="0039482E"/>
    <w:rsid w:val="00396E48"/>
    <w:rsid w:val="003A01D1"/>
    <w:rsid w:val="003A0DB1"/>
    <w:rsid w:val="003A1ACE"/>
    <w:rsid w:val="003A20B1"/>
    <w:rsid w:val="003A2309"/>
    <w:rsid w:val="003A3347"/>
    <w:rsid w:val="003A3C4E"/>
    <w:rsid w:val="003A51D1"/>
    <w:rsid w:val="003A5271"/>
    <w:rsid w:val="003A72E5"/>
    <w:rsid w:val="003B03D8"/>
    <w:rsid w:val="003B06F0"/>
    <w:rsid w:val="003B09A0"/>
    <w:rsid w:val="003B0CBA"/>
    <w:rsid w:val="003B0E97"/>
    <w:rsid w:val="003B18B1"/>
    <w:rsid w:val="003B228F"/>
    <w:rsid w:val="003B24B2"/>
    <w:rsid w:val="003B524C"/>
    <w:rsid w:val="003B7795"/>
    <w:rsid w:val="003B7D3C"/>
    <w:rsid w:val="003C07BB"/>
    <w:rsid w:val="003C0C76"/>
    <w:rsid w:val="003C1642"/>
    <w:rsid w:val="003C1822"/>
    <w:rsid w:val="003C2BE8"/>
    <w:rsid w:val="003C3D03"/>
    <w:rsid w:val="003C3E6A"/>
    <w:rsid w:val="003C5B66"/>
    <w:rsid w:val="003C607F"/>
    <w:rsid w:val="003C6FEF"/>
    <w:rsid w:val="003C7080"/>
    <w:rsid w:val="003D0028"/>
    <w:rsid w:val="003D06FB"/>
    <w:rsid w:val="003D0E46"/>
    <w:rsid w:val="003D0EA6"/>
    <w:rsid w:val="003D37DB"/>
    <w:rsid w:val="003D3EBC"/>
    <w:rsid w:val="003D4107"/>
    <w:rsid w:val="003D48E4"/>
    <w:rsid w:val="003D48F1"/>
    <w:rsid w:val="003D4A3A"/>
    <w:rsid w:val="003D64A8"/>
    <w:rsid w:val="003D6AE1"/>
    <w:rsid w:val="003D77A5"/>
    <w:rsid w:val="003D7B37"/>
    <w:rsid w:val="003D7DA6"/>
    <w:rsid w:val="003E1887"/>
    <w:rsid w:val="003E324C"/>
    <w:rsid w:val="003E3E28"/>
    <w:rsid w:val="003E4E1F"/>
    <w:rsid w:val="003E55F7"/>
    <w:rsid w:val="003E5891"/>
    <w:rsid w:val="003E614B"/>
    <w:rsid w:val="003E7324"/>
    <w:rsid w:val="003F0257"/>
    <w:rsid w:val="003F062C"/>
    <w:rsid w:val="003F34C9"/>
    <w:rsid w:val="003F3634"/>
    <w:rsid w:val="003F51BA"/>
    <w:rsid w:val="003F5237"/>
    <w:rsid w:val="003F5A9E"/>
    <w:rsid w:val="003F6D88"/>
    <w:rsid w:val="003F6E2B"/>
    <w:rsid w:val="004009F6"/>
    <w:rsid w:val="00400B39"/>
    <w:rsid w:val="00401143"/>
    <w:rsid w:val="00401429"/>
    <w:rsid w:val="0040188D"/>
    <w:rsid w:val="00401A4F"/>
    <w:rsid w:val="004043CA"/>
    <w:rsid w:val="004047CA"/>
    <w:rsid w:val="004073DB"/>
    <w:rsid w:val="00410C9E"/>
    <w:rsid w:val="00410CB2"/>
    <w:rsid w:val="00410E28"/>
    <w:rsid w:val="004115F9"/>
    <w:rsid w:val="004150DC"/>
    <w:rsid w:val="00415458"/>
    <w:rsid w:val="00416845"/>
    <w:rsid w:val="00416CC6"/>
    <w:rsid w:val="00420B2A"/>
    <w:rsid w:val="00420F0B"/>
    <w:rsid w:val="0042115E"/>
    <w:rsid w:val="004218FA"/>
    <w:rsid w:val="00421CE6"/>
    <w:rsid w:val="004224BC"/>
    <w:rsid w:val="00422752"/>
    <w:rsid w:val="00422BB5"/>
    <w:rsid w:val="00423682"/>
    <w:rsid w:val="0042447B"/>
    <w:rsid w:val="00427FC2"/>
    <w:rsid w:val="0042C8A1"/>
    <w:rsid w:val="0043072C"/>
    <w:rsid w:val="00430E61"/>
    <w:rsid w:val="00432D8A"/>
    <w:rsid w:val="00433740"/>
    <w:rsid w:val="00437101"/>
    <w:rsid w:val="004400AD"/>
    <w:rsid w:val="00442916"/>
    <w:rsid w:val="00443884"/>
    <w:rsid w:val="00443E89"/>
    <w:rsid w:val="00444637"/>
    <w:rsid w:val="00444C41"/>
    <w:rsid w:val="0044525B"/>
    <w:rsid w:val="00446347"/>
    <w:rsid w:val="00446523"/>
    <w:rsid w:val="00446DB3"/>
    <w:rsid w:val="0044722E"/>
    <w:rsid w:val="0044777A"/>
    <w:rsid w:val="00450205"/>
    <w:rsid w:val="004510FC"/>
    <w:rsid w:val="0045123D"/>
    <w:rsid w:val="00451821"/>
    <w:rsid w:val="004546B0"/>
    <w:rsid w:val="004548A0"/>
    <w:rsid w:val="00455482"/>
    <w:rsid w:val="004554E1"/>
    <w:rsid w:val="00455FEF"/>
    <w:rsid w:val="0045618E"/>
    <w:rsid w:val="004562EC"/>
    <w:rsid w:val="0045736C"/>
    <w:rsid w:val="00457B2F"/>
    <w:rsid w:val="00457C33"/>
    <w:rsid w:val="00457F6A"/>
    <w:rsid w:val="004603DB"/>
    <w:rsid w:val="004605FE"/>
    <w:rsid w:val="00460BEA"/>
    <w:rsid w:val="0046322D"/>
    <w:rsid w:val="00464581"/>
    <w:rsid w:val="00467F4D"/>
    <w:rsid w:val="00470173"/>
    <w:rsid w:val="00470E01"/>
    <w:rsid w:val="0047160C"/>
    <w:rsid w:val="00472E54"/>
    <w:rsid w:val="00477155"/>
    <w:rsid w:val="004779D8"/>
    <w:rsid w:val="004779F0"/>
    <w:rsid w:val="00477C88"/>
    <w:rsid w:val="00480ECC"/>
    <w:rsid w:val="004815EE"/>
    <w:rsid w:val="004824F6"/>
    <w:rsid w:val="004826E0"/>
    <w:rsid w:val="00482A95"/>
    <w:rsid w:val="00482B7E"/>
    <w:rsid w:val="00482EE6"/>
    <w:rsid w:val="00484D98"/>
    <w:rsid w:val="00485E92"/>
    <w:rsid w:val="004864FB"/>
    <w:rsid w:val="0048713B"/>
    <w:rsid w:val="00487C1E"/>
    <w:rsid w:val="00491285"/>
    <w:rsid w:val="00491DFF"/>
    <w:rsid w:val="00492B9D"/>
    <w:rsid w:val="004942F1"/>
    <w:rsid w:val="00494B76"/>
    <w:rsid w:val="004955B3"/>
    <w:rsid w:val="0049596E"/>
    <w:rsid w:val="0049600C"/>
    <w:rsid w:val="004961F0"/>
    <w:rsid w:val="00496259"/>
    <w:rsid w:val="004A21A8"/>
    <w:rsid w:val="004A24F0"/>
    <w:rsid w:val="004A2741"/>
    <w:rsid w:val="004A3742"/>
    <w:rsid w:val="004A3C33"/>
    <w:rsid w:val="004A4A67"/>
    <w:rsid w:val="004A512B"/>
    <w:rsid w:val="004A5A60"/>
    <w:rsid w:val="004A7F49"/>
    <w:rsid w:val="004B2622"/>
    <w:rsid w:val="004B36DC"/>
    <w:rsid w:val="004B4976"/>
    <w:rsid w:val="004B5D0E"/>
    <w:rsid w:val="004B6F57"/>
    <w:rsid w:val="004C032C"/>
    <w:rsid w:val="004C1BDB"/>
    <w:rsid w:val="004C1FD5"/>
    <w:rsid w:val="004C2A2F"/>
    <w:rsid w:val="004C2AB8"/>
    <w:rsid w:val="004C363E"/>
    <w:rsid w:val="004C6220"/>
    <w:rsid w:val="004C6DAD"/>
    <w:rsid w:val="004C77E1"/>
    <w:rsid w:val="004C7E2C"/>
    <w:rsid w:val="004D133B"/>
    <w:rsid w:val="004D1C4F"/>
    <w:rsid w:val="004D1E06"/>
    <w:rsid w:val="004D1E56"/>
    <w:rsid w:val="004D1F97"/>
    <w:rsid w:val="004D2902"/>
    <w:rsid w:val="004D3800"/>
    <w:rsid w:val="004D57E8"/>
    <w:rsid w:val="004D5E32"/>
    <w:rsid w:val="004D5EE1"/>
    <w:rsid w:val="004D654A"/>
    <w:rsid w:val="004D668C"/>
    <w:rsid w:val="004D6C3C"/>
    <w:rsid w:val="004D7D30"/>
    <w:rsid w:val="004E0E02"/>
    <w:rsid w:val="004E150B"/>
    <w:rsid w:val="004E19B5"/>
    <w:rsid w:val="004E2D56"/>
    <w:rsid w:val="004E3295"/>
    <w:rsid w:val="004E33AE"/>
    <w:rsid w:val="004E3F49"/>
    <w:rsid w:val="004E4937"/>
    <w:rsid w:val="004E6D34"/>
    <w:rsid w:val="004E74BD"/>
    <w:rsid w:val="004E7E4D"/>
    <w:rsid w:val="004F0B68"/>
    <w:rsid w:val="004F197D"/>
    <w:rsid w:val="004F2FE0"/>
    <w:rsid w:val="004F3BEF"/>
    <w:rsid w:val="004F3D89"/>
    <w:rsid w:val="004F6B2A"/>
    <w:rsid w:val="004F736A"/>
    <w:rsid w:val="004F759C"/>
    <w:rsid w:val="004F75C4"/>
    <w:rsid w:val="005018CA"/>
    <w:rsid w:val="00502FC0"/>
    <w:rsid w:val="0050359B"/>
    <w:rsid w:val="00504598"/>
    <w:rsid w:val="00505F04"/>
    <w:rsid w:val="00506641"/>
    <w:rsid w:val="005078ED"/>
    <w:rsid w:val="005101A0"/>
    <w:rsid w:val="005107EF"/>
    <w:rsid w:val="0051081C"/>
    <w:rsid w:val="005108DB"/>
    <w:rsid w:val="005116E1"/>
    <w:rsid w:val="005117C2"/>
    <w:rsid w:val="005117CD"/>
    <w:rsid w:val="0051251B"/>
    <w:rsid w:val="00512726"/>
    <w:rsid w:val="00513146"/>
    <w:rsid w:val="005143D7"/>
    <w:rsid w:val="00514EBD"/>
    <w:rsid w:val="00515E60"/>
    <w:rsid w:val="00516D97"/>
    <w:rsid w:val="00517045"/>
    <w:rsid w:val="00517443"/>
    <w:rsid w:val="005179AD"/>
    <w:rsid w:val="00517E0B"/>
    <w:rsid w:val="0052082B"/>
    <w:rsid w:val="005209D1"/>
    <w:rsid w:val="00520E87"/>
    <w:rsid w:val="00521E44"/>
    <w:rsid w:val="00522149"/>
    <w:rsid w:val="00523D35"/>
    <w:rsid w:val="005246B2"/>
    <w:rsid w:val="0052516C"/>
    <w:rsid w:val="005255CB"/>
    <w:rsid w:val="005265BB"/>
    <w:rsid w:val="00526652"/>
    <w:rsid w:val="005269C1"/>
    <w:rsid w:val="005269E6"/>
    <w:rsid w:val="00526F40"/>
    <w:rsid w:val="00527386"/>
    <w:rsid w:val="00530006"/>
    <w:rsid w:val="005329DD"/>
    <w:rsid w:val="005368F8"/>
    <w:rsid w:val="00540C8A"/>
    <w:rsid w:val="005410C7"/>
    <w:rsid w:val="00541211"/>
    <w:rsid w:val="00541954"/>
    <w:rsid w:val="00541F35"/>
    <w:rsid w:val="00541FE6"/>
    <w:rsid w:val="0054284F"/>
    <w:rsid w:val="00542A80"/>
    <w:rsid w:val="005455E0"/>
    <w:rsid w:val="00546F68"/>
    <w:rsid w:val="005516A0"/>
    <w:rsid w:val="00551E4A"/>
    <w:rsid w:val="005520D9"/>
    <w:rsid w:val="00552A7A"/>
    <w:rsid w:val="0055302D"/>
    <w:rsid w:val="0055409D"/>
    <w:rsid w:val="00554464"/>
    <w:rsid w:val="005549E4"/>
    <w:rsid w:val="005550C8"/>
    <w:rsid w:val="00555115"/>
    <w:rsid w:val="00555AB6"/>
    <w:rsid w:val="00556BCC"/>
    <w:rsid w:val="00560C8B"/>
    <w:rsid w:val="00560DBA"/>
    <w:rsid w:val="00562AD3"/>
    <w:rsid w:val="00562F20"/>
    <w:rsid w:val="0056357E"/>
    <w:rsid w:val="005641A6"/>
    <w:rsid w:val="005647A6"/>
    <w:rsid w:val="005648A7"/>
    <w:rsid w:val="00564BD5"/>
    <w:rsid w:val="00564D60"/>
    <w:rsid w:val="00565C71"/>
    <w:rsid w:val="005702E8"/>
    <w:rsid w:val="005708DB"/>
    <w:rsid w:val="00570912"/>
    <w:rsid w:val="00571757"/>
    <w:rsid w:val="00573400"/>
    <w:rsid w:val="00573616"/>
    <w:rsid w:val="005740B0"/>
    <w:rsid w:val="005741B0"/>
    <w:rsid w:val="0057440C"/>
    <w:rsid w:val="00574826"/>
    <w:rsid w:val="005749CB"/>
    <w:rsid w:val="0057588F"/>
    <w:rsid w:val="00575D9D"/>
    <w:rsid w:val="0057798B"/>
    <w:rsid w:val="0058119B"/>
    <w:rsid w:val="00581AD3"/>
    <w:rsid w:val="005822CE"/>
    <w:rsid w:val="0058277F"/>
    <w:rsid w:val="00582B51"/>
    <w:rsid w:val="00582D16"/>
    <w:rsid w:val="00583B63"/>
    <w:rsid w:val="00584412"/>
    <w:rsid w:val="00584440"/>
    <w:rsid w:val="0058457D"/>
    <w:rsid w:val="00584713"/>
    <w:rsid w:val="00587171"/>
    <w:rsid w:val="00590CB8"/>
    <w:rsid w:val="005912E3"/>
    <w:rsid w:val="00591804"/>
    <w:rsid w:val="00593811"/>
    <w:rsid w:val="00595C47"/>
    <w:rsid w:val="00595D67"/>
    <w:rsid w:val="00595EE4"/>
    <w:rsid w:val="005A07E2"/>
    <w:rsid w:val="005A09CD"/>
    <w:rsid w:val="005A1083"/>
    <w:rsid w:val="005A1715"/>
    <w:rsid w:val="005A20A6"/>
    <w:rsid w:val="005A2572"/>
    <w:rsid w:val="005A29D6"/>
    <w:rsid w:val="005A4C72"/>
    <w:rsid w:val="005A5239"/>
    <w:rsid w:val="005A5608"/>
    <w:rsid w:val="005A58B0"/>
    <w:rsid w:val="005A646E"/>
    <w:rsid w:val="005A6862"/>
    <w:rsid w:val="005A6A61"/>
    <w:rsid w:val="005A6C9E"/>
    <w:rsid w:val="005A72E2"/>
    <w:rsid w:val="005B038A"/>
    <w:rsid w:val="005B15C5"/>
    <w:rsid w:val="005B1B5A"/>
    <w:rsid w:val="005B2874"/>
    <w:rsid w:val="005B311A"/>
    <w:rsid w:val="005B3170"/>
    <w:rsid w:val="005B4E22"/>
    <w:rsid w:val="005B61B0"/>
    <w:rsid w:val="005B65A1"/>
    <w:rsid w:val="005B7B74"/>
    <w:rsid w:val="005B7C9C"/>
    <w:rsid w:val="005C0363"/>
    <w:rsid w:val="005C04F5"/>
    <w:rsid w:val="005C0D34"/>
    <w:rsid w:val="005C0EBF"/>
    <w:rsid w:val="005C10DC"/>
    <w:rsid w:val="005C1396"/>
    <w:rsid w:val="005C2334"/>
    <w:rsid w:val="005C250D"/>
    <w:rsid w:val="005C2AC6"/>
    <w:rsid w:val="005C53D4"/>
    <w:rsid w:val="005C5711"/>
    <w:rsid w:val="005C647A"/>
    <w:rsid w:val="005C66ED"/>
    <w:rsid w:val="005C6A7B"/>
    <w:rsid w:val="005C7C0D"/>
    <w:rsid w:val="005D0054"/>
    <w:rsid w:val="005D0D32"/>
    <w:rsid w:val="005D2BEE"/>
    <w:rsid w:val="005D409A"/>
    <w:rsid w:val="005D6390"/>
    <w:rsid w:val="005D66F5"/>
    <w:rsid w:val="005D7FD3"/>
    <w:rsid w:val="005E131E"/>
    <w:rsid w:val="005E1DF7"/>
    <w:rsid w:val="005E2094"/>
    <w:rsid w:val="005E22E1"/>
    <w:rsid w:val="005E3C59"/>
    <w:rsid w:val="005E5F13"/>
    <w:rsid w:val="005E608F"/>
    <w:rsid w:val="005E7C16"/>
    <w:rsid w:val="005F01DF"/>
    <w:rsid w:val="005F0D7F"/>
    <w:rsid w:val="005F1828"/>
    <w:rsid w:val="005F1D1A"/>
    <w:rsid w:val="005F2B7F"/>
    <w:rsid w:val="005F3FCA"/>
    <w:rsid w:val="005F522E"/>
    <w:rsid w:val="005F5917"/>
    <w:rsid w:val="005F62FA"/>
    <w:rsid w:val="005F6403"/>
    <w:rsid w:val="005F781F"/>
    <w:rsid w:val="005F7AA9"/>
    <w:rsid w:val="006002F0"/>
    <w:rsid w:val="00600829"/>
    <w:rsid w:val="00601612"/>
    <w:rsid w:val="00602BD2"/>
    <w:rsid w:val="00602D88"/>
    <w:rsid w:val="006033BF"/>
    <w:rsid w:val="00604056"/>
    <w:rsid w:val="00604419"/>
    <w:rsid w:val="00604DCB"/>
    <w:rsid w:val="006061C4"/>
    <w:rsid w:val="006064D1"/>
    <w:rsid w:val="00606F39"/>
    <w:rsid w:val="00607DB4"/>
    <w:rsid w:val="006101DF"/>
    <w:rsid w:val="0061095E"/>
    <w:rsid w:val="00610DD3"/>
    <w:rsid w:val="00610F76"/>
    <w:rsid w:val="00611690"/>
    <w:rsid w:val="006118B5"/>
    <w:rsid w:val="0061219F"/>
    <w:rsid w:val="00612C48"/>
    <w:rsid w:val="00613759"/>
    <w:rsid w:val="00615910"/>
    <w:rsid w:val="00615B29"/>
    <w:rsid w:val="006168C5"/>
    <w:rsid w:val="00616D68"/>
    <w:rsid w:val="00617481"/>
    <w:rsid w:val="00617D96"/>
    <w:rsid w:val="00620F1E"/>
    <w:rsid w:val="006214FF"/>
    <w:rsid w:val="0062167C"/>
    <w:rsid w:val="00621A82"/>
    <w:rsid w:val="00622A35"/>
    <w:rsid w:val="00623679"/>
    <w:rsid w:val="0062378F"/>
    <w:rsid w:val="00624DF7"/>
    <w:rsid w:val="00625FED"/>
    <w:rsid w:val="00626A6E"/>
    <w:rsid w:val="00626CCB"/>
    <w:rsid w:val="006279F0"/>
    <w:rsid w:val="006300A2"/>
    <w:rsid w:val="00630AC5"/>
    <w:rsid w:val="00631E3F"/>
    <w:rsid w:val="006328FC"/>
    <w:rsid w:val="006333A5"/>
    <w:rsid w:val="00633EA6"/>
    <w:rsid w:val="0063412F"/>
    <w:rsid w:val="00634158"/>
    <w:rsid w:val="0063538D"/>
    <w:rsid w:val="00635743"/>
    <w:rsid w:val="0063698B"/>
    <w:rsid w:val="00636B65"/>
    <w:rsid w:val="00640D68"/>
    <w:rsid w:val="00642369"/>
    <w:rsid w:val="00642A4E"/>
    <w:rsid w:val="00642CCF"/>
    <w:rsid w:val="00643323"/>
    <w:rsid w:val="00643354"/>
    <w:rsid w:val="006459B9"/>
    <w:rsid w:val="00645CC0"/>
    <w:rsid w:val="0064665A"/>
    <w:rsid w:val="00646AEB"/>
    <w:rsid w:val="00646D29"/>
    <w:rsid w:val="00646E0E"/>
    <w:rsid w:val="00647976"/>
    <w:rsid w:val="006504C8"/>
    <w:rsid w:val="006519C3"/>
    <w:rsid w:val="00651DA6"/>
    <w:rsid w:val="0065271E"/>
    <w:rsid w:val="00653F0F"/>
    <w:rsid w:val="00654D86"/>
    <w:rsid w:val="0065581E"/>
    <w:rsid w:val="0065591B"/>
    <w:rsid w:val="00655E21"/>
    <w:rsid w:val="006560AD"/>
    <w:rsid w:val="006564E2"/>
    <w:rsid w:val="0065653A"/>
    <w:rsid w:val="0065703F"/>
    <w:rsid w:val="006572F8"/>
    <w:rsid w:val="00657828"/>
    <w:rsid w:val="00664317"/>
    <w:rsid w:val="00664A74"/>
    <w:rsid w:val="00666059"/>
    <w:rsid w:val="006660DC"/>
    <w:rsid w:val="0066663F"/>
    <w:rsid w:val="00666F8A"/>
    <w:rsid w:val="006704CD"/>
    <w:rsid w:val="00670BBC"/>
    <w:rsid w:val="00670DAF"/>
    <w:rsid w:val="006710B5"/>
    <w:rsid w:val="00673698"/>
    <w:rsid w:val="00673AB8"/>
    <w:rsid w:val="00673D48"/>
    <w:rsid w:val="00674873"/>
    <w:rsid w:val="006750A3"/>
    <w:rsid w:val="006757D5"/>
    <w:rsid w:val="00677061"/>
    <w:rsid w:val="006818B4"/>
    <w:rsid w:val="00681BBB"/>
    <w:rsid w:val="00681EE8"/>
    <w:rsid w:val="00682BA1"/>
    <w:rsid w:val="0068307E"/>
    <w:rsid w:val="00683376"/>
    <w:rsid w:val="00683BB9"/>
    <w:rsid w:val="00683BF1"/>
    <w:rsid w:val="006864B6"/>
    <w:rsid w:val="006876C5"/>
    <w:rsid w:val="00690126"/>
    <w:rsid w:val="00690685"/>
    <w:rsid w:val="00690E94"/>
    <w:rsid w:val="00690F5C"/>
    <w:rsid w:val="006910B9"/>
    <w:rsid w:val="00692BE2"/>
    <w:rsid w:val="006937C4"/>
    <w:rsid w:val="00695A6A"/>
    <w:rsid w:val="00697C18"/>
    <w:rsid w:val="006A0793"/>
    <w:rsid w:val="006A0BD4"/>
    <w:rsid w:val="006A3036"/>
    <w:rsid w:val="006A3AF4"/>
    <w:rsid w:val="006A5FCC"/>
    <w:rsid w:val="006A6104"/>
    <w:rsid w:val="006A6B50"/>
    <w:rsid w:val="006B0835"/>
    <w:rsid w:val="006B1720"/>
    <w:rsid w:val="006B1AC7"/>
    <w:rsid w:val="006B1C80"/>
    <w:rsid w:val="006B2532"/>
    <w:rsid w:val="006B3EAA"/>
    <w:rsid w:val="006B470D"/>
    <w:rsid w:val="006B5764"/>
    <w:rsid w:val="006B5A7C"/>
    <w:rsid w:val="006B5D7B"/>
    <w:rsid w:val="006C0CD9"/>
    <w:rsid w:val="006C1CDF"/>
    <w:rsid w:val="006C2AEC"/>
    <w:rsid w:val="006C31C4"/>
    <w:rsid w:val="006C4402"/>
    <w:rsid w:val="006C57BF"/>
    <w:rsid w:val="006C67D6"/>
    <w:rsid w:val="006D0B2A"/>
    <w:rsid w:val="006D26F3"/>
    <w:rsid w:val="006D4828"/>
    <w:rsid w:val="006D595D"/>
    <w:rsid w:val="006D67EA"/>
    <w:rsid w:val="006D7267"/>
    <w:rsid w:val="006E0D9A"/>
    <w:rsid w:val="006E1244"/>
    <w:rsid w:val="006E1EB0"/>
    <w:rsid w:val="006E22C0"/>
    <w:rsid w:val="006E37CA"/>
    <w:rsid w:val="006E3BA2"/>
    <w:rsid w:val="006E5AD8"/>
    <w:rsid w:val="006E5B26"/>
    <w:rsid w:val="006E64F6"/>
    <w:rsid w:val="006E6661"/>
    <w:rsid w:val="006E6A08"/>
    <w:rsid w:val="006E6A1F"/>
    <w:rsid w:val="006E6B8E"/>
    <w:rsid w:val="006E7353"/>
    <w:rsid w:val="006E78EF"/>
    <w:rsid w:val="006E7AD3"/>
    <w:rsid w:val="006E7DC3"/>
    <w:rsid w:val="006F0465"/>
    <w:rsid w:val="006F1E5D"/>
    <w:rsid w:val="006F272E"/>
    <w:rsid w:val="006F2AB8"/>
    <w:rsid w:val="006F2F60"/>
    <w:rsid w:val="006F3577"/>
    <w:rsid w:val="006F4491"/>
    <w:rsid w:val="006F51B1"/>
    <w:rsid w:val="006F6540"/>
    <w:rsid w:val="006F6D3A"/>
    <w:rsid w:val="00702D6E"/>
    <w:rsid w:val="00704A1A"/>
    <w:rsid w:val="00704E49"/>
    <w:rsid w:val="007053BA"/>
    <w:rsid w:val="00705AA0"/>
    <w:rsid w:val="00706203"/>
    <w:rsid w:val="00706C7B"/>
    <w:rsid w:val="00706D02"/>
    <w:rsid w:val="007074A9"/>
    <w:rsid w:val="00711830"/>
    <w:rsid w:val="00711865"/>
    <w:rsid w:val="007123F1"/>
    <w:rsid w:val="007135D8"/>
    <w:rsid w:val="00714572"/>
    <w:rsid w:val="0071561B"/>
    <w:rsid w:val="0071562A"/>
    <w:rsid w:val="0072071B"/>
    <w:rsid w:val="007222AB"/>
    <w:rsid w:val="00722B9A"/>
    <w:rsid w:val="00722F25"/>
    <w:rsid w:val="007243A6"/>
    <w:rsid w:val="00724EE5"/>
    <w:rsid w:val="00725BE7"/>
    <w:rsid w:val="00726A2F"/>
    <w:rsid w:val="00730206"/>
    <w:rsid w:val="0073072C"/>
    <w:rsid w:val="0073091E"/>
    <w:rsid w:val="00731F86"/>
    <w:rsid w:val="00732911"/>
    <w:rsid w:val="0073366F"/>
    <w:rsid w:val="00733E67"/>
    <w:rsid w:val="0073423D"/>
    <w:rsid w:val="00734453"/>
    <w:rsid w:val="00734A21"/>
    <w:rsid w:val="00734D17"/>
    <w:rsid w:val="00735790"/>
    <w:rsid w:val="0073584C"/>
    <w:rsid w:val="00737BD1"/>
    <w:rsid w:val="00737CB1"/>
    <w:rsid w:val="00737F75"/>
    <w:rsid w:val="00742921"/>
    <w:rsid w:val="007437A0"/>
    <w:rsid w:val="00744906"/>
    <w:rsid w:val="00744C6C"/>
    <w:rsid w:val="00745189"/>
    <w:rsid w:val="00746854"/>
    <w:rsid w:val="00746FDE"/>
    <w:rsid w:val="00747402"/>
    <w:rsid w:val="00747B1B"/>
    <w:rsid w:val="00747C50"/>
    <w:rsid w:val="007502B3"/>
    <w:rsid w:val="00750C7D"/>
    <w:rsid w:val="00750DF7"/>
    <w:rsid w:val="007524C4"/>
    <w:rsid w:val="00754862"/>
    <w:rsid w:val="00754CE4"/>
    <w:rsid w:val="00755D6F"/>
    <w:rsid w:val="0075625A"/>
    <w:rsid w:val="00756272"/>
    <w:rsid w:val="00756FEB"/>
    <w:rsid w:val="00757A82"/>
    <w:rsid w:val="00760B42"/>
    <w:rsid w:val="007611FF"/>
    <w:rsid w:val="00761633"/>
    <w:rsid w:val="00762E91"/>
    <w:rsid w:val="00762FD5"/>
    <w:rsid w:val="0076694D"/>
    <w:rsid w:val="00766A5A"/>
    <w:rsid w:val="00766C18"/>
    <w:rsid w:val="00767F2A"/>
    <w:rsid w:val="00767FE5"/>
    <w:rsid w:val="00770BA6"/>
    <w:rsid w:val="00770CC3"/>
    <w:rsid w:val="00772376"/>
    <w:rsid w:val="00772C8F"/>
    <w:rsid w:val="00773F15"/>
    <w:rsid w:val="0077412A"/>
    <w:rsid w:val="00774A0C"/>
    <w:rsid w:val="00774A1C"/>
    <w:rsid w:val="00774D7B"/>
    <w:rsid w:val="00774D80"/>
    <w:rsid w:val="00775491"/>
    <w:rsid w:val="00777CA1"/>
    <w:rsid w:val="007813FE"/>
    <w:rsid w:val="00781CE0"/>
    <w:rsid w:val="00781F3B"/>
    <w:rsid w:val="0078234B"/>
    <w:rsid w:val="0078373D"/>
    <w:rsid w:val="0078509F"/>
    <w:rsid w:val="00785FC8"/>
    <w:rsid w:val="00786BA5"/>
    <w:rsid w:val="00787095"/>
    <w:rsid w:val="007872B7"/>
    <w:rsid w:val="007877F9"/>
    <w:rsid w:val="0079230B"/>
    <w:rsid w:val="00793094"/>
    <w:rsid w:val="00793BA3"/>
    <w:rsid w:val="00793E66"/>
    <w:rsid w:val="00794CE3"/>
    <w:rsid w:val="00797367"/>
    <w:rsid w:val="00797412"/>
    <w:rsid w:val="00797587"/>
    <w:rsid w:val="00797CB5"/>
    <w:rsid w:val="007A0F0D"/>
    <w:rsid w:val="007A0FEA"/>
    <w:rsid w:val="007A1621"/>
    <w:rsid w:val="007A2F38"/>
    <w:rsid w:val="007A3CD4"/>
    <w:rsid w:val="007A4B78"/>
    <w:rsid w:val="007A5479"/>
    <w:rsid w:val="007A6D8A"/>
    <w:rsid w:val="007A7059"/>
    <w:rsid w:val="007A7F3E"/>
    <w:rsid w:val="007B1E57"/>
    <w:rsid w:val="007B2033"/>
    <w:rsid w:val="007B233A"/>
    <w:rsid w:val="007B2C18"/>
    <w:rsid w:val="007B348B"/>
    <w:rsid w:val="007B42D7"/>
    <w:rsid w:val="007C1638"/>
    <w:rsid w:val="007C1D12"/>
    <w:rsid w:val="007C1E96"/>
    <w:rsid w:val="007C238A"/>
    <w:rsid w:val="007C24DC"/>
    <w:rsid w:val="007C2F58"/>
    <w:rsid w:val="007C4FA5"/>
    <w:rsid w:val="007C4FAD"/>
    <w:rsid w:val="007C4FDB"/>
    <w:rsid w:val="007C5E9D"/>
    <w:rsid w:val="007C6832"/>
    <w:rsid w:val="007C7AE1"/>
    <w:rsid w:val="007C7CFB"/>
    <w:rsid w:val="007D0B83"/>
    <w:rsid w:val="007D14DC"/>
    <w:rsid w:val="007D202F"/>
    <w:rsid w:val="007D31C8"/>
    <w:rsid w:val="007D3414"/>
    <w:rsid w:val="007D46FD"/>
    <w:rsid w:val="007D5130"/>
    <w:rsid w:val="007D5355"/>
    <w:rsid w:val="007D5953"/>
    <w:rsid w:val="007D6FC4"/>
    <w:rsid w:val="007E0C52"/>
    <w:rsid w:val="007E1439"/>
    <w:rsid w:val="007E33E4"/>
    <w:rsid w:val="007E36FA"/>
    <w:rsid w:val="007E3AFA"/>
    <w:rsid w:val="007E3E85"/>
    <w:rsid w:val="007E460E"/>
    <w:rsid w:val="007E4CCE"/>
    <w:rsid w:val="007E4F3E"/>
    <w:rsid w:val="007E5BEE"/>
    <w:rsid w:val="007E648A"/>
    <w:rsid w:val="007E6ADE"/>
    <w:rsid w:val="007E7BC8"/>
    <w:rsid w:val="007F022C"/>
    <w:rsid w:val="007F052E"/>
    <w:rsid w:val="007F05E5"/>
    <w:rsid w:val="007F0AD3"/>
    <w:rsid w:val="007F0B62"/>
    <w:rsid w:val="007F105A"/>
    <w:rsid w:val="007F1B4A"/>
    <w:rsid w:val="007F20A3"/>
    <w:rsid w:val="007F2A9B"/>
    <w:rsid w:val="007F2F42"/>
    <w:rsid w:val="007F3429"/>
    <w:rsid w:val="007F3664"/>
    <w:rsid w:val="007F38C4"/>
    <w:rsid w:val="007F3A39"/>
    <w:rsid w:val="007F4985"/>
    <w:rsid w:val="007F4D05"/>
    <w:rsid w:val="007F6962"/>
    <w:rsid w:val="007F6FAE"/>
    <w:rsid w:val="007F7D15"/>
    <w:rsid w:val="008008B7"/>
    <w:rsid w:val="008008EC"/>
    <w:rsid w:val="00801C60"/>
    <w:rsid w:val="00801EAD"/>
    <w:rsid w:val="0080251F"/>
    <w:rsid w:val="008034ED"/>
    <w:rsid w:val="00803C11"/>
    <w:rsid w:val="008043EF"/>
    <w:rsid w:val="0080525F"/>
    <w:rsid w:val="008066A7"/>
    <w:rsid w:val="00811F50"/>
    <w:rsid w:val="008128AC"/>
    <w:rsid w:val="00813CC7"/>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492D"/>
    <w:rsid w:val="008249F1"/>
    <w:rsid w:val="00824DA9"/>
    <w:rsid w:val="00825325"/>
    <w:rsid w:val="00826110"/>
    <w:rsid w:val="008267EA"/>
    <w:rsid w:val="00826C1F"/>
    <w:rsid w:val="00831F70"/>
    <w:rsid w:val="008323F5"/>
    <w:rsid w:val="008337B4"/>
    <w:rsid w:val="0083571A"/>
    <w:rsid w:val="0083600D"/>
    <w:rsid w:val="00836E64"/>
    <w:rsid w:val="008378F4"/>
    <w:rsid w:val="00837A0E"/>
    <w:rsid w:val="00840061"/>
    <w:rsid w:val="0084022F"/>
    <w:rsid w:val="008407D8"/>
    <w:rsid w:val="00840DCC"/>
    <w:rsid w:val="008429B1"/>
    <w:rsid w:val="008446D0"/>
    <w:rsid w:val="00844720"/>
    <w:rsid w:val="00845101"/>
    <w:rsid w:val="00845FC7"/>
    <w:rsid w:val="008461D6"/>
    <w:rsid w:val="0085064F"/>
    <w:rsid w:val="00850C40"/>
    <w:rsid w:val="00850FD7"/>
    <w:rsid w:val="00851F55"/>
    <w:rsid w:val="008526DE"/>
    <w:rsid w:val="00853131"/>
    <w:rsid w:val="008540E7"/>
    <w:rsid w:val="00854731"/>
    <w:rsid w:val="0085516F"/>
    <w:rsid w:val="00856500"/>
    <w:rsid w:val="0085668A"/>
    <w:rsid w:val="00856DAB"/>
    <w:rsid w:val="00857183"/>
    <w:rsid w:val="00861BDE"/>
    <w:rsid w:val="00864DE6"/>
    <w:rsid w:val="008656AB"/>
    <w:rsid w:val="00865EAF"/>
    <w:rsid w:val="00866B32"/>
    <w:rsid w:val="00867136"/>
    <w:rsid w:val="00867748"/>
    <w:rsid w:val="00870038"/>
    <w:rsid w:val="008705AB"/>
    <w:rsid w:val="00870D0C"/>
    <w:rsid w:val="00870D44"/>
    <w:rsid w:val="00870F98"/>
    <w:rsid w:val="00871D32"/>
    <w:rsid w:val="008742B2"/>
    <w:rsid w:val="00875794"/>
    <w:rsid w:val="00875824"/>
    <w:rsid w:val="00876665"/>
    <w:rsid w:val="0087735A"/>
    <w:rsid w:val="00877B99"/>
    <w:rsid w:val="008802F2"/>
    <w:rsid w:val="00881AC0"/>
    <w:rsid w:val="00881D3D"/>
    <w:rsid w:val="00881E93"/>
    <w:rsid w:val="008821BA"/>
    <w:rsid w:val="008830E6"/>
    <w:rsid w:val="00883378"/>
    <w:rsid w:val="00883DBC"/>
    <w:rsid w:val="008842C5"/>
    <w:rsid w:val="00884D3F"/>
    <w:rsid w:val="00885943"/>
    <w:rsid w:val="00886014"/>
    <w:rsid w:val="008867D6"/>
    <w:rsid w:val="008909D6"/>
    <w:rsid w:val="00891592"/>
    <w:rsid w:val="008922DD"/>
    <w:rsid w:val="00893444"/>
    <w:rsid w:val="00895BF4"/>
    <w:rsid w:val="00897D89"/>
    <w:rsid w:val="008A0669"/>
    <w:rsid w:val="008A07AD"/>
    <w:rsid w:val="008A2283"/>
    <w:rsid w:val="008A3D6B"/>
    <w:rsid w:val="008A3DBA"/>
    <w:rsid w:val="008A3F47"/>
    <w:rsid w:val="008A426F"/>
    <w:rsid w:val="008A5035"/>
    <w:rsid w:val="008A54B8"/>
    <w:rsid w:val="008A6F54"/>
    <w:rsid w:val="008A6F55"/>
    <w:rsid w:val="008B1C4F"/>
    <w:rsid w:val="008B2588"/>
    <w:rsid w:val="008B35A8"/>
    <w:rsid w:val="008B6B44"/>
    <w:rsid w:val="008C01DB"/>
    <w:rsid w:val="008C0367"/>
    <w:rsid w:val="008C04AB"/>
    <w:rsid w:val="008C09E4"/>
    <w:rsid w:val="008C13DC"/>
    <w:rsid w:val="008C16C0"/>
    <w:rsid w:val="008C27CF"/>
    <w:rsid w:val="008C2BF6"/>
    <w:rsid w:val="008C481F"/>
    <w:rsid w:val="008C5C2D"/>
    <w:rsid w:val="008C6140"/>
    <w:rsid w:val="008C623F"/>
    <w:rsid w:val="008C711A"/>
    <w:rsid w:val="008C7AF0"/>
    <w:rsid w:val="008D053F"/>
    <w:rsid w:val="008D1E17"/>
    <w:rsid w:val="008D289D"/>
    <w:rsid w:val="008D2AD8"/>
    <w:rsid w:val="008D3072"/>
    <w:rsid w:val="008D35FD"/>
    <w:rsid w:val="008D5CCE"/>
    <w:rsid w:val="008D69FD"/>
    <w:rsid w:val="008D6D1F"/>
    <w:rsid w:val="008D73D4"/>
    <w:rsid w:val="008D75D5"/>
    <w:rsid w:val="008D774C"/>
    <w:rsid w:val="008E063A"/>
    <w:rsid w:val="008E1468"/>
    <w:rsid w:val="008E2EAD"/>
    <w:rsid w:val="008E3015"/>
    <w:rsid w:val="008E4189"/>
    <w:rsid w:val="008E65A3"/>
    <w:rsid w:val="008F0299"/>
    <w:rsid w:val="008F0AF5"/>
    <w:rsid w:val="009016F0"/>
    <w:rsid w:val="0090301C"/>
    <w:rsid w:val="0090323D"/>
    <w:rsid w:val="0090407E"/>
    <w:rsid w:val="00904590"/>
    <w:rsid w:val="00904BB0"/>
    <w:rsid w:val="00904D8D"/>
    <w:rsid w:val="009058DC"/>
    <w:rsid w:val="00906606"/>
    <w:rsid w:val="009067CE"/>
    <w:rsid w:val="009069DB"/>
    <w:rsid w:val="009070FD"/>
    <w:rsid w:val="00907511"/>
    <w:rsid w:val="00907EF6"/>
    <w:rsid w:val="0091193A"/>
    <w:rsid w:val="00911E15"/>
    <w:rsid w:val="009130EA"/>
    <w:rsid w:val="009146DF"/>
    <w:rsid w:val="00914935"/>
    <w:rsid w:val="00915202"/>
    <w:rsid w:val="009168E7"/>
    <w:rsid w:val="00917C1D"/>
    <w:rsid w:val="00917FF3"/>
    <w:rsid w:val="009216A1"/>
    <w:rsid w:val="0092200C"/>
    <w:rsid w:val="00923426"/>
    <w:rsid w:val="00923968"/>
    <w:rsid w:val="00927FA1"/>
    <w:rsid w:val="009301D5"/>
    <w:rsid w:val="00931D25"/>
    <w:rsid w:val="00931FA6"/>
    <w:rsid w:val="00932304"/>
    <w:rsid w:val="00932968"/>
    <w:rsid w:val="00932C80"/>
    <w:rsid w:val="009338C6"/>
    <w:rsid w:val="0093395B"/>
    <w:rsid w:val="00935AF9"/>
    <w:rsid w:val="00937690"/>
    <w:rsid w:val="00937EFD"/>
    <w:rsid w:val="009401DF"/>
    <w:rsid w:val="00940F35"/>
    <w:rsid w:val="0094193F"/>
    <w:rsid w:val="0094215D"/>
    <w:rsid w:val="0094367F"/>
    <w:rsid w:val="00943900"/>
    <w:rsid w:val="009439A9"/>
    <w:rsid w:val="0094484A"/>
    <w:rsid w:val="0094553D"/>
    <w:rsid w:val="00945AD1"/>
    <w:rsid w:val="00945B10"/>
    <w:rsid w:val="00945C25"/>
    <w:rsid w:val="009464E7"/>
    <w:rsid w:val="00946D83"/>
    <w:rsid w:val="00947C8E"/>
    <w:rsid w:val="00947E05"/>
    <w:rsid w:val="00950BCC"/>
    <w:rsid w:val="009515AC"/>
    <w:rsid w:val="0095181A"/>
    <w:rsid w:val="00952B26"/>
    <w:rsid w:val="00952F7C"/>
    <w:rsid w:val="009535D3"/>
    <w:rsid w:val="009565EF"/>
    <w:rsid w:val="009571E4"/>
    <w:rsid w:val="00957A8E"/>
    <w:rsid w:val="009604E7"/>
    <w:rsid w:val="00960919"/>
    <w:rsid w:val="0096219F"/>
    <w:rsid w:val="00963B00"/>
    <w:rsid w:val="00965166"/>
    <w:rsid w:val="00965E48"/>
    <w:rsid w:val="00966155"/>
    <w:rsid w:val="00966170"/>
    <w:rsid w:val="009663C1"/>
    <w:rsid w:val="0096652C"/>
    <w:rsid w:val="00967284"/>
    <w:rsid w:val="00967996"/>
    <w:rsid w:val="00967D19"/>
    <w:rsid w:val="00970F58"/>
    <w:rsid w:val="00970F86"/>
    <w:rsid w:val="00971239"/>
    <w:rsid w:val="0097250D"/>
    <w:rsid w:val="009730C2"/>
    <w:rsid w:val="00974FCD"/>
    <w:rsid w:val="00976683"/>
    <w:rsid w:val="00980B3B"/>
    <w:rsid w:val="00982569"/>
    <w:rsid w:val="0098396D"/>
    <w:rsid w:val="00983BB2"/>
    <w:rsid w:val="009848E8"/>
    <w:rsid w:val="00985A0F"/>
    <w:rsid w:val="00985C1F"/>
    <w:rsid w:val="00986B53"/>
    <w:rsid w:val="00990BB7"/>
    <w:rsid w:val="00991C19"/>
    <w:rsid w:val="00991CE2"/>
    <w:rsid w:val="00992D3E"/>
    <w:rsid w:val="00992DE4"/>
    <w:rsid w:val="00993FE4"/>
    <w:rsid w:val="00994E27"/>
    <w:rsid w:val="009961E9"/>
    <w:rsid w:val="00997105"/>
    <w:rsid w:val="0099793C"/>
    <w:rsid w:val="009A2022"/>
    <w:rsid w:val="009A37C6"/>
    <w:rsid w:val="009A3A65"/>
    <w:rsid w:val="009A3B8F"/>
    <w:rsid w:val="009A484B"/>
    <w:rsid w:val="009A4B9D"/>
    <w:rsid w:val="009A5EEE"/>
    <w:rsid w:val="009A6F1D"/>
    <w:rsid w:val="009A7ABD"/>
    <w:rsid w:val="009B101F"/>
    <w:rsid w:val="009B1562"/>
    <w:rsid w:val="009B23E1"/>
    <w:rsid w:val="009B31EF"/>
    <w:rsid w:val="009B4576"/>
    <w:rsid w:val="009B5705"/>
    <w:rsid w:val="009B5BAF"/>
    <w:rsid w:val="009B6375"/>
    <w:rsid w:val="009B6BCD"/>
    <w:rsid w:val="009C0692"/>
    <w:rsid w:val="009C06CC"/>
    <w:rsid w:val="009C0B38"/>
    <w:rsid w:val="009C1E9F"/>
    <w:rsid w:val="009C2976"/>
    <w:rsid w:val="009C2E4F"/>
    <w:rsid w:val="009C5253"/>
    <w:rsid w:val="009C5329"/>
    <w:rsid w:val="009C5953"/>
    <w:rsid w:val="009D1897"/>
    <w:rsid w:val="009D1D06"/>
    <w:rsid w:val="009D2877"/>
    <w:rsid w:val="009D32A7"/>
    <w:rsid w:val="009D44EF"/>
    <w:rsid w:val="009D48BC"/>
    <w:rsid w:val="009D5BD4"/>
    <w:rsid w:val="009D6314"/>
    <w:rsid w:val="009D74E9"/>
    <w:rsid w:val="009D787F"/>
    <w:rsid w:val="009D7C79"/>
    <w:rsid w:val="009E3255"/>
    <w:rsid w:val="009E4317"/>
    <w:rsid w:val="009E68A4"/>
    <w:rsid w:val="009E71B6"/>
    <w:rsid w:val="009F2135"/>
    <w:rsid w:val="009F2171"/>
    <w:rsid w:val="009F27A4"/>
    <w:rsid w:val="009F2BF7"/>
    <w:rsid w:val="009F4110"/>
    <w:rsid w:val="009F4C8A"/>
    <w:rsid w:val="009F633E"/>
    <w:rsid w:val="009F63D0"/>
    <w:rsid w:val="009F6522"/>
    <w:rsid w:val="009F67C9"/>
    <w:rsid w:val="009F6902"/>
    <w:rsid w:val="009F6FC8"/>
    <w:rsid w:val="009F742D"/>
    <w:rsid w:val="00A00A95"/>
    <w:rsid w:val="00A00AA9"/>
    <w:rsid w:val="00A022CD"/>
    <w:rsid w:val="00A02395"/>
    <w:rsid w:val="00A02A1D"/>
    <w:rsid w:val="00A02D38"/>
    <w:rsid w:val="00A02E9C"/>
    <w:rsid w:val="00A03F81"/>
    <w:rsid w:val="00A0408F"/>
    <w:rsid w:val="00A043DE"/>
    <w:rsid w:val="00A04B12"/>
    <w:rsid w:val="00A058C5"/>
    <w:rsid w:val="00A05971"/>
    <w:rsid w:val="00A05D33"/>
    <w:rsid w:val="00A05FE3"/>
    <w:rsid w:val="00A06369"/>
    <w:rsid w:val="00A11720"/>
    <w:rsid w:val="00A13E29"/>
    <w:rsid w:val="00A14401"/>
    <w:rsid w:val="00A15924"/>
    <w:rsid w:val="00A15C93"/>
    <w:rsid w:val="00A16AF2"/>
    <w:rsid w:val="00A16EE3"/>
    <w:rsid w:val="00A176E8"/>
    <w:rsid w:val="00A17CBF"/>
    <w:rsid w:val="00A21BF1"/>
    <w:rsid w:val="00A22C77"/>
    <w:rsid w:val="00A237EC"/>
    <w:rsid w:val="00A250FF"/>
    <w:rsid w:val="00A25BAA"/>
    <w:rsid w:val="00A2735C"/>
    <w:rsid w:val="00A27975"/>
    <w:rsid w:val="00A3044F"/>
    <w:rsid w:val="00A30D7D"/>
    <w:rsid w:val="00A31448"/>
    <w:rsid w:val="00A316B7"/>
    <w:rsid w:val="00A31EF3"/>
    <w:rsid w:val="00A32B50"/>
    <w:rsid w:val="00A33724"/>
    <w:rsid w:val="00A346C4"/>
    <w:rsid w:val="00A34984"/>
    <w:rsid w:val="00A34BD2"/>
    <w:rsid w:val="00A40D10"/>
    <w:rsid w:val="00A41112"/>
    <w:rsid w:val="00A41E80"/>
    <w:rsid w:val="00A43E74"/>
    <w:rsid w:val="00A44840"/>
    <w:rsid w:val="00A44D3B"/>
    <w:rsid w:val="00A46524"/>
    <w:rsid w:val="00A47936"/>
    <w:rsid w:val="00A47E62"/>
    <w:rsid w:val="00A505F0"/>
    <w:rsid w:val="00A507C5"/>
    <w:rsid w:val="00A50F4D"/>
    <w:rsid w:val="00A51ECE"/>
    <w:rsid w:val="00A522D3"/>
    <w:rsid w:val="00A53FB3"/>
    <w:rsid w:val="00A540AA"/>
    <w:rsid w:val="00A54BAF"/>
    <w:rsid w:val="00A55355"/>
    <w:rsid w:val="00A55ED7"/>
    <w:rsid w:val="00A56142"/>
    <w:rsid w:val="00A564E3"/>
    <w:rsid w:val="00A56AFF"/>
    <w:rsid w:val="00A56ECB"/>
    <w:rsid w:val="00A577B3"/>
    <w:rsid w:val="00A57C05"/>
    <w:rsid w:val="00A57CCE"/>
    <w:rsid w:val="00A57F45"/>
    <w:rsid w:val="00A60388"/>
    <w:rsid w:val="00A610B1"/>
    <w:rsid w:val="00A61423"/>
    <w:rsid w:val="00A615FE"/>
    <w:rsid w:val="00A61F4F"/>
    <w:rsid w:val="00A62D47"/>
    <w:rsid w:val="00A63509"/>
    <w:rsid w:val="00A63C56"/>
    <w:rsid w:val="00A646FD"/>
    <w:rsid w:val="00A6561E"/>
    <w:rsid w:val="00A6565F"/>
    <w:rsid w:val="00A65835"/>
    <w:rsid w:val="00A66451"/>
    <w:rsid w:val="00A666F4"/>
    <w:rsid w:val="00A66CCE"/>
    <w:rsid w:val="00A67167"/>
    <w:rsid w:val="00A672AB"/>
    <w:rsid w:val="00A672F5"/>
    <w:rsid w:val="00A70221"/>
    <w:rsid w:val="00A708F1"/>
    <w:rsid w:val="00A70D90"/>
    <w:rsid w:val="00A71B43"/>
    <w:rsid w:val="00A72B55"/>
    <w:rsid w:val="00A7356C"/>
    <w:rsid w:val="00A74F07"/>
    <w:rsid w:val="00A75BA6"/>
    <w:rsid w:val="00A77140"/>
    <w:rsid w:val="00A80890"/>
    <w:rsid w:val="00A83A47"/>
    <w:rsid w:val="00A83B0C"/>
    <w:rsid w:val="00A85A42"/>
    <w:rsid w:val="00A86BBE"/>
    <w:rsid w:val="00A870F6"/>
    <w:rsid w:val="00A875BD"/>
    <w:rsid w:val="00A90BBB"/>
    <w:rsid w:val="00A90DA1"/>
    <w:rsid w:val="00A91E70"/>
    <w:rsid w:val="00A930AA"/>
    <w:rsid w:val="00A938B7"/>
    <w:rsid w:val="00A9482C"/>
    <w:rsid w:val="00A96697"/>
    <w:rsid w:val="00A97C8C"/>
    <w:rsid w:val="00AA144C"/>
    <w:rsid w:val="00AA37FF"/>
    <w:rsid w:val="00AA483E"/>
    <w:rsid w:val="00AA542C"/>
    <w:rsid w:val="00AA667D"/>
    <w:rsid w:val="00AA6AA1"/>
    <w:rsid w:val="00AA6D11"/>
    <w:rsid w:val="00AA6D44"/>
    <w:rsid w:val="00AA71E1"/>
    <w:rsid w:val="00AA78D9"/>
    <w:rsid w:val="00AA79E0"/>
    <w:rsid w:val="00AB0E6F"/>
    <w:rsid w:val="00AB2685"/>
    <w:rsid w:val="00AB33DE"/>
    <w:rsid w:val="00AB3D83"/>
    <w:rsid w:val="00AB4BB6"/>
    <w:rsid w:val="00AB5008"/>
    <w:rsid w:val="00AB51F1"/>
    <w:rsid w:val="00AB5643"/>
    <w:rsid w:val="00AB5CAA"/>
    <w:rsid w:val="00AB6CF1"/>
    <w:rsid w:val="00AB77EF"/>
    <w:rsid w:val="00AB780D"/>
    <w:rsid w:val="00AC0259"/>
    <w:rsid w:val="00AC06AE"/>
    <w:rsid w:val="00AC0805"/>
    <w:rsid w:val="00AC191E"/>
    <w:rsid w:val="00AC1B17"/>
    <w:rsid w:val="00AC2D72"/>
    <w:rsid w:val="00AC381F"/>
    <w:rsid w:val="00AC4C1E"/>
    <w:rsid w:val="00AC56BF"/>
    <w:rsid w:val="00AC7440"/>
    <w:rsid w:val="00AC7541"/>
    <w:rsid w:val="00AC78F7"/>
    <w:rsid w:val="00AC7D42"/>
    <w:rsid w:val="00AC7D94"/>
    <w:rsid w:val="00AD0EB8"/>
    <w:rsid w:val="00AD2AE5"/>
    <w:rsid w:val="00AD419C"/>
    <w:rsid w:val="00AD440C"/>
    <w:rsid w:val="00AD5436"/>
    <w:rsid w:val="00AD55F9"/>
    <w:rsid w:val="00AD569E"/>
    <w:rsid w:val="00AD652F"/>
    <w:rsid w:val="00AD6888"/>
    <w:rsid w:val="00AD6AFC"/>
    <w:rsid w:val="00AD7C29"/>
    <w:rsid w:val="00AE097D"/>
    <w:rsid w:val="00AE0EAE"/>
    <w:rsid w:val="00AE19BC"/>
    <w:rsid w:val="00AE2F7E"/>
    <w:rsid w:val="00AE37E8"/>
    <w:rsid w:val="00AE3DFA"/>
    <w:rsid w:val="00AE3F56"/>
    <w:rsid w:val="00AE4187"/>
    <w:rsid w:val="00AE4652"/>
    <w:rsid w:val="00AE6B99"/>
    <w:rsid w:val="00AE7256"/>
    <w:rsid w:val="00AE7D6D"/>
    <w:rsid w:val="00AF0282"/>
    <w:rsid w:val="00AF1D3E"/>
    <w:rsid w:val="00AF1F8E"/>
    <w:rsid w:val="00AF2DCC"/>
    <w:rsid w:val="00AF3382"/>
    <w:rsid w:val="00AF3A5F"/>
    <w:rsid w:val="00AF3BA0"/>
    <w:rsid w:val="00AF496F"/>
    <w:rsid w:val="00AF4A77"/>
    <w:rsid w:val="00AF6052"/>
    <w:rsid w:val="00AF7D17"/>
    <w:rsid w:val="00B004D6"/>
    <w:rsid w:val="00B00997"/>
    <w:rsid w:val="00B01255"/>
    <w:rsid w:val="00B017DD"/>
    <w:rsid w:val="00B01D37"/>
    <w:rsid w:val="00B02F0B"/>
    <w:rsid w:val="00B03630"/>
    <w:rsid w:val="00B036ED"/>
    <w:rsid w:val="00B047B7"/>
    <w:rsid w:val="00B0513E"/>
    <w:rsid w:val="00B0550F"/>
    <w:rsid w:val="00B05803"/>
    <w:rsid w:val="00B0597A"/>
    <w:rsid w:val="00B05DDA"/>
    <w:rsid w:val="00B06254"/>
    <w:rsid w:val="00B0703F"/>
    <w:rsid w:val="00B0708C"/>
    <w:rsid w:val="00B07890"/>
    <w:rsid w:val="00B07BC7"/>
    <w:rsid w:val="00B10646"/>
    <w:rsid w:val="00B11131"/>
    <w:rsid w:val="00B11EED"/>
    <w:rsid w:val="00B11F59"/>
    <w:rsid w:val="00B12163"/>
    <w:rsid w:val="00B12412"/>
    <w:rsid w:val="00B1277C"/>
    <w:rsid w:val="00B13DD6"/>
    <w:rsid w:val="00B15134"/>
    <w:rsid w:val="00B17140"/>
    <w:rsid w:val="00B1759C"/>
    <w:rsid w:val="00B2006E"/>
    <w:rsid w:val="00B2014B"/>
    <w:rsid w:val="00B212F8"/>
    <w:rsid w:val="00B235B7"/>
    <w:rsid w:val="00B2603F"/>
    <w:rsid w:val="00B27D43"/>
    <w:rsid w:val="00B27D66"/>
    <w:rsid w:val="00B30020"/>
    <w:rsid w:val="00B306AD"/>
    <w:rsid w:val="00B306FE"/>
    <w:rsid w:val="00B30D7C"/>
    <w:rsid w:val="00B30FFE"/>
    <w:rsid w:val="00B32C70"/>
    <w:rsid w:val="00B33682"/>
    <w:rsid w:val="00B35485"/>
    <w:rsid w:val="00B35FC3"/>
    <w:rsid w:val="00B3664D"/>
    <w:rsid w:val="00B3736D"/>
    <w:rsid w:val="00B37954"/>
    <w:rsid w:val="00B37C2B"/>
    <w:rsid w:val="00B402B9"/>
    <w:rsid w:val="00B4061A"/>
    <w:rsid w:val="00B41691"/>
    <w:rsid w:val="00B43166"/>
    <w:rsid w:val="00B439CC"/>
    <w:rsid w:val="00B44113"/>
    <w:rsid w:val="00B444EC"/>
    <w:rsid w:val="00B44B81"/>
    <w:rsid w:val="00B45AD7"/>
    <w:rsid w:val="00B4629E"/>
    <w:rsid w:val="00B462A3"/>
    <w:rsid w:val="00B47385"/>
    <w:rsid w:val="00B47959"/>
    <w:rsid w:val="00B50043"/>
    <w:rsid w:val="00B508F6"/>
    <w:rsid w:val="00B512AF"/>
    <w:rsid w:val="00B5180F"/>
    <w:rsid w:val="00B5222F"/>
    <w:rsid w:val="00B52361"/>
    <w:rsid w:val="00B52619"/>
    <w:rsid w:val="00B5350B"/>
    <w:rsid w:val="00B54C98"/>
    <w:rsid w:val="00B55B6C"/>
    <w:rsid w:val="00B55FAA"/>
    <w:rsid w:val="00B5674D"/>
    <w:rsid w:val="00B56B05"/>
    <w:rsid w:val="00B56D08"/>
    <w:rsid w:val="00B570E5"/>
    <w:rsid w:val="00B60532"/>
    <w:rsid w:val="00B6112A"/>
    <w:rsid w:val="00B615E4"/>
    <w:rsid w:val="00B616B4"/>
    <w:rsid w:val="00B618C0"/>
    <w:rsid w:val="00B6259A"/>
    <w:rsid w:val="00B62BB3"/>
    <w:rsid w:val="00B6364B"/>
    <w:rsid w:val="00B64504"/>
    <w:rsid w:val="00B666DA"/>
    <w:rsid w:val="00B66E47"/>
    <w:rsid w:val="00B67502"/>
    <w:rsid w:val="00B67626"/>
    <w:rsid w:val="00B7099F"/>
    <w:rsid w:val="00B70D52"/>
    <w:rsid w:val="00B713CB"/>
    <w:rsid w:val="00B72C21"/>
    <w:rsid w:val="00B72C22"/>
    <w:rsid w:val="00B7447C"/>
    <w:rsid w:val="00B74E2B"/>
    <w:rsid w:val="00B754CC"/>
    <w:rsid w:val="00B766E1"/>
    <w:rsid w:val="00B7771E"/>
    <w:rsid w:val="00B777B1"/>
    <w:rsid w:val="00B803BD"/>
    <w:rsid w:val="00B824B5"/>
    <w:rsid w:val="00B82C30"/>
    <w:rsid w:val="00B842BF"/>
    <w:rsid w:val="00B844A6"/>
    <w:rsid w:val="00B8464A"/>
    <w:rsid w:val="00B86D89"/>
    <w:rsid w:val="00B87985"/>
    <w:rsid w:val="00B92D96"/>
    <w:rsid w:val="00B94480"/>
    <w:rsid w:val="00B95C47"/>
    <w:rsid w:val="00B9616A"/>
    <w:rsid w:val="00B974D9"/>
    <w:rsid w:val="00B975FA"/>
    <w:rsid w:val="00B97C6C"/>
    <w:rsid w:val="00B97E21"/>
    <w:rsid w:val="00BA055A"/>
    <w:rsid w:val="00BA0914"/>
    <w:rsid w:val="00BA18D2"/>
    <w:rsid w:val="00BA21E9"/>
    <w:rsid w:val="00BA3103"/>
    <w:rsid w:val="00BA3306"/>
    <w:rsid w:val="00BA36ED"/>
    <w:rsid w:val="00BA3815"/>
    <w:rsid w:val="00BA3DA3"/>
    <w:rsid w:val="00BA4689"/>
    <w:rsid w:val="00BA4BF8"/>
    <w:rsid w:val="00BA60F3"/>
    <w:rsid w:val="00BB1179"/>
    <w:rsid w:val="00BB1A72"/>
    <w:rsid w:val="00BB4735"/>
    <w:rsid w:val="00BB4D15"/>
    <w:rsid w:val="00BB55DE"/>
    <w:rsid w:val="00BB6F67"/>
    <w:rsid w:val="00BB70AA"/>
    <w:rsid w:val="00BB7F6D"/>
    <w:rsid w:val="00BC1119"/>
    <w:rsid w:val="00BC2F2F"/>
    <w:rsid w:val="00BC3B25"/>
    <w:rsid w:val="00BC43AC"/>
    <w:rsid w:val="00BC61DC"/>
    <w:rsid w:val="00BD09C0"/>
    <w:rsid w:val="00BD1608"/>
    <w:rsid w:val="00BD40D7"/>
    <w:rsid w:val="00BD4CAD"/>
    <w:rsid w:val="00BD5355"/>
    <w:rsid w:val="00BD5B4F"/>
    <w:rsid w:val="00BD5DB4"/>
    <w:rsid w:val="00BD6010"/>
    <w:rsid w:val="00BD62FD"/>
    <w:rsid w:val="00BD6479"/>
    <w:rsid w:val="00BD66AD"/>
    <w:rsid w:val="00BD7CA2"/>
    <w:rsid w:val="00BD7D76"/>
    <w:rsid w:val="00BE12F6"/>
    <w:rsid w:val="00BE13AB"/>
    <w:rsid w:val="00BE3585"/>
    <w:rsid w:val="00BE4D4B"/>
    <w:rsid w:val="00BE5188"/>
    <w:rsid w:val="00BE57E8"/>
    <w:rsid w:val="00BE7450"/>
    <w:rsid w:val="00BF0CEF"/>
    <w:rsid w:val="00BF3248"/>
    <w:rsid w:val="00BF3307"/>
    <w:rsid w:val="00BF3A53"/>
    <w:rsid w:val="00BF3DFD"/>
    <w:rsid w:val="00BF416D"/>
    <w:rsid w:val="00BF4218"/>
    <w:rsid w:val="00BF674C"/>
    <w:rsid w:val="00BF79B0"/>
    <w:rsid w:val="00C0048A"/>
    <w:rsid w:val="00C00A86"/>
    <w:rsid w:val="00C01E45"/>
    <w:rsid w:val="00C023C2"/>
    <w:rsid w:val="00C02892"/>
    <w:rsid w:val="00C05F94"/>
    <w:rsid w:val="00C104A3"/>
    <w:rsid w:val="00C104D0"/>
    <w:rsid w:val="00C1137D"/>
    <w:rsid w:val="00C115DD"/>
    <w:rsid w:val="00C11E46"/>
    <w:rsid w:val="00C12092"/>
    <w:rsid w:val="00C126F6"/>
    <w:rsid w:val="00C1445A"/>
    <w:rsid w:val="00C15AE6"/>
    <w:rsid w:val="00C15D45"/>
    <w:rsid w:val="00C16257"/>
    <w:rsid w:val="00C16B35"/>
    <w:rsid w:val="00C16E3B"/>
    <w:rsid w:val="00C23420"/>
    <w:rsid w:val="00C24243"/>
    <w:rsid w:val="00C24B57"/>
    <w:rsid w:val="00C252C9"/>
    <w:rsid w:val="00C265C4"/>
    <w:rsid w:val="00C26623"/>
    <w:rsid w:val="00C27145"/>
    <w:rsid w:val="00C30AAF"/>
    <w:rsid w:val="00C31CD7"/>
    <w:rsid w:val="00C32425"/>
    <w:rsid w:val="00C33B40"/>
    <w:rsid w:val="00C346EE"/>
    <w:rsid w:val="00C34B37"/>
    <w:rsid w:val="00C357DC"/>
    <w:rsid w:val="00C36151"/>
    <w:rsid w:val="00C37A89"/>
    <w:rsid w:val="00C37D71"/>
    <w:rsid w:val="00C37ECD"/>
    <w:rsid w:val="00C45BCF"/>
    <w:rsid w:val="00C465A6"/>
    <w:rsid w:val="00C46A62"/>
    <w:rsid w:val="00C47F9B"/>
    <w:rsid w:val="00C509EE"/>
    <w:rsid w:val="00C54246"/>
    <w:rsid w:val="00C555F7"/>
    <w:rsid w:val="00C5668B"/>
    <w:rsid w:val="00C5744B"/>
    <w:rsid w:val="00C61154"/>
    <w:rsid w:val="00C618C3"/>
    <w:rsid w:val="00C63879"/>
    <w:rsid w:val="00C64410"/>
    <w:rsid w:val="00C64B17"/>
    <w:rsid w:val="00C6724F"/>
    <w:rsid w:val="00C67622"/>
    <w:rsid w:val="00C67866"/>
    <w:rsid w:val="00C67C55"/>
    <w:rsid w:val="00C67F56"/>
    <w:rsid w:val="00C70758"/>
    <w:rsid w:val="00C713E7"/>
    <w:rsid w:val="00C71AED"/>
    <w:rsid w:val="00C71F9E"/>
    <w:rsid w:val="00C736F2"/>
    <w:rsid w:val="00C739AC"/>
    <w:rsid w:val="00C747AD"/>
    <w:rsid w:val="00C74CF4"/>
    <w:rsid w:val="00C75F2D"/>
    <w:rsid w:val="00C7626C"/>
    <w:rsid w:val="00C76871"/>
    <w:rsid w:val="00C77055"/>
    <w:rsid w:val="00C77AC4"/>
    <w:rsid w:val="00C81060"/>
    <w:rsid w:val="00C81164"/>
    <w:rsid w:val="00C81669"/>
    <w:rsid w:val="00C817D8"/>
    <w:rsid w:val="00C81E38"/>
    <w:rsid w:val="00C84FF3"/>
    <w:rsid w:val="00C85D82"/>
    <w:rsid w:val="00C85EB2"/>
    <w:rsid w:val="00C8794F"/>
    <w:rsid w:val="00C879CC"/>
    <w:rsid w:val="00C92D66"/>
    <w:rsid w:val="00C9346E"/>
    <w:rsid w:val="00C94ECC"/>
    <w:rsid w:val="00C9515B"/>
    <w:rsid w:val="00C95173"/>
    <w:rsid w:val="00C96910"/>
    <w:rsid w:val="00C9726E"/>
    <w:rsid w:val="00CA16EA"/>
    <w:rsid w:val="00CA2679"/>
    <w:rsid w:val="00CA5AF4"/>
    <w:rsid w:val="00CA5C36"/>
    <w:rsid w:val="00CA67DA"/>
    <w:rsid w:val="00CA6D86"/>
    <w:rsid w:val="00CA6DE6"/>
    <w:rsid w:val="00CA702F"/>
    <w:rsid w:val="00CA79A6"/>
    <w:rsid w:val="00CB010F"/>
    <w:rsid w:val="00CB30DA"/>
    <w:rsid w:val="00CB317B"/>
    <w:rsid w:val="00CB337A"/>
    <w:rsid w:val="00CB3B8F"/>
    <w:rsid w:val="00CB464E"/>
    <w:rsid w:val="00CB4A2D"/>
    <w:rsid w:val="00CB4F71"/>
    <w:rsid w:val="00CC04AD"/>
    <w:rsid w:val="00CC2054"/>
    <w:rsid w:val="00CC26DF"/>
    <w:rsid w:val="00CC2C24"/>
    <w:rsid w:val="00CC33A9"/>
    <w:rsid w:val="00CC47A4"/>
    <w:rsid w:val="00CC6638"/>
    <w:rsid w:val="00CC6EEF"/>
    <w:rsid w:val="00CC75AA"/>
    <w:rsid w:val="00CC7972"/>
    <w:rsid w:val="00CD0835"/>
    <w:rsid w:val="00CD2087"/>
    <w:rsid w:val="00CD2F1A"/>
    <w:rsid w:val="00CD3330"/>
    <w:rsid w:val="00CD442B"/>
    <w:rsid w:val="00CD4BE2"/>
    <w:rsid w:val="00CD57B9"/>
    <w:rsid w:val="00CD580E"/>
    <w:rsid w:val="00CD6FBD"/>
    <w:rsid w:val="00CD7D19"/>
    <w:rsid w:val="00CE3565"/>
    <w:rsid w:val="00CE37CF"/>
    <w:rsid w:val="00CE4DC7"/>
    <w:rsid w:val="00CE4E61"/>
    <w:rsid w:val="00CE5B1D"/>
    <w:rsid w:val="00CE6B1D"/>
    <w:rsid w:val="00CF0299"/>
    <w:rsid w:val="00CF06F7"/>
    <w:rsid w:val="00CF1403"/>
    <w:rsid w:val="00CF1A46"/>
    <w:rsid w:val="00CF240A"/>
    <w:rsid w:val="00CF2CC7"/>
    <w:rsid w:val="00CF2FD0"/>
    <w:rsid w:val="00CF3649"/>
    <w:rsid w:val="00CF43D5"/>
    <w:rsid w:val="00CF44B4"/>
    <w:rsid w:val="00CF5F7F"/>
    <w:rsid w:val="00CF7FA9"/>
    <w:rsid w:val="00D00185"/>
    <w:rsid w:val="00D001F6"/>
    <w:rsid w:val="00D0045C"/>
    <w:rsid w:val="00D009F6"/>
    <w:rsid w:val="00D0157E"/>
    <w:rsid w:val="00D01955"/>
    <w:rsid w:val="00D01DA6"/>
    <w:rsid w:val="00D020EB"/>
    <w:rsid w:val="00D029BC"/>
    <w:rsid w:val="00D03807"/>
    <w:rsid w:val="00D03C21"/>
    <w:rsid w:val="00D03D5D"/>
    <w:rsid w:val="00D03D79"/>
    <w:rsid w:val="00D07C18"/>
    <w:rsid w:val="00D07CAA"/>
    <w:rsid w:val="00D10D0E"/>
    <w:rsid w:val="00D138D3"/>
    <w:rsid w:val="00D167CB"/>
    <w:rsid w:val="00D1681F"/>
    <w:rsid w:val="00D20B4F"/>
    <w:rsid w:val="00D21254"/>
    <w:rsid w:val="00D21629"/>
    <w:rsid w:val="00D2182A"/>
    <w:rsid w:val="00D2338B"/>
    <w:rsid w:val="00D24D1D"/>
    <w:rsid w:val="00D25EA5"/>
    <w:rsid w:val="00D26D70"/>
    <w:rsid w:val="00D27D5C"/>
    <w:rsid w:val="00D3179C"/>
    <w:rsid w:val="00D3270D"/>
    <w:rsid w:val="00D32A73"/>
    <w:rsid w:val="00D32C3D"/>
    <w:rsid w:val="00D33428"/>
    <w:rsid w:val="00D34782"/>
    <w:rsid w:val="00D349BA"/>
    <w:rsid w:val="00D34B48"/>
    <w:rsid w:val="00D36563"/>
    <w:rsid w:val="00D37FAF"/>
    <w:rsid w:val="00D400D4"/>
    <w:rsid w:val="00D411E1"/>
    <w:rsid w:val="00D42DC6"/>
    <w:rsid w:val="00D42F9C"/>
    <w:rsid w:val="00D44BD2"/>
    <w:rsid w:val="00D44DD8"/>
    <w:rsid w:val="00D45028"/>
    <w:rsid w:val="00D45B6F"/>
    <w:rsid w:val="00D460B8"/>
    <w:rsid w:val="00D467B6"/>
    <w:rsid w:val="00D46B3E"/>
    <w:rsid w:val="00D4782D"/>
    <w:rsid w:val="00D47AAE"/>
    <w:rsid w:val="00D50476"/>
    <w:rsid w:val="00D5108A"/>
    <w:rsid w:val="00D51234"/>
    <w:rsid w:val="00D52383"/>
    <w:rsid w:val="00D52BEB"/>
    <w:rsid w:val="00D52EAB"/>
    <w:rsid w:val="00D53515"/>
    <w:rsid w:val="00D54AA0"/>
    <w:rsid w:val="00D5684F"/>
    <w:rsid w:val="00D571F4"/>
    <w:rsid w:val="00D575BD"/>
    <w:rsid w:val="00D575EB"/>
    <w:rsid w:val="00D5762F"/>
    <w:rsid w:val="00D57CD7"/>
    <w:rsid w:val="00D60597"/>
    <w:rsid w:val="00D61467"/>
    <w:rsid w:val="00D6146B"/>
    <w:rsid w:val="00D62B68"/>
    <w:rsid w:val="00D63E8B"/>
    <w:rsid w:val="00D6436F"/>
    <w:rsid w:val="00D64DCD"/>
    <w:rsid w:val="00D66802"/>
    <w:rsid w:val="00D6709C"/>
    <w:rsid w:val="00D67316"/>
    <w:rsid w:val="00D674F0"/>
    <w:rsid w:val="00D73E03"/>
    <w:rsid w:val="00D741C4"/>
    <w:rsid w:val="00D758E7"/>
    <w:rsid w:val="00D75B2F"/>
    <w:rsid w:val="00D77969"/>
    <w:rsid w:val="00D83A33"/>
    <w:rsid w:val="00D8467E"/>
    <w:rsid w:val="00D84BD6"/>
    <w:rsid w:val="00D84D8D"/>
    <w:rsid w:val="00D84EF0"/>
    <w:rsid w:val="00D855A8"/>
    <w:rsid w:val="00D8622A"/>
    <w:rsid w:val="00D86303"/>
    <w:rsid w:val="00D8689C"/>
    <w:rsid w:val="00D86AEC"/>
    <w:rsid w:val="00D86DA9"/>
    <w:rsid w:val="00D87E62"/>
    <w:rsid w:val="00D904C8"/>
    <w:rsid w:val="00D90848"/>
    <w:rsid w:val="00D92527"/>
    <w:rsid w:val="00D92852"/>
    <w:rsid w:val="00D94186"/>
    <w:rsid w:val="00D95724"/>
    <w:rsid w:val="00D95C15"/>
    <w:rsid w:val="00D978EA"/>
    <w:rsid w:val="00DA04AF"/>
    <w:rsid w:val="00DA0AFA"/>
    <w:rsid w:val="00DA1860"/>
    <w:rsid w:val="00DA1EC7"/>
    <w:rsid w:val="00DA202C"/>
    <w:rsid w:val="00DA4209"/>
    <w:rsid w:val="00DA44DE"/>
    <w:rsid w:val="00DA5BB6"/>
    <w:rsid w:val="00DA67B6"/>
    <w:rsid w:val="00DA6AA4"/>
    <w:rsid w:val="00DB0B3A"/>
    <w:rsid w:val="00DB0DEA"/>
    <w:rsid w:val="00DB0F6C"/>
    <w:rsid w:val="00DB1A9C"/>
    <w:rsid w:val="00DB2ADE"/>
    <w:rsid w:val="00DB300C"/>
    <w:rsid w:val="00DB4129"/>
    <w:rsid w:val="00DB5DB1"/>
    <w:rsid w:val="00DB6F31"/>
    <w:rsid w:val="00DB7622"/>
    <w:rsid w:val="00DC006B"/>
    <w:rsid w:val="00DC0434"/>
    <w:rsid w:val="00DC1412"/>
    <w:rsid w:val="00DC18CB"/>
    <w:rsid w:val="00DC1902"/>
    <w:rsid w:val="00DC38DA"/>
    <w:rsid w:val="00DC45FB"/>
    <w:rsid w:val="00DC4672"/>
    <w:rsid w:val="00DC46B7"/>
    <w:rsid w:val="00DC6419"/>
    <w:rsid w:val="00DC769A"/>
    <w:rsid w:val="00DD0450"/>
    <w:rsid w:val="00DD05C7"/>
    <w:rsid w:val="00DD0C96"/>
    <w:rsid w:val="00DD2ED1"/>
    <w:rsid w:val="00DD4048"/>
    <w:rsid w:val="00DD4240"/>
    <w:rsid w:val="00DD4B4B"/>
    <w:rsid w:val="00DD5CC6"/>
    <w:rsid w:val="00DD7257"/>
    <w:rsid w:val="00DE01F8"/>
    <w:rsid w:val="00DE0685"/>
    <w:rsid w:val="00DE0F31"/>
    <w:rsid w:val="00DE149E"/>
    <w:rsid w:val="00DE1797"/>
    <w:rsid w:val="00DE1C37"/>
    <w:rsid w:val="00DE2194"/>
    <w:rsid w:val="00DE234E"/>
    <w:rsid w:val="00DE244E"/>
    <w:rsid w:val="00DE3055"/>
    <w:rsid w:val="00DE30C4"/>
    <w:rsid w:val="00DE3F57"/>
    <w:rsid w:val="00DE4D93"/>
    <w:rsid w:val="00DE54F9"/>
    <w:rsid w:val="00DE5CAF"/>
    <w:rsid w:val="00DE607D"/>
    <w:rsid w:val="00DE6692"/>
    <w:rsid w:val="00DE6CDC"/>
    <w:rsid w:val="00DE714B"/>
    <w:rsid w:val="00DE7A12"/>
    <w:rsid w:val="00DE7AE7"/>
    <w:rsid w:val="00DF0762"/>
    <w:rsid w:val="00DF098C"/>
    <w:rsid w:val="00DF0A5A"/>
    <w:rsid w:val="00DF0EE2"/>
    <w:rsid w:val="00DF1C46"/>
    <w:rsid w:val="00DF38C2"/>
    <w:rsid w:val="00DF3979"/>
    <w:rsid w:val="00DF3ABE"/>
    <w:rsid w:val="00DF3B6E"/>
    <w:rsid w:val="00DF3C6B"/>
    <w:rsid w:val="00DF44BF"/>
    <w:rsid w:val="00DF5EB9"/>
    <w:rsid w:val="00DF60DA"/>
    <w:rsid w:val="00E00ACF"/>
    <w:rsid w:val="00E017CC"/>
    <w:rsid w:val="00E0190D"/>
    <w:rsid w:val="00E04784"/>
    <w:rsid w:val="00E04866"/>
    <w:rsid w:val="00E04F5B"/>
    <w:rsid w:val="00E060C2"/>
    <w:rsid w:val="00E0637E"/>
    <w:rsid w:val="00E06BA4"/>
    <w:rsid w:val="00E10587"/>
    <w:rsid w:val="00E10BFC"/>
    <w:rsid w:val="00E10C3A"/>
    <w:rsid w:val="00E10F82"/>
    <w:rsid w:val="00E115A7"/>
    <w:rsid w:val="00E12AFC"/>
    <w:rsid w:val="00E150F0"/>
    <w:rsid w:val="00E15B34"/>
    <w:rsid w:val="00E20C5E"/>
    <w:rsid w:val="00E217E0"/>
    <w:rsid w:val="00E2211B"/>
    <w:rsid w:val="00E231AE"/>
    <w:rsid w:val="00E23656"/>
    <w:rsid w:val="00E2482B"/>
    <w:rsid w:val="00E24E5F"/>
    <w:rsid w:val="00E2555D"/>
    <w:rsid w:val="00E26CF6"/>
    <w:rsid w:val="00E304B7"/>
    <w:rsid w:val="00E30B52"/>
    <w:rsid w:val="00E31E5F"/>
    <w:rsid w:val="00E33EB9"/>
    <w:rsid w:val="00E34679"/>
    <w:rsid w:val="00E37B78"/>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13FC"/>
    <w:rsid w:val="00E5339D"/>
    <w:rsid w:val="00E567DB"/>
    <w:rsid w:val="00E5709F"/>
    <w:rsid w:val="00E618B8"/>
    <w:rsid w:val="00E62851"/>
    <w:rsid w:val="00E6347B"/>
    <w:rsid w:val="00E64133"/>
    <w:rsid w:val="00E73B31"/>
    <w:rsid w:val="00E749A1"/>
    <w:rsid w:val="00E752E9"/>
    <w:rsid w:val="00E760AA"/>
    <w:rsid w:val="00E76202"/>
    <w:rsid w:val="00E76767"/>
    <w:rsid w:val="00E76A64"/>
    <w:rsid w:val="00E77AA6"/>
    <w:rsid w:val="00E77D05"/>
    <w:rsid w:val="00E77D47"/>
    <w:rsid w:val="00E806DF"/>
    <w:rsid w:val="00E8116E"/>
    <w:rsid w:val="00E81B64"/>
    <w:rsid w:val="00E82C79"/>
    <w:rsid w:val="00E84342"/>
    <w:rsid w:val="00E854EF"/>
    <w:rsid w:val="00E87554"/>
    <w:rsid w:val="00E87BF0"/>
    <w:rsid w:val="00E90C70"/>
    <w:rsid w:val="00E92A2F"/>
    <w:rsid w:val="00E941AB"/>
    <w:rsid w:val="00E979C4"/>
    <w:rsid w:val="00E97E29"/>
    <w:rsid w:val="00EA0AA6"/>
    <w:rsid w:val="00EA0CD3"/>
    <w:rsid w:val="00EA2509"/>
    <w:rsid w:val="00EA298D"/>
    <w:rsid w:val="00EA2A6F"/>
    <w:rsid w:val="00EA3550"/>
    <w:rsid w:val="00EA3CCB"/>
    <w:rsid w:val="00EA493D"/>
    <w:rsid w:val="00EA5367"/>
    <w:rsid w:val="00EA5D0F"/>
    <w:rsid w:val="00EA5FB4"/>
    <w:rsid w:val="00EA7314"/>
    <w:rsid w:val="00EB03D8"/>
    <w:rsid w:val="00EB0A30"/>
    <w:rsid w:val="00EB1010"/>
    <w:rsid w:val="00EB115A"/>
    <w:rsid w:val="00EB151A"/>
    <w:rsid w:val="00EB2499"/>
    <w:rsid w:val="00EB425F"/>
    <w:rsid w:val="00EB5948"/>
    <w:rsid w:val="00EB5962"/>
    <w:rsid w:val="00EB6CFE"/>
    <w:rsid w:val="00EB6D5B"/>
    <w:rsid w:val="00EC0607"/>
    <w:rsid w:val="00EC26F9"/>
    <w:rsid w:val="00EC3569"/>
    <w:rsid w:val="00EC35F4"/>
    <w:rsid w:val="00EC424C"/>
    <w:rsid w:val="00EC5A2C"/>
    <w:rsid w:val="00EC5ABA"/>
    <w:rsid w:val="00EC5B17"/>
    <w:rsid w:val="00EC5C1B"/>
    <w:rsid w:val="00EC6432"/>
    <w:rsid w:val="00EC6E05"/>
    <w:rsid w:val="00ED03E2"/>
    <w:rsid w:val="00ED1184"/>
    <w:rsid w:val="00ED19AA"/>
    <w:rsid w:val="00ED1E35"/>
    <w:rsid w:val="00ED43AF"/>
    <w:rsid w:val="00ED45FD"/>
    <w:rsid w:val="00ED4C17"/>
    <w:rsid w:val="00ED57AB"/>
    <w:rsid w:val="00ED5B8A"/>
    <w:rsid w:val="00EE0790"/>
    <w:rsid w:val="00EE0897"/>
    <w:rsid w:val="00EE0BBF"/>
    <w:rsid w:val="00EE0D03"/>
    <w:rsid w:val="00EE286D"/>
    <w:rsid w:val="00EE4636"/>
    <w:rsid w:val="00EE6A29"/>
    <w:rsid w:val="00EE6A46"/>
    <w:rsid w:val="00EE6FAD"/>
    <w:rsid w:val="00EE7678"/>
    <w:rsid w:val="00EE77A6"/>
    <w:rsid w:val="00EE7A53"/>
    <w:rsid w:val="00EE7F10"/>
    <w:rsid w:val="00EF3D25"/>
    <w:rsid w:val="00EF4C56"/>
    <w:rsid w:val="00EF513B"/>
    <w:rsid w:val="00EF5DC9"/>
    <w:rsid w:val="00EF6FC4"/>
    <w:rsid w:val="00EF7C8D"/>
    <w:rsid w:val="00F002A0"/>
    <w:rsid w:val="00F022A1"/>
    <w:rsid w:val="00F03CAD"/>
    <w:rsid w:val="00F04356"/>
    <w:rsid w:val="00F05E2D"/>
    <w:rsid w:val="00F06E72"/>
    <w:rsid w:val="00F07ADF"/>
    <w:rsid w:val="00F1022F"/>
    <w:rsid w:val="00F1026B"/>
    <w:rsid w:val="00F116EB"/>
    <w:rsid w:val="00F11706"/>
    <w:rsid w:val="00F124B3"/>
    <w:rsid w:val="00F16352"/>
    <w:rsid w:val="00F168C3"/>
    <w:rsid w:val="00F16C7E"/>
    <w:rsid w:val="00F17DAE"/>
    <w:rsid w:val="00F22162"/>
    <w:rsid w:val="00F221CE"/>
    <w:rsid w:val="00F235A4"/>
    <w:rsid w:val="00F240A6"/>
    <w:rsid w:val="00F2460A"/>
    <w:rsid w:val="00F24CEB"/>
    <w:rsid w:val="00F25838"/>
    <w:rsid w:val="00F2621E"/>
    <w:rsid w:val="00F26622"/>
    <w:rsid w:val="00F26C2A"/>
    <w:rsid w:val="00F27D09"/>
    <w:rsid w:val="00F30B75"/>
    <w:rsid w:val="00F3196B"/>
    <w:rsid w:val="00F31AD8"/>
    <w:rsid w:val="00F32707"/>
    <w:rsid w:val="00F32ED1"/>
    <w:rsid w:val="00F331B7"/>
    <w:rsid w:val="00F34477"/>
    <w:rsid w:val="00F347FF"/>
    <w:rsid w:val="00F34AC3"/>
    <w:rsid w:val="00F40133"/>
    <w:rsid w:val="00F40805"/>
    <w:rsid w:val="00F4087E"/>
    <w:rsid w:val="00F4142A"/>
    <w:rsid w:val="00F41BB0"/>
    <w:rsid w:val="00F41CF9"/>
    <w:rsid w:val="00F42480"/>
    <w:rsid w:val="00F42B11"/>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363"/>
    <w:rsid w:val="00F55919"/>
    <w:rsid w:val="00F55AED"/>
    <w:rsid w:val="00F55CEB"/>
    <w:rsid w:val="00F55F8D"/>
    <w:rsid w:val="00F572E9"/>
    <w:rsid w:val="00F575D9"/>
    <w:rsid w:val="00F57B0A"/>
    <w:rsid w:val="00F6027A"/>
    <w:rsid w:val="00F60580"/>
    <w:rsid w:val="00F62EA1"/>
    <w:rsid w:val="00F62F85"/>
    <w:rsid w:val="00F631B0"/>
    <w:rsid w:val="00F6436A"/>
    <w:rsid w:val="00F643FE"/>
    <w:rsid w:val="00F65852"/>
    <w:rsid w:val="00F6692F"/>
    <w:rsid w:val="00F674E8"/>
    <w:rsid w:val="00F7026C"/>
    <w:rsid w:val="00F7112A"/>
    <w:rsid w:val="00F713BB"/>
    <w:rsid w:val="00F718F6"/>
    <w:rsid w:val="00F72CF0"/>
    <w:rsid w:val="00F72E0E"/>
    <w:rsid w:val="00F733BA"/>
    <w:rsid w:val="00F73791"/>
    <w:rsid w:val="00F738A7"/>
    <w:rsid w:val="00F75A51"/>
    <w:rsid w:val="00F75CFF"/>
    <w:rsid w:val="00F76243"/>
    <w:rsid w:val="00F76D49"/>
    <w:rsid w:val="00F80044"/>
    <w:rsid w:val="00F80220"/>
    <w:rsid w:val="00F80F77"/>
    <w:rsid w:val="00F8154D"/>
    <w:rsid w:val="00F81695"/>
    <w:rsid w:val="00F8194E"/>
    <w:rsid w:val="00F82020"/>
    <w:rsid w:val="00F824DA"/>
    <w:rsid w:val="00F82568"/>
    <w:rsid w:val="00F837F8"/>
    <w:rsid w:val="00F83BD3"/>
    <w:rsid w:val="00F83E6B"/>
    <w:rsid w:val="00F84AE8"/>
    <w:rsid w:val="00F857E3"/>
    <w:rsid w:val="00F85FD2"/>
    <w:rsid w:val="00F866CA"/>
    <w:rsid w:val="00F86A66"/>
    <w:rsid w:val="00F87CF2"/>
    <w:rsid w:val="00F90041"/>
    <w:rsid w:val="00F91DD8"/>
    <w:rsid w:val="00F92A8F"/>
    <w:rsid w:val="00F93B91"/>
    <w:rsid w:val="00F955B7"/>
    <w:rsid w:val="00F956F1"/>
    <w:rsid w:val="00F95F0B"/>
    <w:rsid w:val="00F9782F"/>
    <w:rsid w:val="00FA4B45"/>
    <w:rsid w:val="00FA5A28"/>
    <w:rsid w:val="00FA6059"/>
    <w:rsid w:val="00FA6F2B"/>
    <w:rsid w:val="00FA7467"/>
    <w:rsid w:val="00FB126B"/>
    <w:rsid w:val="00FB2DB2"/>
    <w:rsid w:val="00FB3416"/>
    <w:rsid w:val="00FB3CC8"/>
    <w:rsid w:val="00FB5C3E"/>
    <w:rsid w:val="00FB74F3"/>
    <w:rsid w:val="00FB75B9"/>
    <w:rsid w:val="00FC1ADA"/>
    <w:rsid w:val="00FC2992"/>
    <w:rsid w:val="00FC3C28"/>
    <w:rsid w:val="00FC4BC4"/>
    <w:rsid w:val="00FC5E3F"/>
    <w:rsid w:val="00FC63A3"/>
    <w:rsid w:val="00FC7462"/>
    <w:rsid w:val="00FC78D2"/>
    <w:rsid w:val="00FD089D"/>
    <w:rsid w:val="00FD1207"/>
    <w:rsid w:val="00FD125F"/>
    <w:rsid w:val="00FD2193"/>
    <w:rsid w:val="00FD2885"/>
    <w:rsid w:val="00FD2907"/>
    <w:rsid w:val="00FD2D3F"/>
    <w:rsid w:val="00FD4FAD"/>
    <w:rsid w:val="00FD509D"/>
    <w:rsid w:val="00FD5B10"/>
    <w:rsid w:val="00FD6EE0"/>
    <w:rsid w:val="00FD72B7"/>
    <w:rsid w:val="00FD730A"/>
    <w:rsid w:val="00FE1A22"/>
    <w:rsid w:val="00FE2452"/>
    <w:rsid w:val="00FE27C3"/>
    <w:rsid w:val="00FE2C6B"/>
    <w:rsid w:val="00FE4B13"/>
    <w:rsid w:val="00FE50E5"/>
    <w:rsid w:val="00FE5321"/>
    <w:rsid w:val="00FE73E1"/>
    <w:rsid w:val="00FE7E5F"/>
    <w:rsid w:val="00FF0564"/>
    <w:rsid w:val="00FF0D8F"/>
    <w:rsid w:val="00FF0EBA"/>
    <w:rsid w:val="00FF133B"/>
    <w:rsid w:val="00FF13D2"/>
    <w:rsid w:val="00FF1A1D"/>
    <w:rsid w:val="00FF2D8D"/>
    <w:rsid w:val="00FF4592"/>
    <w:rsid w:val="00FF4AAC"/>
    <w:rsid w:val="00FF613C"/>
    <w:rsid w:val="00FF6878"/>
    <w:rsid w:val="00FF6A91"/>
    <w:rsid w:val="00FF6DC4"/>
    <w:rsid w:val="00FF7362"/>
    <w:rsid w:val="012F09A0"/>
    <w:rsid w:val="024B92A1"/>
    <w:rsid w:val="050D81F1"/>
    <w:rsid w:val="05BD6179"/>
    <w:rsid w:val="069DE5E1"/>
    <w:rsid w:val="07B815AE"/>
    <w:rsid w:val="0BA15539"/>
    <w:rsid w:val="0BB44609"/>
    <w:rsid w:val="0BE5FE4E"/>
    <w:rsid w:val="0CB3B2AA"/>
    <w:rsid w:val="0CC0CAD9"/>
    <w:rsid w:val="0DADC3A0"/>
    <w:rsid w:val="0EA32584"/>
    <w:rsid w:val="0EC6ABEF"/>
    <w:rsid w:val="0FEB4C7E"/>
    <w:rsid w:val="10D3787E"/>
    <w:rsid w:val="11BE3B53"/>
    <w:rsid w:val="122EDF3A"/>
    <w:rsid w:val="12686931"/>
    <w:rsid w:val="138DBDC7"/>
    <w:rsid w:val="14090312"/>
    <w:rsid w:val="1723E36E"/>
    <w:rsid w:val="17B58D44"/>
    <w:rsid w:val="18708D2A"/>
    <w:rsid w:val="19CA8C6A"/>
    <w:rsid w:val="1A17F519"/>
    <w:rsid w:val="1A5D57B7"/>
    <w:rsid w:val="1C3CE7B5"/>
    <w:rsid w:val="1D275811"/>
    <w:rsid w:val="1E207251"/>
    <w:rsid w:val="1E78DD71"/>
    <w:rsid w:val="2143E57A"/>
    <w:rsid w:val="2155241E"/>
    <w:rsid w:val="21DA0CD7"/>
    <w:rsid w:val="22F51F41"/>
    <w:rsid w:val="2324C0DB"/>
    <w:rsid w:val="2404EDDC"/>
    <w:rsid w:val="24759F95"/>
    <w:rsid w:val="24D394F1"/>
    <w:rsid w:val="24F27AAB"/>
    <w:rsid w:val="26478501"/>
    <w:rsid w:val="27ECE308"/>
    <w:rsid w:val="29FE0EE5"/>
    <w:rsid w:val="2A9BAAF0"/>
    <w:rsid w:val="2AE363AD"/>
    <w:rsid w:val="2C3D33B3"/>
    <w:rsid w:val="2D839B99"/>
    <w:rsid w:val="2DC3521E"/>
    <w:rsid w:val="2ED91FA2"/>
    <w:rsid w:val="2FD35F4C"/>
    <w:rsid w:val="3096681A"/>
    <w:rsid w:val="3176E24C"/>
    <w:rsid w:val="32CBAF72"/>
    <w:rsid w:val="3326F936"/>
    <w:rsid w:val="33858B80"/>
    <w:rsid w:val="3433A9F8"/>
    <w:rsid w:val="36CC12F1"/>
    <w:rsid w:val="38EDF243"/>
    <w:rsid w:val="3C24A0D2"/>
    <w:rsid w:val="3C45A024"/>
    <w:rsid w:val="3F4F4621"/>
    <w:rsid w:val="3F6B1808"/>
    <w:rsid w:val="4008F580"/>
    <w:rsid w:val="402E5E8B"/>
    <w:rsid w:val="40BCB55E"/>
    <w:rsid w:val="40F9F56A"/>
    <w:rsid w:val="4236F60E"/>
    <w:rsid w:val="4238CB15"/>
    <w:rsid w:val="448A2373"/>
    <w:rsid w:val="457A4EF4"/>
    <w:rsid w:val="464474E9"/>
    <w:rsid w:val="46A2FBD7"/>
    <w:rsid w:val="470F7738"/>
    <w:rsid w:val="486596FD"/>
    <w:rsid w:val="4D08611E"/>
    <w:rsid w:val="4E39CA8A"/>
    <w:rsid w:val="54E778B4"/>
    <w:rsid w:val="5A561226"/>
    <w:rsid w:val="5AB88204"/>
    <w:rsid w:val="5BE9CACD"/>
    <w:rsid w:val="5E222FDF"/>
    <w:rsid w:val="5F76D65E"/>
    <w:rsid w:val="638CD036"/>
    <w:rsid w:val="63D4642C"/>
    <w:rsid w:val="64F8B4FA"/>
    <w:rsid w:val="6535AEE8"/>
    <w:rsid w:val="65523D72"/>
    <w:rsid w:val="65CDADCA"/>
    <w:rsid w:val="65EA337E"/>
    <w:rsid w:val="663F895A"/>
    <w:rsid w:val="67D047B6"/>
    <w:rsid w:val="687E7D47"/>
    <w:rsid w:val="68E4B62C"/>
    <w:rsid w:val="6B74524E"/>
    <w:rsid w:val="6BF94EA3"/>
    <w:rsid w:val="6D04DFB5"/>
    <w:rsid w:val="6DCE4D25"/>
    <w:rsid w:val="6F9E645C"/>
    <w:rsid w:val="71A14D2A"/>
    <w:rsid w:val="72A56279"/>
    <w:rsid w:val="74D65BE9"/>
    <w:rsid w:val="75704A0C"/>
    <w:rsid w:val="75919171"/>
    <w:rsid w:val="7605B458"/>
    <w:rsid w:val="7674E4E5"/>
    <w:rsid w:val="76BF6B29"/>
    <w:rsid w:val="777EAEC9"/>
    <w:rsid w:val="792DCC16"/>
    <w:rsid w:val="7A5DDA45"/>
    <w:rsid w:val="7AF1881D"/>
    <w:rsid w:val="7EE9DEA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424303-3E66-4812-817D-1647E90D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6F7"/>
    <w:pPr>
      <w:widowControl w:val="0"/>
      <w:spacing w:before="160" w:after="160" w:line="360" w:lineRule="atLeast"/>
    </w:pPr>
    <w:rPr>
      <w:rFonts w:ascii="Montserrat" w:hAnsi="Montserrat"/>
      <w:sz w:val="24"/>
    </w:rPr>
  </w:style>
  <w:style w:type="paragraph" w:styleId="Heading1">
    <w:name w:val="heading 1"/>
    <w:basedOn w:val="Normal"/>
    <w:next w:val="Normal"/>
    <w:link w:val="Heading1Char"/>
    <w:uiPriority w:val="1"/>
    <w:qFormat/>
    <w:rsid w:val="002726F7"/>
    <w:pPr>
      <w:widowControl/>
      <w:spacing w:before="0" w:after="100" w:line="520" w:lineRule="atLeast"/>
      <w:outlineLvl w:val="0"/>
    </w:pPr>
    <w:rPr>
      <w:rFonts w:eastAsiaTheme="majorEastAsia" w:cstheme="majorBidi"/>
      <w:b/>
      <w:color w:val="65328F" w:themeColor="accent1"/>
      <w:sz w:val="44"/>
      <w:szCs w:val="36"/>
    </w:rPr>
  </w:style>
  <w:style w:type="paragraph" w:styleId="Heading2">
    <w:name w:val="heading 2"/>
    <w:basedOn w:val="Normal"/>
    <w:next w:val="Normal"/>
    <w:link w:val="Heading2Char"/>
    <w:uiPriority w:val="1"/>
    <w:rsid w:val="002726F7"/>
    <w:pPr>
      <w:widowControl/>
      <w:spacing w:before="100" w:after="100" w:line="480" w:lineRule="atLeast"/>
      <w:outlineLvl w:val="1"/>
    </w:pPr>
    <w:rPr>
      <w:rFonts w:eastAsiaTheme="majorEastAsia" w:cstheme="majorBidi"/>
      <w:b/>
      <w:color w:val="65328F" w:themeColor="accent1"/>
      <w:sz w:val="36"/>
      <w:szCs w:val="26"/>
    </w:rPr>
  </w:style>
  <w:style w:type="paragraph" w:styleId="Heading3">
    <w:name w:val="heading 3"/>
    <w:basedOn w:val="Normal"/>
    <w:next w:val="Normal"/>
    <w:link w:val="Heading3Char"/>
    <w:uiPriority w:val="1"/>
    <w:qFormat/>
    <w:rsid w:val="002726F7"/>
    <w:pPr>
      <w:keepNext/>
      <w:keepLines/>
      <w:spacing w:before="100" w:after="100" w:line="440" w:lineRule="atLeast"/>
      <w:outlineLvl w:val="2"/>
    </w:pPr>
    <w:rPr>
      <w:rFonts w:eastAsiaTheme="majorEastAsia" w:cstheme="majorBidi"/>
      <w:b/>
      <w:color w:val="65328F" w:themeColor="accent1"/>
      <w:sz w:val="32"/>
      <w:szCs w:val="24"/>
    </w:rPr>
  </w:style>
  <w:style w:type="paragraph" w:styleId="Heading4">
    <w:name w:val="heading 4"/>
    <w:basedOn w:val="Normal"/>
    <w:next w:val="Normal"/>
    <w:link w:val="Heading4Char"/>
    <w:uiPriority w:val="1"/>
    <w:qFormat/>
    <w:rsid w:val="002726F7"/>
    <w:pPr>
      <w:widowControl/>
      <w:spacing w:before="100" w:after="100" w:line="400" w:lineRule="atLeast"/>
      <w:outlineLvl w:val="3"/>
    </w:pPr>
    <w:rPr>
      <w:rFonts w:eastAsiaTheme="majorEastAsia" w:cstheme="majorBidi"/>
      <w:b/>
      <w:iCs/>
      <w:color w:val="65328F" w:themeColor="accent1"/>
      <w:sz w:val="28"/>
    </w:rPr>
  </w:style>
  <w:style w:type="paragraph" w:styleId="Heading5">
    <w:name w:val="heading 5"/>
    <w:basedOn w:val="Normal"/>
    <w:next w:val="Normal"/>
    <w:link w:val="Heading5Char"/>
    <w:uiPriority w:val="1"/>
    <w:qFormat/>
    <w:rsid w:val="002726F7"/>
    <w:pPr>
      <w:keepNext/>
      <w:keepLines/>
      <w:spacing w:before="100" w:after="100"/>
      <w:outlineLvl w:val="4"/>
    </w:pPr>
    <w:rPr>
      <w:rFonts w:eastAsiaTheme="majorEastAsia" w:cstheme="majorBidi"/>
      <w:b/>
      <w:color w:val="65328F" w:themeColor="accent1"/>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rsid w:val="0020158A"/>
    <w:pPr>
      <w:spacing w:before="120" w:after="0"/>
    </w:pPr>
    <w:rPr>
      <w:b/>
      <w:bCs/>
      <w:iCs/>
      <w:szCs w:val="24"/>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6"/>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F347FF"/>
    <w:pPr>
      <w:spacing w:before="0" w:after="0" w:line="240" w:lineRule="atLeast"/>
    </w:pPr>
    <w:rPr>
      <w:color w:val="65328F" w:themeColor="accent1"/>
      <w:sz w:val="20"/>
    </w:rPr>
  </w:style>
  <w:style w:type="character" w:customStyle="1" w:styleId="FooterChar">
    <w:name w:val="Footer Char"/>
    <w:basedOn w:val="DefaultParagraphFont"/>
    <w:link w:val="Footer"/>
    <w:uiPriority w:val="37"/>
    <w:rsid w:val="00F347FF"/>
    <w:rPr>
      <w:color w:val="65328F" w:themeColor="accent1"/>
      <w:sz w:val="20"/>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2A728D"/>
    <w:rPr>
      <w:rFonts w:ascii="Montserrat" w:hAnsi="Montserrat"/>
      <w:color w:val="65328F" w:themeColor="accent1"/>
      <w:sz w:val="24"/>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7"/>
      </w:numPr>
      <w:contextualSpacing/>
    </w:pPr>
  </w:style>
  <w:style w:type="paragraph" w:styleId="ListBullet5">
    <w:name w:val="List Bullet 5"/>
    <w:basedOn w:val="Normal"/>
    <w:uiPriority w:val="99"/>
    <w:semiHidden/>
    <w:unhideWhenUsed/>
    <w:rsid w:val="00914935"/>
    <w:pPr>
      <w:numPr>
        <w:numId w:val="18"/>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32"/>
      </w:numPr>
      <w:spacing w:before="120" w:after="120"/>
    </w:pPr>
    <w:rPr>
      <w:szCs w:val="20"/>
    </w:rPr>
  </w:style>
  <w:style w:type="paragraph" w:styleId="ListNumber2">
    <w:name w:val="List Number 2"/>
    <w:basedOn w:val="Normal"/>
    <w:uiPriority w:val="1"/>
    <w:qFormat/>
    <w:rsid w:val="009E71B6"/>
    <w:pPr>
      <w:widowControl/>
      <w:numPr>
        <w:ilvl w:val="1"/>
        <w:numId w:val="32"/>
      </w:numPr>
      <w:spacing w:before="120" w:after="120"/>
    </w:pPr>
    <w:rPr>
      <w:szCs w:val="20"/>
    </w:rPr>
  </w:style>
  <w:style w:type="paragraph" w:styleId="ListNumber3">
    <w:name w:val="List Number 3"/>
    <w:basedOn w:val="Normal"/>
    <w:uiPriority w:val="1"/>
    <w:qFormat/>
    <w:rsid w:val="009E71B6"/>
    <w:pPr>
      <w:widowControl/>
      <w:numPr>
        <w:ilvl w:val="2"/>
        <w:numId w:val="32"/>
      </w:numPr>
      <w:spacing w:before="120" w:after="120"/>
      <w:ind w:left="1020" w:hanging="340"/>
    </w:pPr>
    <w:rPr>
      <w:szCs w:val="20"/>
    </w:rPr>
  </w:style>
  <w:style w:type="paragraph" w:styleId="ListNumber4">
    <w:name w:val="List Number 4"/>
    <w:basedOn w:val="Normal"/>
    <w:uiPriority w:val="99"/>
    <w:semiHidden/>
    <w:unhideWhenUsed/>
    <w:rsid w:val="00914935"/>
    <w:pPr>
      <w:numPr>
        <w:numId w:val="19"/>
      </w:numPr>
      <w:contextualSpacing/>
    </w:pPr>
  </w:style>
  <w:style w:type="paragraph" w:styleId="ListNumber5">
    <w:name w:val="List Number 5"/>
    <w:basedOn w:val="Normal"/>
    <w:uiPriority w:val="99"/>
    <w:semiHidden/>
    <w:unhideWhenUsed/>
    <w:rsid w:val="00914935"/>
    <w:pPr>
      <w:numPr>
        <w:numId w:val="20"/>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semiHidden/>
    <w:rsid w:val="00914935"/>
    <w:rPr>
      <w:b/>
      <w:bCs/>
    </w:rPr>
  </w:style>
  <w:style w:type="paragraph" w:styleId="Subtitle">
    <w:name w:val="Subtitle"/>
    <w:basedOn w:val="Normal"/>
    <w:next w:val="Normal"/>
    <w:link w:val="SubtitleChar"/>
    <w:uiPriority w:val="1"/>
    <w:rsid w:val="00D21254"/>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
    <w:rsid w:val="00D21254"/>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
    <w:rsid w:val="00D21254"/>
    <w:pPr>
      <w:widowControl/>
      <w:spacing w:before="0" w:after="100" w:line="760" w:lineRule="atLeast"/>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
    <w:rsid w:val="00D21254"/>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szCs w:val="24"/>
    </w:rPr>
  </w:style>
  <w:style w:type="paragraph" w:styleId="TOC2">
    <w:name w:val="toc 2"/>
    <w:basedOn w:val="Normal"/>
    <w:next w:val="Normal"/>
    <w:uiPriority w:val="39"/>
    <w:rsid w:val="0020158A"/>
    <w:pPr>
      <w:spacing w:before="120" w:after="0"/>
      <w:ind w:left="240"/>
    </w:pPr>
    <w:rPr>
      <w:bCs/>
    </w:rPr>
  </w:style>
  <w:style w:type="paragraph" w:styleId="TOC3">
    <w:name w:val="toc 3"/>
    <w:basedOn w:val="Normal"/>
    <w:next w:val="Normal"/>
    <w:uiPriority w:val="39"/>
    <w:rsid w:val="0020158A"/>
    <w:pPr>
      <w:spacing w:before="0" w:after="0"/>
      <w:ind w:left="480"/>
    </w:pPr>
    <w:rPr>
      <w:szCs w:val="20"/>
    </w:rPr>
  </w:style>
  <w:style w:type="paragraph" w:styleId="TOC4">
    <w:name w:val="toc 4"/>
    <w:basedOn w:val="Normal"/>
    <w:next w:val="Normal"/>
    <w:uiPriority w:val="39"/>
    <w:semiHidden/>
    <w:rsid w:val="00914935"/>
    <w:pPr>
      <w:spacing w:before="0" w:after="0"/>
      <w:ind w:left="720"/>
    </w:pPr>
    <w:rPr>
      <w:rFonts w:asciiTheme="minorHAnsi" w:hAnsiTheme="minorHAnsi"/>
      <w:sz w:val="20"/>
      <w:szCs w:val="20"/>
    </w:rPr>
  </w:style>
  <w:style w:type="paragraph" w:styleId="TOC5">
    <w:name w:val="toc 5"/>
    <w:basedOn w:val="Normal"/>
    <w:next w:val="Normal"/>
    <w:uiPriority w:val="39"/>
    <w:semiHidden/>
    <w:rsid w:val="00914935"/>
    <w:pPr>
      <w:spacing w:before="0" w:after="0"/>
      <w:ind w:left="960"/>
    </w:pPr>
    <w:rPr>
      <w:rFonts w:asciiTheme="minorHAnsi" w:hAnsiTheme="minorHAnsi"/>
      <w:sz w:val="20"/>
      <w:szCs w:val="20"/>
    </w:rPr>
  </w:style>
  <w:style w:type="paragraph" w:styleId="TOC6">
    <w:name w:val="toc 6"/>
    <w:basedOn w:val="Normal"/>
    <w:next w:val="Normal"/>
    <w:uiPriority w:val="39"/>
    <w:semiHidden/>
    <w:rsid w:val="00914935"/>
    <w:pPr>
      <w:spacing w:before="0" w:after="0"/>
      <w:ind w:left="1200"/>
    </w:pPr>
    <w:rPr>
      <w:rFonts w:asciiTheme="minorHAnsi" w:hAnsiTheme="minorHAnsi"/>
      <w:sz w:val="20"/>
      <w:szCs w:val="20"/>
    </w:rPr>
  </w:style>
  <w:style w:type="paragraph" w:styleId="TOC7">
    <w:name w:val="toc 7"/>
    <w:basedOn w:val="Normal"/>
    <w:next w:val="Normal"/>
    <w:autoRedefine/>
    <w:uiPriority w:val="39"/>
    <w:semiHidden/>
    <w:rsid w:val="00914935"/>
    <w:pPr>
      <w:spacing w:before="0" w:after="0"/>
      <w:ind w:left="1440"/>
    </w:pPr>
    <w:rPr>
      <w:rFonts w:asciiTheme="minorHAnsi" w:hAnsiTheme="minorHAnsi"/>
      <w:sz w:val="20"/>
      <w:szCs w:val="20"/>
    </w:rPr>
  </w:style>
  <w:style w:type="paragraph" w:styleId="TOC8">
    <w:name w:val="toc 8"/>
    <w:basedOn w:val="Normal"/>
    <w:next w:val="Normal"/>
    <w:autoRedefine/>
    <w:uiPriority w:val="39"/>
    <w:semiHidden/>
    <w:rsid w:val="00914935"/>
    <w:pPr>
      <w:spacing w:before="0" w:after="0"/>
      <w:ind w:left="1680"/>
    </w:pPr>
    <w:rPr>
      <w:rFonts w:asciiTheme="minorHAnsi" w:hAnsiTheme="minorHAnsi"/>
      <w:sz w:val="20"/>
      <w:szCs w:val="20"/>
    </w:rPr>
  </w:style>
  <w:style w:type="paragraph" w:styleId="TOC9">
    <w:name w:val="toc 9"/>
    <w:basedOn w:val="Normal"/>
    <w:next w:val="Normal"/>
    <w:autoRedefine/>
    <w:uiPriority w:val="39"/>
    <w:semiHidden/>
    <w:rsid w:val="00914935"/>
    <w:pPr>
      <w:spacing w:before="0" w:after="0"/>
      <w:ind w:left="1920"/>
    </w:pPr>
    <w:rPr>
      <w:rFonts w:asciiTheme="minorHAnsi" w:hAnsiTheme="minorHAnsi"/>
      <w:sz w:val="20"/>
      <w:szCs w:val="20"/>
    </w:rPr>
  </w:style>
  <w:style w:type="paragraph" w:styleId="TOCHeading">
    <w:name w:val="TOC Heading"/>
    <w:basedOn w:val="Normal"/>
    <w:next w:val="Normal"/>
    <w:uiPriority w:val="39"/>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775491"/>
    <w:pPr>
      <w:widowControl/>
      <w:spacing w:before="60" w:after="60" w:line="280" w:lineRule="atLeast"/>
    </w:pPr>
    <w:rPr>
      <w:b/>
      <w:color w:val="FFFFFF" w:themeColor="background1"/>
      <w:szCs w:val="24"/>
    </w:rPr>
  </w:style>
  <w:style w:type="paragraph" w:customStyle="1" w:styleId="TableText">
    <w:name w:val="Table Text"/>
    <w:basedOn w:val="Normal"/>
    <w:uiPriority w:val="2"/>
    <w:qFormat/>
    <w:rsid w:val="002726F7"/>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2726F7"/>
    <w:rPr>
      <w:rFonts w:ascii="Montserrat" w:eastAsiaTheme="majorEastAsia" w:hAnsi="Montserrat" w:cstheme="majorBidi"/>
      <w:b/>
      <w:iCs/>
      <w:color w:val="65328F" w:themeColor="accent1"/>
      <w:sz w:val="28"/>
    </w:rPr>
  </w:style>
  <w:style w:type="character" w:customStyle="1" w:styleId="Heading5Char">
    <w:name w:val="Heading 5 Char"/>
    <w:basedOn w:val="DefaultParagraphFont"/>
    <w:link w:val="Heading5"/>
    <w:uiPriority w:val="1"/>
    <w:rsid w:val="002726F7"/>
    <w:rPr>
      <w:rFonts w:ascii="Montserrat" w:eastAsiaTheme="majorEastAsia" w:hAnsi="Montserrat" w:cstheme="majorBidi"/>
      <w:b/>
      <w:color w:val="65328F" w:themeColor="accent1"/>
      <w:sz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2726F7"/>
    <w:rPr>
      <w:rFonts w:ascii="Montserrat" w:eastAsiaTheme="majorEastAsia" w:hAnsi="Montserrat" w:cstheme="majorBidi"/>
      <w:b/>
      <w:color w:val="65328F" w:themeColor="accent1"/>
      <w:sz w:val="44"/>
      <w:szCs w:val="36"/>
    </w:rPr>
  </w:style>
  <w:style w:type="character" w:customStyle="1" w:styleId="Heading2Char">
    <w:name w:val="Heading 2 Char"/>
    <w:basedOn w:val="DefaultParagraphFont"/>
    <w:link w:val="Heading2"/>
    <w:uiPriority w:val="1"/>
    <w:rsid w:val="002726F7"/>
    <w:rPr>
      <w:rFonts w:ascii="Montserrat" w:eastAsiaTheme="majorEastAsia" w:hAnsi="Montserrat" w:cstheme="majorBidi"/>
      <w:b/>
      <w:color w:val="65328F" w:themeColor="accent1"/>
      <w:sz w:val="36"/>
      <w:szCs w:val="26"/>
    </w:rPr>
  </w:style>
  <w:style w:type="character" w:customStyle="1" w:styleId="Heading3Char">
    <w:name w:val="Heading 3 Char"/>
    <w:basedOn w:val="DefaultParagraphFont"/>
    <w:link w:val="Heading3"/>
    <w:uiPriority w:val="1"/>
    <w:rsid w:val="002726F7"/>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1"/>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uiPriority w:val="2"/>
    <w:qFormat/>
    <w:rsid w:val="004E74BD"/>
    <w:pPr>
      <w:numPr>
        <w:numId w:val="22"/>
      </w:numPr>
      <w:spacing w:line="200" w:lineRule="atLeast"/>
      <w:ind w:left="227" w:hanging="227"/>
    </w:pPr>
  </w:style>
  <w:style w:type="character" w:styleId="Mention">
    <w:name w:val="Mention"/>
    <w:basedOn w:val="DefaultParagraphFont"/>
    <w:uiPriority w:val="99"/>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1"/>
    <w:qFormat/>
    <w:rsid w:val="006876C5"/>
    <w:pPr>
      <w:numPr>
        <w:numId w:val="31"/>
      </w:numPr>
      <w:spacing w:before="120" w:after="120"/>
    </w:pPr>
  </w:style>
  <w:style w:type="paragraph" w:styleId="ListBullet2">
    <w:name w:val="List Bullet 2"/>
    <w:basedOn w:val="Normal"/>
    <w:uiPriority w:val="1"/>
    <w:qFormat/>
    <w:rsid w:val="009E71B6"/>
    <w:pPr>
      <w:numPr>
        <w:ilvl w:val="1"/>
        <w:numId w:val="31"/>
      </w:numPr>
      <w:spacing w:before="120" w:after="120"/>
    </w:pPr>
  </w:style>
  <w:style w:type="paragraph" w:styleId="ListBullet3">
    <w:name w:val="List Bullet 3"/>
    <w:basedOn w:val="Normal"/>
    <w:uiPriority w:val="1"/>
    <w:qFormat/>
    <w:rsid w:val="009E71B6"/>
    <w:pPr>
      <w:numPr>
        <w:ilvl w:val="2"/>
        <w:numId w:val="31"/>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2"/>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3"/>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4"/>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25"/>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26"/>
      </w:numPr>
    </w:pPr>
  </w:style>
  <w:style w:type="paragraph" w:customStyle="1" w:styleId="NumberedBullet2">
    <w:name w:val="Numbered Bullet 2"/>
    <w:basedOn w:val="Normal"/>
    <w:uiPriority w:val="2"/>
    <w:semiHidden/>
    <w:qFormat/>
    <w:rsid w:val="00914935"/>
    <w:pPr>
      <w:numPr>
        <w:ilvl w:val="1"/>
        <w:numId w:val="26"/>
      </w:numPr>
    </w:pPr>
  </w:style>
  <w:style w:type="paragraph" w:customStyle="1" w:styleId="NumberedBullet3">
    <w:name w:val="Numbered Bullet 3"/>
    <w:basedOn w:val="Normal"/>
    <w:uiPriority w:val="2"/>
    <w:semiHidden/>
    <w:qFormat/>
    <w:rsid w:val="00914935"/>
    <w:pPr>
      <w:numPr>
        <w:ilvl w:val="2"/>
        <w:numId w:val="26"/>
      </w:numPr>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27"/>
      </w:numPr>
    </w:pPr>
  </w:style>
  <w:style w:type="paragraph" w:customStyle="1" w:styleId="BodyTextNumbered2">
    <w:name w:val="Body Text Numbered 2"/>
    <w:basedOn w:val="Normal"/>
    <w:uiPriority w:val="2"/>
    <w:semiHidden/>
    <w:qFormat/>
    <w:rsid w:val="00914935"/>
    <w:pPr>
      <w:numPr>
        <w:ilvl w:val="1"/>
        <w:numId w:val="27"/>
      </w:numPr>
    </w:pPr>
  </w:style>
  <w:style w:type="paragraph" w:customStyle="1" w:styleId="BodyTextNumbered3">
    <w:name w:val="Body Text Numbered 3"/>
    <w:basedOn w:val="Normal"/>
    <w:uiPriority w:val="2"/>
    <w:semiHidden/>
    <w:qFormat/>
    <w:rsid w:val="00914935"/>
    <w:pPr>
      <w:numPr>
        <w:ilvl w:val="2"/>
        <w:numId w:val="27"/>
      </w:numPr>
    </w:pPr>
  </w:style>
  <w:style w:type="numbering" w:customStyle="1" w:styleId="BodyTextnumberedStyles">
    <w:name w:val="Body Text numbered Styles"/>
    <w:uiPriority w:val="99"/>
    <w:rsid w:val="00914935"/>
    <w:pPr>
      <w:numPr>
        <w:numId w:val="16"/>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3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28"/>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2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paragraph" w:styleId="ListParagraph">
    <w:name w:val="List Paragraph"/>
    <w:basedOn w:val="Normal"/>
    <w:uiPriority w:val="7"/>
    <w:semiHidden/>
    <w:rsid w:val="0026124F"/>
    <w:pPr>
      <w:ind w:left="720"/>
      <w:contextualSpacing/>
    </w:pPr>
  </w:style>
  <w:style w:type="table" w:customStyle="1" w:styleId="PlainTable11">
    <w:name w:val="Plain Table 11"/>
    <w:basedOn w:val="TableNormal"/>
    <w:next w:val="PlainTable1"/>
    <w:uiPriority w:val="41"/>
    <w:rsid w:val="005117C2"/>
    <w:rPr>
      <w:color w:val="auto"/>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5117C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 Grid1"/>
    <w:basedOn w:val="TableNormal"/>
    <w:next w:val="TableGrid"/>
    <w:uiPriority w:val="59"/>
    <w:rsid w:val="005117C2"/>
    <w:rPr>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7105"/>
    <w:rPr>
      <w:rFonts w:eastAsia="DengXian"/>
      <w:color w:val="auto"/>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
    <w:uiPriority w:val="41"/>
    <w:rsid w:val="006A0BD4"/>
    <w:rPr>
      <w:color w:val="00000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2">
    <w:name w:val="Plain Table 112"/>
    <w:basedOn w:val="TableNormal"/>
    <w:next w:val="PlainTable1"/>
    <w:uiPriority w:val="41"/>
    <w:rsid w:val="006A0BD4"/>
    <w:rPr>
      <w:color w:val="00000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3">
    <w:name w:val="Plain Table 113"/>
    <w:basedOn w:val="TableNormal"/>
    <w:next w:val="PlainTable1"/>
    <w:uiPriority w:val="41"/>
    <w:rsid w:val="006A0BD4"/>
    <w:rPr>
      <w:color w:val="00000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4">
    <w:name w:val="Plain Table 114"/>
    <w:basedOn w:val="TableNormal"/>
    <w:next w:val="PlainTable1"/>
    <w:uiPriority w:val="41"/>
    <w:rsid w:val="00A615FE"/>
    <w:rPr>
      <w:color w:val="00000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3">
    <w:name w:val="Plain Table 3"/>
    <w:basedOn w:val="TableNormal"/>
    <w:uiPriority w:val="43"/>
    <w:rsid w:val="009439A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Title">
    <w:name w:val="EndNote Bibliography Title"/>
    <w:basedOn w:val="Normal"/>
    <w:link w:val="EndNoteBibliographyTitleChar"/>
    <w:rsid w:val="00601612"/>
    <w:pPr>
      <w:spacing w:after="0"/>
      <w:jc w:val="center"/>
    </w:pPr>
    <w:rPr>
      <w:sz w:val="44"/>
      <w:lang w:val="en-US"/>
    </w:rPr>
  </w:style>
  <w:style w:type="character" w:customStyle="1" w:styleId="EndNoteBibliographyTitleChar">
    <w:name w:val="EndNote Bibliography Title Char"/>
    <w:basedOn w:val="DefaultParagraphFont"/>
    <w:link w:val="EndNoteBibliographyTitle"/>
    <w:rsid w:val="00601612"/>
    <w:rPr>
      <w:rFonts w:ascii="Montserrat" w:hAnsi="Montserrat"/>
      <w:sz w:val="44"/>
      <w:lang w:val="en-US"/>
    </w:rPr>
  </w:style>
  <w:style w:type="paragraph" w:customStyle="1" w:styleId="EndNoteBibliography">
    <w:name w:val="EndNote Bibliography"/>
    <w:basedOn w:val="Normal"/>
    <w:link w:val="EndNoteBibliographyChar"/>
    <w:autoRedefine/>
    <w:qFormat/>
    <w:rsid w:val="0083571A"/>
    <w:pPr>
      <w:spacing w:line="240" w:lineRule="atLeast"/>
      <w:ind w:left="720" w:hanging="720"/>
    </w:pPr>
    <w:rPr>
      <w:lang w:val="en-US"/>
    </w:rPr>
  </w:style>
  <w:style w:type="character" w:customStyle="1" w:styleId="EndNoteBibliographyChar">
    <w:name w:val="EndNote Bibliography Char"/>
    <w:basedOn w:val="DefaultParagraphFont"/>
    <w:link w:val="EndNoteBibliography"/>
    <w:rsid w:val="0083571A"/>
    <w:rPr>
      <w:rFonts w:ascii="Montserrat" w:hAnsi="Montserrat"/>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233/JVR-170862" TargetMode="External"/><Relationship Id="rId21" Type="http://schemas.openxmlformats.org/officeDocument/2006/relationships/hyperlink" Target="https://doi.org/10.1037/prj0000574" TargetMode="External"/><Relationship Id="rId42" Type="http://schemas.openxmlformats.org/officeDocument/2006/relationships/hyperlink" Target="https://doi.org/10.3233/JVR-170921" TargetMode="External"/><Relationship Id="rId63" Type="http://schemas.openxmlformats.org/officeDocument/2006/relationships/hyperlink" Target="https://doi.org/10.3233/JVR-201081" TargetMode="External"/><Relationship Id="rId84" Type="http://schemas.openxmlformats.org/officeDocument/2006/relationships/hyperlink" Target="https://doi.org/10.1080/09585192.2015.1128466" TargetMode="External"/><Relationship Id="rId138" Type="http://schemas.openxmlformats.org/officeDocument/2006/relationships/hyperlink" Target="https://doi.org/10.1177/0034355219889409" TargetMode="External"/><Relationship Id="rId159" Type="http://schemas.openxmlformats.org/officeDocument/2006/relationships/hyperlink" Target="https://doi.org/10.1007/s10926-024-10228-5" TargetMode="External"/><Relationship Id="rId107" Type="http://schemas.openxmlformats.org/officeDocument/2006/relationships/hyperlink" Target="https://doi.org/10.2767/273007" TargetMode="External"/><Relationship Id="rId11" Type="http://schemas.openxmlformats.org/officeDocument/2006/relationships/header" Target="header1.xml"/><Relationship Id="rId32" Type="http://schemas.openxmlformats.org/officeDocument/2006/relationships/hyperlink" Target="https://doi.org/10.1080/09638288.2023.2181411" TargetMode="External"/><Relationship Id="rId53" Type="http://schemas.openxmlformats.org/officeDocument/2006/relationships/hyperlink" Target="https://doi.org/10.1080/02185385.2013.818202" TargetMode="External"/><Relationship Id="rId74" Type="http://schemas.openxmlformats.org/officeDocument/2006/relationships/hyperlink" Target="https://doi.org/10.1177/00343552241265319" TargetMode="External"/><Relationship Id="rId128" Type="http://schemas.openxmlformats.org/officeDocument/2006/relationships/hyperlink" Target="https://doi.org/10.1080/02185385.2013.818202" TargetMode="External"/><Relationship Id="rId149" Type="http://schemas.openxmlformats.org/officeDocument/2006/relationships/hyperlink" Target="https://doi.org/10.1177/10522263251326524" TargetMode="External"/><Relationship Id="rId5" Type="http://schemas.openxmlformats.org/officeDocument/2006/relationships/numbering" Target="numbering.xml"/><Relationship Id="rId95" Type="http://schemas.openxmlformats.org/officeDocument/2006/relationships/hyperlink" Target="https://doi.org/10.3233/JVR-191015" TargetMode="External"/><Relationship Id="rId160" Type="http://schemas.openxmlformats.org/officeDocument/2006/relationships/hyperlink" Target="https://doi.org/10.1111/1748-8583.12169" TargetMode="External"/><Relationship Id="rId22" Type="http://schemas.openxmlformats.org/officeDocument/2006/relationships/hyperlink" Target="https://doi.org/10.1017/S1474746425100870" TargetMode="External"/><Relationship Id="rId43" Type="http://schemas.openxmlformats.org/officeDocument/2006/relationships/hyperlink" Target="https://doi.org/10.3233/JVR-170862" TargetMode="External"/><Relationship Id="rId64" Type="http://schemas.openxmlformats.org/officeDocument/2006/relationships/hyperlink" Target="https://doi.org/10.1375/jdmr.1.1.10" TargetMode="External"/><Relationship Id="rId118" Type="http://schemas.openxmlformats.org/officeDocument/2006/relationships/hyperlink" Target="https://doi.org/10.1017/S1474746420000421" TargetMode="External"/><Relationship Id="rId139" Type="http://schemas.openxmlformats.org/officeDocument/2006/relationships/hyperlink" Target="https://doi.org/10.1177/0034355218796276" TargetMode="External"/><Relationship Id="rId85" Type="http://schemas.openxmlformats.org/officeDocument/2006/relationships/hyperlink" Target="https://doi.org/10.1177/10522263241300813" TargetMode="External"/><Relationship Id="rId150" Type="http://schemas.openxmlformats.org/officeDocument/2006/relationships/hyperlink" Target="https://doi.org/10.3390/su17093785" TargetMode="External"/><Relationship Id="rId12" Type="http://schemas.openxmlformats.org/officeDocument/2006/relationships/header" Target="header2.xml"/><Relationship Id="rId17" Type="http://schemas.openxmlformats.org/officeDocument/2006/relationships/image" Target="media/image5.jpg"/><Relationship Id="rId33" Type="http://schemas.openxmlformats.org/officeDocument/2006/relationships/hyperlink" Target="https://doi.org/10.1080/09638288.2023.2181411" TargetMode="External"/><Relationship Id="rId38" Type="http://schemas.openxmlformats.org/officeDocument/2006/relationships/hyperlink" Target="https://doi.org/10.1177/10519815251335786" TargetMode="External"/><Relationship Id="rId59" Type="http://schemas.openxmlformats.org/officeDocument/2006/relationships/hyperlink" Target="https://doi.org/10.1007/s10926-016-9655-0" TargetMode="External"/><Relationship Id="rId103" Type="http://schemas.openxmlformats.org/officeDocument/2006/relationships/hyperlink" Target="https://doi.org/10.1016/j.socscimed.2024.116742" TargetMode="External"/><Relationship Id="rId108" Type="http://schemas.openxmlformats.org/officeDocument/2006/relationships/hyperlink" Target="https://doi.org/10.2767/034981" TargetMode="External"/><Relationship Id="rId124" Type="http://schemas.openxmlformats.org/officeDocument/2006/relationships/hyperlink" Target="https://doi.org/10.1111/1748-8583.12154" TargetMode="External"/><Relationship Id="rId129" Type="http://schemas.openxmlformats.org/officeDocument/2006/relationships/hyperlink" Target="https://doi.org/10.1007/s10926-024-10242-7" TargetMode="External"/><Relationship Id="rId54" Type="http://schemas.openxmlformats.org/officeDocument/2006/relationships/hyperlink" Target="https://doi.org/10.1007/s10926-024-10242-7" TargetMode="External"/><Relationship Id="rId70" Type="http://schemas.openxmlformats.org/officeDocument/2006/relationships/hyperlink" Target="https://doi.org/10.1177/1044207317739405" TargetMode="External"/><Relationship Id="rId75" Type="http://schemas.openxmlformats.org/officeDocument/2006/relationships/hyperlink" Target="https://doi.org/10.1080/09638288.2018.1481150" TargetMode="External"/><Relationship Id="rId91" Type="http://schemas.openxmlformats.org/officeDocument/2006/relationships/hyperlink" Target="https://doi.org/10.1177/10522263251413286" TargetMode="External"/><Relationship Id="rId96" Type="http://schemas.openxmlformats.org/officeDocument/2006/relationships/hyperlink" Target="https://doi.org/10.1177/0885728809344590" TargetMode="External"/><Relationship Id="rId140" Type="http://schemas.openxmlformats.org/officeDocument/2006/relationships/hyperlink" Target="https://doi.org/10.3233/JVR-201081" TargetMode="External"/><Relationship Id="rId145" Type="http://schemas.openxmlformats.org/officeDocument/2006/relationships/hyperlink" Target="https://doi.org/10.3233/JVR-191018" TargetMode="External"/><Relationship Id="rId161" Type="http://schemas.openxmlformats.org/officeDocument/2006/relationships/hyperlink" Target="https://doi.org/10.1111/1748-8583.12169"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oi.org/10.1177/10519815251320275" TargetMode="External"/><Relationship Id="rId28" Type="http://schemas.openxmlformats.org/officeDocument/2006/relationships/hyperlink" Target="https://doi.org/10.1007/s10926-010-9243-7" TargetMode="External"/><Relationship Id="rId49" Type="http://schemas.openxmlformats.org/officeDocument/2006/relationships/hyperlink" Target="https://doi.org/10.1111/1748-8583.12154" TargetMode="External"/><Relationship Id="rId114" Type="http://schemas.openxmlformats.org/officeDocument/2006/relationships/hyperlink" Target="https://research.ebsco.com/plink/7b7d2958-56c9-3023-8be8-f769a716b36d" TargetMode="External"/><Relationship Id="rId119" Type="http://schemas.openxmlformats.org/officeDocument/2006/relationships/hyperlink" Target="https://doi.org/10.1111/padm.12545" TargetMode="External"/><Relationship Id="rId44" Type="http://schemas.openxmlformats.org/officeDocument/2006/relationships/hyperlink" Target="https://doi.org/10.1017/S1474746420000421" TargetMode="External"/><Relationship Id="rId60" Type="http://schemas.openxmlformats.org/officeDocument/2006/relationships/hyperlink" Target="https://doi.org/10.1891/2168-6653.31.2.135" TargetMode="External"/><Relationship Id="rId65" Type="http://schemas.openxmlformats.org/officeDocument/2006/relationships/hyperlink" Target="https://doi.org/10.3233/JVR-180978" TargetMode="External"/><Relationship Id="rId81" Type="http://schemas.openxmlformats.org/officeDocument/2006/relationships/hyperlink" Target="https://doi.org/10.1007/s10926-024-10228-5" TargetMode="External"/><Relationship Id="rId86" Type="http://schemas.openxmlformats.org/officeDocument/2006/relationships/hyperlink" Target="https://doi.org/10.1177/10522263241300813" TargetMode="External"/><Relationship Id="rId130" Type="http://schemas.openxmlformats.org/officeDocument/2006/relationships/hyperlink" Target="https://doi.org/10.1007/s10926-022-10067-2" TargetMode="External"/><Relationship Id="rId135" Type="http://schemas.openxmlformats.org/officeDocument/2006/relationships/hyperlink" Target="https://research.ebsco.com/plink/eba0f98c-1300-32a0-8d18-ec22280e3964" TargetMode="External"/><Relationship Id="rId151" Type="http://schemas.openxmlformats.org/officeDocument/2006/relationships/hyperlink" Target="https://doi.org/10.1007/978-3-031-96315-5" TargetMode="External"/><Relationship Id="rId156" Type="http://schemas.openxmlformats.org/officeDocument/2006/relationships/hyperlink" Target="https://doi.org/10.1017/S1474746423000027" TargetMode="External"/><Relationship Id="rId13" Type="http://schemas.openxmlformats.org/officeDocument/2006/relationships/footer" Target="footer1.xml"/><Relationship Id="rId18" Type="http://schemas.openxmlformats.org/officeDocument/2006/relationships/hyperlink" Target="https://doi.org/10.1017/S0047279425000030" TargetMode="External"/><Relationship Id="rId39" Type="http://schemas.openxmlformats.org/officeDocument/2006/relationships/hyperlink" Target="https://doi.org/10.18291/njwls.147335" TargetMode="External"/><Relationship Id="rId109" Type="http://schemas.openxmlformats.org/officeDocument/2006/relationships/hyperlink" Target="https://doi.org/10.1017/S0047279418000491" TargetMode="External"/><Relationship Id="rId34" Type="http://schemas.openxmlformats.org/officeDocument/2006/relationships/hyperlink" Target="https://doi.org/10.1016/j.socscimed.2024.116742" TargetMode="External"/><Relationship Id="rId50" Type="http://schemas.openxmlformats.org/officeDocument/2006/relationships/hyperlink" Target="https://doi.org/10.1007/BF03025826" TargetMode="External"/><Relationship Id="rId55" Type="http://schemas.openxmlformats.org/officeDocument/2006/relationships/hyperlink" Target="https://doi.org/10.1007/s10926-022-10067-2" TargetMode="External"/><Relationship Id="rId76" Type="http://schemas.openxmlformats.org/officeDocument/2006/relationships/hyperlink" Target="https://doi.org/10.3233/JVR-191010" TargetMode="External"/><Relationship Id="rId97" Type="http://schemas.openxmlformats.org/officeDocument/2006/relationships/hyperlink" Target="https://doi.org/10.1007/s10926-010-9243-7" TargetMode="External"/><Relationship Id="rId104" Type="http://schemas.openxmlformats.org/officeDocument/2006/relationships/hyperlink" Target="https://doi.org/10.1177/10519815251357580" TargetMode="External"/><Relationship Id="rId120" Type="http://schemas.openxmlformats.org/officeDocument/2006/relationships/hyperlink" Target="https://doi.org/10.1111/1467-8462.70035" TargetMode="External"/><Relationship Id="rId125" Type="http://schemas.openxmlformats.org/officeDocument/2006/relationships/hyperlink" Target="https://doi.org/10.1007/BF03025826" TargetMode="External"/><Relationship Id="rId141" Type="http://schemas.openxmlformats.org/officeDocument/2006/relationships/hyperlink" Target="https://doi.org/10.1375/jdmr.1.1.10" TargetMode="External"/><Relationship Id="rId146" Type="http://schemas.openxmlformats.org/officeDocument/2006/relationships/hyperlink" Target="https://doi.org/10.3233/JVR-140697" TargetMode="External"/><Relationship Id="rId7" Type="http://schemas.openxmlformats.org/officeDocument/2006/relationships/settings" Target="settings.xml"/><Relationship Id="rId71" Type="http://schemas.openxmlformats.org/officeDocument/2006/relationships/hyperlink" Target="https://doi.org/10.1891/JARC-2025-0021" TargetMode="External"/><Relationship Id="rId92" Type="http://schemas.openxmlformats.org/officeDocument/2006/relationships/hyperlink" Target="https://research.ebsco.com/plink/5fbd7b22-2880-3265-a78b-51b737e489a4" TargetMode="External"/><Relationship Id="rId162" Type="http://schemas.openxmlformats.org/officeDocument/2006/relationships/hyperlink" Target="https://doi.org/10.18260/1-2--56760" TargetMode="External"/><Relationship Id="rId2" Type="http://schemas.openxmlformats.org/officeDocument/2006/relationships/customXml" Target="../customXml/item2.xml"/><Relationship Id="rId29" Type="http://schemas.openxmlformats.org/officeDocument/2006/relationships/hyperlink" Target="https://doi.org/10.1007/s10926-010-9252-6" TargetMode="External"/><Relationship Id="rId24" Type="http://schemas.openxmlformats.org/officeDocument/2006/relationships/hyperlink" Target="https://doi.org/10.1177/10522263251413286" TargetMode="External"/><Relationship Id="rId40" Type="http://schemas.openxmlformats.org/officeDocument/2006/relationships/hyperlink" Target="https://doi.org/10.1007/s10926-009-9225-9" TargetMode="External"/><Relationship Id="rId45" Type="http://schemas.openxmlformats.org/officeDocument/2006/relationships/hyperlink" Target="https://doi.org/10.1111/1467-8462.70035" TargetMode="External"/><Relationship Id="rId66" Type="http://schemas.openxmlformats.org/officeDocument/2006/relationships/hyperlink" Target="https://doi.org/10.1177/00343552221130304" TargetMode="External"/><Relationship Id="rId87" Type="http://schemas.openxmlformats.org/officeDocument/2006/relationships/hyperlink" Target="https://doi.org/10.1037/prj0000574" TargetMode="External"/><Relationship Id="rId110" Type="http://schemas.openxmlformats.org/officeDocument/2006/relationships/hyperlink" Target="https://doi.org/10.1177/10519815251335786" TargetMode="External"/><Relationship Id="rId115" Type="http://schemas.openxmlformats.org/officeDocument/2006/relationships/hyperlink" Target="https://doi.org/10.3233/JVR-170921" TargetMode="External"/><Relationship Id="rId131" Type="http://schemas.openxmlformats.org/officeDocument/2006/relationships/hyperlink" Target="https://doi.org/10.1007/s10926-024-10197-9" TargetMode="External"/><Relationship Id="rId136" Type="http://schemas.openxmlformats.org/officeDocument/2006/relationships/hyperlink" Target="https://doi.org/10.1007/s10926-016-9655-0" TargetMode="External"/><Relationship Id="rId157" Type="http://schemas.openxmlformats.org/officeDocument/2006/relationships/hyperlink" Target="https://doi.org/10.1177/09500170211063094" TargetMode="External"/><Relationship Id="rId61" Type="http://schemas.openxmlformats.org/officeDocument/2006/relationships/hyperlink" Target="https://doi.org/10.1177/0034355219889409" TargetMode="External"/><Relationship Id="rId82" Type="http://schemas.openxmlformats.org/officeDocument/2006/relationships/hyperlink" Target="https://doi.org/10.1111/1748-8583.12169" TargetMode="External"/><Relationship Id="rId152" Type="http://schemas.openxmlformats.org/officeDocument/2006/relationships/hyperlink" Target="https://doi.org/10.1177/00343552241265319" TargetMode="External"/><Relationship Id="rId19" Type="http://schemas.openxmlformats.org/officeDocument/2006/relationships/hyperlink" Target="https://doi.org/10.1080/09585192.2015.1128466" TargetMode="External"/><Relationship Id="rId14" Type="http://schemas.openxmlformats.org/officeDocument/2006/relationships/footer" Target="footer2.xml"/><Relationship Id="rId30" Type="http://schemas.openxmlformats.org/officeDocument/2006/relationships/hyperlink" Target="https://doi.org/10.1111/asap.12138" TargetMode="External"/><Relationship Id="rId35" Type="http://schemas.openxmlformats.org/officeDocument/2006/relationships/hyperlink" Target="https://doi.org/10.1177/10519815251357580" TargetMode="External"/><Relationship Id="rId56" Type="http://schemas.openxmlformats.org/officeDocument/2006/relationships/hyperlink" Target="https://doi.org/10.1007/s10926-024-10197-9" TargetMode="External"/><Relationship Id="rId77" Type="http://schemas.openxmlformats.org/officeDocument/2006/relationships/hyperlink" Target="https://doi.org/10.1177/10522263251394313" TargetMode="External"/><Relationship Id="rId100" Type="http://schemas.openxmlformats.org/officeDocument/2006/relationships/hyperlink" Target="https://doi.org/10.1007/s10551-022-05095-0" TargetMode="External"/><Relationship Id="rId105" Type="http://schemas.openxmlformats.org/officeDocument/2006/relationships/hyperlink" Target="https://doi.org/10.18291/njwls.128260" TargetMode="External"/><Relationship Id="rId126" Type="http://schemas.openxmlformats.org/officeDocument/2006/relationships/hyperlink" Target="https://doi.org/10.1177/0170840619900292" TargetMode="External"/><Relationship Id="rId147" Type="http://schemas.openxmlformats.org/officeDocument/2006/relationships/hyperlink" Target="https://doi.org/10.1177/1044207317739405" TargetMode="External"/><Relationship Id="rId8" Type="http://schemas.openxmlformats.org/officeDocument/2006/relationships/webSettings" Target="webSettings.xml"/><Relationship Id="rId51" Type="http://schemas.openxmlformats.org/officeDocument/2006/relationships/hyperlink" Target="https://doi.org/10.1177/0170840619900292" TargetMode="External"/><Relationship Id="rId72" Type="http://schemas.openxmlformats.org/officeDocument/2006/relationships/hyperlink" Target="https://doi.org/10.1177/10522263251326524" TargetMode="External"/><Relationship Id="rId93" Type="http://schemas.openxmlformats.org/officeDocument/2006/relationships/hyperlink" Target="https://research.ebsco.com/plink/16ea74c2-4e65-315f-9919-93051f7c3b74" TargetMode="External"/><Relationship Id="rId98" Type="http://schemas.openxmlformats.org/officeDocument/2006/relationships/hyperlink" Target="https://doi.org/10.1007/s10926-010-9252-6" TargetMode="External"/><Relationship Id="rId121" Type="http://schemas.openxmlformats.org/officeDocument/2006/relationships/hyperlink" Target="https://doi.org/10.1177/00221856231159512" TargetMode="External"/><Relationship Id="rId142" Type="http://schemas.openxmlformats.org/officeDocument/2006/relationships/hyperlink" Target="https://doi.org/10.3233/JVR-180978" TargetMode="External"/><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doi.org/10.1017/jrc.2013.2" TargetMode="External"/><Relationship Id="rId46" Type="http://schemas.openxmlformats.org/officeDocument/2006/relationships/hyperlink" Target="https://doi.org/10.1111/padm.12545" TargetMode="External"/><Relationship Id="rId67" Type="http://schemas.openxmlformats.org/officeDocument/2006/relationships/hyperlink" Target="https://doi.org/10.1177/00343552231176535" TargetMode="External"/><Relationship Id="rId116" Type="http://schemas.openxmlformats.org/officeDocument/2006/relationships/hyperlink" Target="https://doi.org/10.46692/9781529223026.009" TargetMode="External"/><Relationship Id="rId137" Type="http://schemas.openxmlformats.org/officeDocument/2006/relationships/hyperlink" Target="https://doi.org/10.1891/2168-6653.31.2.135" TargetMode="External"/><Relationship Id="rId158" Type="http://schemas.openxmlformats.org/officeDocument/2006/relationships/hyperlink" Target="https://doi.org/10.1017/S147474642000038X" TargetMode="External"/><Relationship Id="rId20" Type="http://schemas.openxmlformats.org/officeDocument/2006/relationships/hyperlink" Target="https://doi.org/10.1177/10522263241300813" TargetMode="External"/><Relationship Id="rId41" Type="http://schemas.openxmlformats.org/officeDocument/2006/relationships/hyperlink" Target="https://doi.org/10.3233/jvr-2007-00359" TargetMode="External"/><Relationship Id="rId62" Type="http://schemas.openxmlformats.org/officeDocument/2006/relationships/hyperlink" Target="https://doi.org/10.1177/0034355218796276" TargetMode="External"/><Relationship Id="rId83" Type="http://schemas.openxmlformats.org/officeDocument/2006/relationships/hyperlink" Target="https://doi.org/10.1017/S0047279425000030" TargetMode="External"/><Relationship Id="rId88" Type="http://schemas.openxmlformats.org/officeDocument/2006/relationships/hyperlink" Target="https://doi.org/10.46692/9781529223026.011" TargetMode="External"/><Relationship Id="rId111" Type="http://schemas.openxmlformats.org/officeDocument/2006/relationships/hyperlink" Target="https://doi.org/10.18291/njwls.147335" TargetMode="External"/><Relationship Id="rId132" Type="http://schemas.openxmlformats.org/officeDocument/2006/relationships/hyperlink" Target="https://doi.org/10.1007/978-3-031-74994-0_15" TargetMode="External"/><Relationship Id="rId153" Type="http://schemas.openxmlformats.org/officeDocument/2006/relationships/hyperlink" Target="https://doi.org/10.1080/09638288.2018.1481150" TargetMode="External"/><Relationship Id="rId15" Type="http://schemas.openxmlformats.org/officeDocument/2006/relationships/header" Target="header3.xml"/><Relationship Id="rId36" Type="http://schemas.openxmlformats.org/officeDocument/2006/relationships/hyperlink" Target="https://doi.org/10.18291/njwls.128260" TargetMode="External"/><Relationship Id="rId57" Type="http://schemas.openxmlformats.org/officeDocument/2006/relationships/hyperlink" Target="https://doi.org/10.3233/JVR-221212" TargetMode="External"/><Relationship Id="rId106" Type="http://schemas.openxmlformats.org/officeDocument/2006/relationships/hyperlink" Target="https://doi.org/10.2767/359088" TargetMode="External"/><Relationship Id="rId127" Type="http://schemas.openxmlformats.org/officeDocument/2006/relationships/hyperlink" Target="https://doi.org/10.1111/spol.12552" TargetMode="External"/><Relationship Id="rId10" Type="http://schemas.openxmlformats.org/officeDocument/2006/relationships/endnotes" Target="endnotes.xml"/><Relationship Id="rId31" Type="http://schemas.openxmlformats.org/officeDocument/2006/relationships/hyperlink" Target="https://doi.org/10.1007/s10551-022-05095-0" TargetMode="External"/><Relationship Id="rId52" Type="http://schemas.openxmlformats.org/officeDocument/2006/relationships/hyperlink" Target="https://doi.org/10.1111/spol.12552" TargetMode="External"/><Relationship Id="rId73" Type="http://schemas.openxmlformats.org/officeDocument/2006/relationships/hyperlink" Target="https://doi.org/10.3390/su17093785" TargetMode="External"/><Relationship Id="rId78" Type="http://schemas.openxmlformats.org/officeDocument/2006/relationships/hyperlink" Target="https://doi.org/10.1017/S1474746423000027" TargetMode="External"/><Relationship Id="rId94" Type="http://schemas.openxmlformats.org/officeDocument/2006/relationships/hyperlink" Target="https://doi.org/10.1017/jrc.2013.2" TargetMode="External"/><Relationship Id="rId99" Type="http://schemas.openxmlformats.org/officeDocument/2006/relationships/hyperlink" Target="https://doi.org/10.1111/asap.12138" TargetMode="External"/><Relationship Id="rId101" Type="http://schemas.openxmlformats.org/officeDocument/2006/relationships/hyperlink" Target="https://doi.org/10.1080/09638288.2023.2181411" TargetMode="External"/><Relationship Id="rId122" Type="http://schemas.openxmlformats.org/officeDocument/2006/relationships/hyperlink" Target="https://doi.org/10.1007/978-3-031-96315-5_2" TargetMode="External"/><Relationship Id="rId143" Type="http://schemas.openxmlformats.org/officeDocument/2006/relationships/hyperlink" Target="https://doi.org/10.1177/00343552221130304" TargetMode="External"/><Relationship Id="rId148" Type="http://schemas.openxmlformats.org/officeDocument/2006/relationships/hyperlink" Target="https://doi.org/10.1891/JARC-2025-0021" TargetMode="External"/><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oi.org/10.3233/JVR-191015" TargetMode="External"/><Relationship Id="rId47" Type="http://schemas.openxmlformats.org/officeDocument/2006/relationships/hyperlink" Target="https://doi.org/10.1177/00221856231159512" TargetMode="External"/><Relationship Id="rId68" Type="http://schemas.openxmlformats.org/officeDocument/2006/relationships/hyperlink" Target="https://doi.org/10.3233/JVR-191018" TargetMode="External"/><Relationship Id="rId89" Type="http://schemas.openxmlformats.org/officeDocument/2006/relationships/hyperlink" Target="https://doi.org/10.1017/S1474746425100870" TargetMode="External"/><Relationship Id="rId112" Type="http://schemas.openxmlformats.org/officeDocument/2006/relationships/hyperlink" Target="https://doi.org/10.1007/s10926-009-9225-9" TargetMode="External"/><Relationship Id="rId133" Type="http://schemas.openxmlformats.org/officeDocument/2006/relationships/hyperlink" Target="https://doi.org/10.3233/JVR-221212" TargetMode="External"/><Relationship Id="rId154" Type="http://schemas.openxmlformats.org/officeDocument/2006/relationships/hyperlink" Target="https://doi.org/10.3233/JVR-191010" TargetMode="External"/><Relationship Id="rId16" Type="http://schemas.openxmlformats.org/officeDocument/2006/relationships/footer" Target="footer3.xml"/><Relationship Id="rId37" Type="http://schemas.openxmlformats.org/officeDocument/2006/relationships/hyperlink" Target="https://doi.org/10.1017/S0047279418000491" TargetMode="External"/><Relationship Id="rId58" Type="http://schemas.openxmlformats.org/officeDocument/2006/relationships/hyperlink" Target="https://doi.org/10.1007/s41542-024-00185-z" TargetMode="External"/><Relationship Id="rId79" Type="http://schemas.openxmlformats.org/officeDocument/2006/relationships/hyperlink" Target="https://doi.org/10.1177/09500170211063094" TargetMode="External"/><Relationship Id="rId102" Type="http://schemas.openxmlformats.org/officeDocument/2006/relationships/hyperlink" Target="https://doi.org/10.1080/09638288.2023.2181411" TargetMode="External"/><Relationship Id="rId123" Type="http://schemas.openxmlformats.org/officeDocument/2006/relationships/hyperlink" Target="https://doi.org/10.1017/S0047279414000890" TargetMode="External"/><Relationship Id="rId144" Type="http://schemas.openxmlformats.org/officeDocument/2006/relationships/hyperlink" Target="https://doi.org/10.1177/00343552231176535" TargetMode="External"/><Relationship Id="rId90" Type="http://schemas.openxmlformats.org/officeDocument/2006/relationships/hyperlink" Target="https://doi.org/10.1177/10519815251320275" TargetMode="External"/><Relationship Id="rId165" Type="http://schemas.microsoft.com/office/2019/05/relationships/documenttasks" Target="documenttasks/documenttasks1.xml"/><Relationship Id="rId27" Type="http://schemas.openxmlformats.org/officeDocument/2006/relationships/hyperlink" Target="https://doi.org/10.1177/0885728809344590" TargetMode="External"/><Relationship Id="rId48" Type="http://schemas.openxmlformats.org/officeDocument/2006/relationships/hyperlink" Target="https://doi.org/10.1017/S0047279414000890" TargetMode="External"/><Relationship Id="rId69" Type="http://schemas.openxmlformats.org/officeDocument/2006/relationships/hyperlink" Target="https://doi.org/10.3233/JVR-140697" TargetMode="External"/><Relationship Id="rId113" Type="http://schemas.openxmlformats.org/officeDocument/2006/relationships/hyperlink" Target="https://doi.org/10.3233/jvr-2007-00359" TargetMode="External"/><Relationship Id="rId134" Type="http://schemas.openxmlformats.org/officeDocument/2006/relationships/hyperlink" Target="https://doi.org/10.1007/s41542-024-00185-z" TargetMode="External"/><Relationship Id="rId80" Type="http://schemas.openxmlformats.org/officeDocument/2006/relationships/hyperlink" Target="https://doi.org/10.1017/S147474642000038X" TargetMode="External"/><Relationship Id="rId155" Type="http://schemas.openxmlformats.org/officeDocument/2006/relationships/hyperlink" Target="https://doi.org/10.1177/10522263251394313"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documenttasks/documenttasks1.xml><?xml version="1.0" encoding="utf-8"?>
<t:Tasks xmlns:t="http://schemas.microsoft.com/office/tasks/2019/documenttasks" xmlns:oel="http://schemas.microsoft.com/office/2019/extlst">
  <t:Task id="{26D40B0E-84E2-FA44-8F08-38409A22B62E}">
    <t:Anchor>
      <t:Comment id="193423034"/>
    </t:Anchor>
    <t:History>
      <t:Event id="{123A9267-D8EE-5A46-9F8A-A673B8DE0B7E}" time="2026-03-24T01:04:45.716Z">
        <t:Attribution userId="S::joingold@acu.edu.au::bd00d89b-03e0-4870-92ad-4df0bcef1101" userProvider="AD" userName="Jo Ingold"/>
        <t:Anchor>
          <t:Comment id="193423034"/>
        </t:Anchor>
        <t:Create/>
      </t:Event>
      <t:Event id="{5D659F27-5BA7-4F4E-AED9-5A7DE8AA1DB8}" time="2026-03-24T01:04:45.716Z">
        <t:Attribution userId="S::joingold@acu.edu.au::bd00d89b-03e0-4870-92ad-4df0bcef1101" userProvider="AD" userName="Jo Ingold"/>
        <t:Anchor>
          <t:Comment id="193423034"/>
        </t:Anchor>
        <t:Assign userId="S::irdonmanige@acu.edu.au::d62c1d4a-a7e8-4364-927b-2845e46769e3" userProvider="AD" userName="Iresha Donmanige"/>
      </t:Event>
      <t:Event id="{69922C6D-EE64-8548-BEA2-D9E00ADB9D6B}" time="2026-03-24T01:04:45.716Z">
        <t:Attribution userId="S::joingold@acu.edu.au::bd00d89b-03e0-4870-92ad-4df0bcef1101" userProvider="AD" userName="Jo Ingold"/>
        <t:Anchor>
          <t:Comment id="193423034"/>
        </t:Anchor>
        <t:SetTitle title="Can we delete this @Iresha Donmanige"/>
      </t:Event>
    </t:History>
  </t:Task>
  <t:Task id="{87BBAF0F-6DDC-3F46-9776-07ADCBC656AD}">
    <t:Anchor>
      <t:Comment id="150408619"/>
    </t:Anchor>
    <t:History>
      <t:Event id="{B7F2883B-DEBC-9043-81C0-5B902B0D61E0}" time="2026-03-24T01:05:48.762Z">
        <t:Attribution userId="S::joingold@acu.edu.au::bd00d89b-03e0-4870-92ad-4df0bcef1101" userProvider="AD" userName="Jo Ingold"/>
        <t:Anchor>
          <t:Comment id="150408619"/>
        </t:Anchor>
        <t:Create/>
      </t:Event>
      <t:Event id="{29AC88A0-0EC3-3F46-A201-BE4A676C4A4A}" time="2026-03-24T01:05:48.762Z">
        <t:Attribution userId="S::joingold@acu.edu.au::bd00d89b-03e0-4870-92ad-4df0bcef1101" userProvider="AD" userName="Jo Ingold"/>
        <t:Anchor>
          <t:Comment id="150408619"/>
        </t:Anchor>
        <t:Assign userId="S::irdonmanige@acu.edu.au::d62c1d4a-a7e8-4364-927b-2845e46769e3" userProvider="AD" userName="Iresha Donmanige"/>
      </t:Event>
      <t:Event id="{1F9FFB10-0212-F74E-A8B4-23F81D5AF33A}" time="2026-03-24T01:05:48.762Z">
        <t:Attribution userId="S::joingold@acu.edu.au::bd00d89b-03e0-4870-92ad-4df0bcef1101" userProvider="AD" userName="Jo Ingold"/>
        <t:Anchor>
          <t:Comment id="150408619"/>
        </t:Anchor>
        <t:SetTitle title="@Iresha Donmanige shall we delete these?"/>
      </t:Event>
    </t:History>
  </t:Task>
</t:Task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469BC8-16B4-409D-8545-88C7986F2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customXml/itemProps3.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customXml/itemProps4.xml><?xml version="1.0" encoding="utf-8"?>
<ds:datastoreItem xmlns:ds="http://schemas.openxmlformats.org/officeDocument/2006/customXml" ds:itemID="{F6F7A929-B099-4667-B995-3C81F5059F76}">
  <ds:schemaRefs>
    <ds:schemaRef ds:uri="http://schemas.microsoft.com/sharepoint/v3/contenttype/forms"/>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87</TotalTime>
  <Pages>69</Pages>
  <Words>14016</Words>
  <Characters>90268</Characters>
  <Application>Microsoft Office Word</Application>
  <DocSecurity>0</DocSecurity>
  <Lines>1703</Lines>
  <Paragraphs>664</Paragraphs>
  <ScaleCrop>false</ScaleCrop>
  <Manager/>
  <Company>Centre for Inclusive Employment</Company>
  <LinksUpToDate>false</LinksUpToDate>
  <CharactersWithSpaces>103620</CharactersWithSpaces>
  <SharedDoc>false</SharedDoc>
  <HyperlinkBase/>
  <HLinks>
    <vt:vector size="972" baseType="variant">
      <vt:variant>
        <vt:i4>2097273</vt:i4>
      </vt:variant>
      <vt:variant>
        <vt:i4>432</vt:i4>
      </vt:variant>
      <vt:variant>
        <vt:i4>0</vt:i4>
      </vt:variant>
      <vt:variant>
        <vt:i4>5</vt:i4>
      </vt:variant>
      <vt:variant>
        <vt:lpwstr>https://doi.org/10.18260/1-2--56760</vt:lpwstr>
      </vt:variant>
      <vt:variant>
        <vt:lpwstr/>
      </vt:variant>
      <vt:variant>
        <vt:i4>3604596</vt:i4>
      </vt:variant>
      <vt:variant>
        <vt:i4>429</vt:i4>
      </vt:variant>
      <vt:variant>
        <vt:i4>0</vt:i4>
      </vt:variant>
      <vt:variant>
        <vt:i4>5</vt:i4>
      </vt:variant>
      <vt:variant>
        <vt:lpwstr>https://doi.org/10.1111/1748-8583.12169</vt:lpwstr>
      </vt:variant>
      <vt:variant>
        <vt:lpwstr/>
      </vt:variant>
      <vt:variant>
        <vt:i4>3604596</vt:i4>
      </vt:variant>
      <vt:variant>
        <vt:i4>426</vt:i4>
      </vt:variant>
      <vt:variant>
        <vt:i4>0</vt:i4>
      </vt:variant>
      <vt:variant>
        <vt:i4>5</vt:i4>
      </vt:variant>
      <vt:variant>
        <vt:lpwstr>https://doi.org/10.1111/1748-8583.12169</vt:lpwstr>
      </vt:variant>
      <vt:variant>
        <vt:lpwstr/>
      </vt:variant>
      <vt:variant>
        <vt:i4>2555953</vt:i4>
      </vt:variant>
      <vt:variant>
        <vt:i4>423</vt:i4>
      </vt:variant>
      <vt:variant>
        <vt:i4>0</vt:i4>
      </vt:variant>
      <vt:variant>
        <vt:i4>5</vt:i4>
      </vt:variant>
      <vt:variant>
        <vt:lpwstr>https://doi.org/10.1007/s10926-024-10228-5</vt:lpwstr>
      </vt:variant>
      <vt:variant>
        <vt:lpwstr/>
      </vt:variant>
      <vt:variant>
        <vt:i4>2031645</vt:i4>
      </vt:variant>
      <vt:variant>
        <vt:i4>420</vt:i4>
      </vt:variant>
      <vt:variant>
        <vt:i4>0</vt:i4>
      </vt:variant>
      <vt:variant>
        <vt:i4>5</vt:i4>
      </vt:variant>
      <vt:variant>
        <vt:lpwstr>https://doi.org/10.1017/S147474642000038X</vt:lpwstr>
      </vt:variant>
      <vt:variant>
        <vt:lpwstr/>
      </vt:variant>
      <vt:variant>
        <vt:i4>1507419</vt:i4>
      </vt:variant>
      <vt:variant>
        <vt:i4>417</vt:i4>
      </vt:variant>
      <vt:variant>
        <vt:i4>0</vt:i4>
      </vt:variant>
      <vt:variant>
        <vt:i4>5</vt:i4>
      </vt:variant>
      <vt:variant>
        <vt:lpwstr>https://doi.org/10.1177/09500170211063094</vt:lpwstr>
      </vt:variant>
      <vt:variant>
        <vt:lpwstr/>
      </vt:variant>
      <vt:variant>
        <vt:i4>1376285</vt:i4>
      </vt:variant>
      <vt:variant>
        <vt:i4>414</vt:i4>
      </vt:variant>
      <vt:variant>
        <vt:i4>0</vt:i4>
      </vt:variant>
      <vt:variant>
        <vt:i4>5</vt:i4>
      </vt:variant>
      <vt:variant>
        <vt:lpwstr>https://doi.org/10.1017/S1474746423000027</vt:lpwstr>
      </vt:variant>
      <vt:variant>
        <vt:lpwstr/>
      </vt:variant>
      <vt:variant>
        <vt:i4>1310805</vt:i4>
      </vt:variant>
      <vt:variant>
        <vt:i4>411</vt:i4>
      </vt:variant>
      <vt:variant>
        <vt:i4>0</vt:i4>
      </vt:variant>
      <vt:variant>
        <vt:i4>5</vt:i4>
      </vt:variant>
      <vt:variant>
        <vt:lpwstr>https://doi.org/10.1177/10522263251394313</vt:lpwstr>
      </vt:variant>
      <vt:variant>
        <vt:lpwstr/>
      </vt:variant>
      <vt:variant>
        <vt:i4>7340146</vt:i4>
      </vt:variant>
      <vt:variant>
        <vt:i4>408</vt:i4>
      </vt:variant>
      <vt:variant>
        <vt:i4>0</vt:i4>
      </vt:variant>
      <vt:variant>
        <vt:i4>5</vt:i4>
      </vt:variant>
      <vt:variant>
        <vt:lpwstr>https://doi.org/10.3233/JVR-191010</vt:lpwstr>
      </vt:variant>
      <vt:variant>
        <vt:lpwstr/>
      </vt:variant>
      <vt:variant>
        <vt:i4>393282</vt:i4>
      </vt:variant>
      <vt:variant>
        <vt:i4>405</vt:i4>
      </vt:variant>
      <vt:variant>
        <vt:i4>0</vt:i4>
      </vt:variant>
      <vt:variant>
        <vt:i4>5</vt:i4>
      </vt:variant>
      <vt:variant>
        <vt:lpwstr>https://doi.org/10.1080/09638288.2018.1481150</vt:lpwstr>
      </vt:variant>
      <vt:variant>
        <vt:lpwstr/>
      </vt:variant>
      <vt:variant>
        <vt:i4>1376351</vt:i4>
      </vt:variant>
      <vt:variant>
        <vt:i4>402</vt:i4>
      </vt:variant>
      <vt:variant>
        <vt:i4>0</vt:i4>
      </vt:variant>
      <vt:variant>
        <vt:i4>5</vt:i4>
      </vt:variant>
      <vt:variant>
        <vt:lpwstr>https://doi.org/10.1177/00343552241265319</vt:lpwstr>
      </vt:variant>
      <vt:variant>
        <vt:lpwstr/>
      </vt:variant>
      <vt:variant>
        <vt:i4>1048657</vt:i4>
      </vt:variant>
      <vt:variant>
        <vt:i4>399</vt:i4>
      </vt:variant>
      <vt:variant>
        <vt:i4>0</vt:i4>
      </vt:variant>
      <vt:variant>
        <vt:i4>5</vt:i4>
      </vt:variant>
      <vt:variant>
        <vt:lpwstr>https://doi.org/10.1007/978-3-031-96315-5</vt:lpwstr>
      </vt:variant>
      <vt:variant>
        <vt:lpwstr/>
      </vt:variant>
      <vt:variant>
        <vt:i4>6357024</vt:i4>
      </vt:variant>
      <vt:variant>
        <vt:i4>396</vt:i4>
      </vt:variant>
      <vt:variant>
        <vt:i4>0</vt:i4>
      </vt:variant>
      <vt:variant>
        <vt:i4>5</vt:i4>
      </vt:variant>
      <vt:variant>
        <vt:lpwstr>https://doi.org/10.3390/su17093785</vt:lpwstr>
      </vt:variant>
      <vt:variant>
        <vt:lpwstr/>
      </vt:variant>
      <vt:variant>
        <vt:i4>1376344</vt:i4>
      </vt:variant>
      <vt:variant>
        <vt:i4>393</vt:i4>
      </vt:variant>
      <vt:variant>
        <vt:i4>0</vt:i4>
      </vt:variant>
      <vt:variant>
        <vt:i4>5</vt:i4>
      </vt:variant>
      <vt:variant>
        <vt:lpwstr>https://doi.org/10.1177/10522263251326524</vt:lpwstr>
      </vt:variant>
      <vt:variant>
        <vt:lpwstr/>
      </vt:variant>
      <vt:variant>
        <vt:i4>3407969</vt:i4>
      </vt:variant>
      <vt:variant>
        <vt:i4>390</vt:i4>
      </vt:variant>
      <vt:variant>
        <vt:i4>0</vt:i4>
      </vt:variant>
      <vt:variant>
        <vt:i4>5</vt:i4>
      </vt:variant>
      <vt:variant>
        <vt:lpwstr>https://doi.org/10.1891/JARC-2025-0021</vt:lpwstr>
      </vt:variant>
      <vt:variant>
        <vt:lpwstr/>
      </vt:variant>
      <vt:variant>
        <vt:i4>1441875</vt:i4>
      </vt:variant>
      <vt:variant>
        <vt:i4>387</vt:i4>
      </vt:variant>
      <vt:variant>
        <vt:i4>0</vt:i4>
      </vt:variant>
      <vt:variant>
        <vt:i4>5</vt:i4>
      </vt:variant>
      <vt:variant>
        <vt:lpwstr>https://doi.org/10.1177/1044207317739405</vt:lpwstr>
      </vt:variant>
      <vt:variant>
        <vt:lpwstr/>
      </vt:variant>
      <vt:variant>
        <vt:i4>8126587</vt:i4>
      </vt:variant>
      <vt:variant>
        <vt:i4>384</vt:i4>
      </vt:variant>
      <vt:variant>
        <vt:i4>0</vt:i4>
      </vt:variant>
      <vt:variant>
        <vt:i4>5</vt:i4>
      </vt:variant>
      <vt:variant>
        <vt:lpwstr>https://doi.org/10.3233/JVR-140697</vt:lpwstr>
      </vt:variant>
      <vt:variant>
        <vt:lpwstr/>
      </vt:variant>
      <vt:variant>
        <vt:i4>7864434</vt:i4>
      </vt:variant>
      <vt:variant>
        <vt:i4>381</vt:i4>
      </vt:variant>
      <vt:variant>
        <vt:i4>0</vt:i4>
      </vt:variant>
      <vt:variant>
        <vt:i4>5</vt:i4>
      </vt:variant>
      <vt:variant>
        <vt:lpwstr>https://doi.org/10.3233/JVR-191018</vt:lpwstr>
      </vt:variant>
      <vt:variant>
        <vt:lpwstr/>
      </vt:variant>
      <vt:variant>
        <vt:i4>1048664</vt:i4>
      </vt:variant>
      <vt:variant>
        <vt:i4>378</vt:i4>
      </vt:variant>
      <vt:variant>
        <vt:i4>0</vt:i4>
      </vt:variant>
      <vt:variant>
        <vt:i4>5</vt:i4>
      </vt:variant>
      <vt:variant>
        <vt:lpwstr>https://doi.org/10.1177/00343552231176535</vt:lpwstr>
      </vt:variant>
      <vt:variant>
        <vt:lpwstr/>
      </vt:variant>
      <vt:variant>
        <vt:i4>1310810</vt:i4>
      </vt:variant>
      <vt:variant>
        <vt:i4>375</vt:i4>
      </vt:variant>
      <vt:variant>
        <vt:i4>0</vt:i4>
      </vt:variant>
      <vt:variant>
        <vt:i4>5</vt:i4>
      </vt:variant>
      <vt:variant>
        <vt:lpwstr>https://doi.org/10.1177/00343552221130304</vt:lpwstr>
      </vt:variant>
      <vt:variant>
        <vt:lpwstr/>
      </vt:variant>
      <vt:variant>
        <vt:i4>7340149</vt:i4>
      </vt:variant>
      <vt:variant>
        <vt:i4>372</vt:i4>
      </vt:variant>
      <vt:variant>
        <vt:i4>0</vt:i4>
      </vt:variant>
      <vt:variant>
        <vt:i4>5</vt:i4>
      </vt:variant>
      <vt:variant>
        <vt:lpwstr>https://doi.org/10.3233/JVR-180978</vt:lpwstr>
      </vt:variant>
      <vt:variant>
        <vt:lpwstr/>
      </vt:variant>
      <vt:variant>
        <vt:i4>3342453</vt:i4>
      </vt:variant>
      <vt:variant>
        <vt:i4>369</vt:i4>
      </vt:variant>
      <vt:variant>
        <vt:i4>0</vt:i4>
      </vt:variant>
      <vt:variant>
        <vt:i4>5</vt:i4>
      </vt:variant>
      <vt:variant>
        <vt:lpwstr>https://doi.org/10.1375/jdmr.1.1.10</vt:lpwstr>
      </vt:variant>
      <vt:variant>
        <vt:lpwstr/>
      </vt:variant>
      <vt:variant>
        <vt:i4>7864440</vt:i4>
      </vt:variant>
      <vt:variant>
        <vt:i4>366</vt:i4>
      </vt:variant>
      <vt:variant>
        <vt:i4>0</vt:i4>
      </vt:variant>
      <vt:variant>
        <vt:i4>5</vt:i4>
      </vt:variant>
      <vt:variant>
        <vt:lpwstr>https://doi.org/10.3233/JVR-201081</vt:lpwstr>
      </vt:variant>
      <vt:variant>
        <vt:lpwstr/>
      </vt:variant>
      <vt:variant>
        <vt:i4>1179742</vt:i4>
      </vt:variant>
      <vt:variant>
        <vt:i4>363</vt:i4>
      </vt:variant>
      <vt:variant>
        <vt:i4>0</vt:i4>
      </vt:variant>
      <vt:variant>
        <vt:i4>5</vt:i4>
      </vt:variant>
      <vt:variant>
        <vt:lpwstr>https://doi.org/10.1177/0034355218796276</vt:lpwstr>
      </vt:variant>
      <vt:variant>
        <vt:lpwstr/>
      </vt:variant>
      <vt:variant>
        <vt:i4>1769561</vt:i4>
      </vt:variant>
      <vt:variant>
        <vt:i4>360</vt:i4>
      </vt:variant>
      <vt:variant>
        <vt:i4>0</vt:i4>
      </vt:variant>
      <vt:variant>
        <vt:i4>5</vt:i4>
      </vt:variant>
      <vt:variant>
        <vt:lpwstr>https://doi.org/10.1177/0034355219889409</vt:lpwstr>
      </vt:variant>
      <vt:variant>
        <vt:lpwstr/>
      </vt:variant>
      <vt:variant>
        <vt:i4>3735679</vt:i4>
      </vt:variant>
      <vt:variant>
        <vt:i4>357</vt:i4>
      </vt:variant>
      <vt:variant>
        <vt:i4>0</vt:i4>
      </vt:variant>
      <vt:variant>
        <vt:i4>5</vt:i4>
      </vt:variant>
      <vt:variant>
        <vt:lpwstr>https://doi.org/10.1891/2168-6653.31.2.135</vt:lpwstr>
      </vt:variant>
      <vt:variant>
        <vt:lpwstr/>
      </vt:variant>
      <vt:variant>
        <vt:i4>655390</vt:i4>
      </vt:variant>
      <vt:variant>
        <vt:i4>354</vt:i4>
      </vt:variant>
      <vt:variant>
        <vt:i4>0</vt:i4>
      </vt:variant>
      <vt:variant>
        <vt:i4>5</vt:i4>
      </vt:variant>
      <vt:variant>
        <vt:lpwstr>https://doi.org/10.1007/s10926-016-9655-0</vt:lpwstr>
      </vt:variant>
      <vt:variant>
        <vt:lpwstr/>
      </vt:variant>
      <vt:variant>
        <vt:i4>589848</vt:i4>
      </vt:variant>
      <vt:variant>
        <vt:i4>351</vt:i4>
      </vt:variant>
      <vt:variant>
        <vt:i4>0</vt:i4>
      </vt:variant>
      <vt:variant>
        <vt:i4>5</vt:i4>
      </vt:variant>
      <vt:variant>
        <vt:lpwstr>https://research.ebsco.com/plink/eba0f98c-1300-32a0-8d18-ec22280e3964</vt:lpwstr>
      </vt:variant>
      <vt:variant>
        <vt:lpwstr/>
      </vt:variant>
      <vt:variant>
        <vt:i4>6946876</vt:i4>
      </vt:variant>
      <vt:variant>
        <vt:i4>348</vt:i4>
      </vt:variant>
      <vt:variant>
        <vt:i4>0</vt:i4>
      </vt:variant>
      <vt:variant>
        <vt:i4>5</vt:i4>
      </vt:variant>
      <vt:variant>
        <vt:lpwstr>https://doi.org/10.1007/s41542-024-00185-z</vt:lpwstr>
      </vt:variant>
      <vt:variant>
        <vt:lpwstr/>
      </vt:variant>
      <vt:variant>
        <vt:i4>8061041</vt:i4>
      </vt:variant>
      <vt:variant>
        <vt:i4>345</vt:i4>
      </vt:variant>
      <vt:variant>
        <vt:i4>0</vt:i4>
      </vt:variant>
      <vt:variant>
        <vt:i4>5</vt:i4>
      </vt:variant>
      <vt:variant>
        <vt:lpwstr>https://doi.org/10.3233/JVR-221212</vt:lpwstr>
      </vt:variant>
      <vt:variant>
        <vt:lpwstr/>
      </vt:variant>
      <vt:variant>
        <vt:i4>7340117</vt:i4>
      </vt:variant>
      <vt:variant>
        <vt:i4>342</vt:i4>
      </vt:variant>
      <vt:variant>
        <vt:i4>0</vt:i4>
      </vt:variant>
      <vt:variant>
        <vt:i4>5</vt:i4>
      </vt:variant>
      <vt:variant>
        <vt:lpwstr>https://doi.org/10.1007/978-3-031-74994-0_15</vt:lpwstr>
      </vt:variant>
      <vt:variant>
        <vt:lpwstr/>
      </vt:variant>
      <vt:variant>
        <vt:i4>2555962</vt:i4>
      </vt:variant>
      <vt:variant>
        <vt:i4>339</vt:i4>
      </vt:variant>
      <vt:variant>
        <vt:i4>0</vt:i4>
      </vt:variant>
      <vt:variant>
        <vt:i4>5</vt:i4>
      </vt:variant>
      <vt:variant>
        <vt:lpwstr>https://doi.org/10.1007/s10926-024-10197-9</vt:lpwstr>
      </vt:variant>
      <vt:variant>
        <vt:lpwstr/>
      </vt:variant>
      <vt:variant>
        <vt:i4>2818101</vt:i4>
      </vt:variant>
      <vt:variant>
        <vt:i4>336</vt:i4>
      </vt:variant>
      <vt:variant>
        <vt:i4>0</vt:i4>
      </vt:variant>
      <vt:variant>
        <vt:i4>5</vt:i4>
      </vt:variant>
      <vt:variant>
        <vt:lpwstr>https://doi.org/10.1007/s10926-022-10067-2</vt:lpwstr>
      </vt:variant>
      <vt:variant>
        <vt:lpwstr/>
      </vt:variant>
      <vt:variant>
        <vt:i4>3080247</vt:i4>
      </vt:variant>
      <vt:variant>
        <vt:i4>333</vt:i4>
      </vt:variant>
      <vt:variant>
        <vt:i4>0</vt:i4>
      </vt:variant>
      <vt:variant>
        <vt:i4>5</vt:i4>
      </vt:variant>
      <vt:variant>
        <vt:lpwstr>https://doi.org/10.1007/s10926-024-10242-7</vt:lpwstr>
      </vt:variant>
      <vt:variant>
        <vt:lpwstr/>
      </vt:variant>
      <vt:variant>
        <vt:i4>720971</vt:i4>
      </vt:variant>
      <vt:variant>
        <vt:i4>330</vt:i4>
      </vt:variant>
      <vt:variant>
        <vt:i4>0</vt:i4>
      </vt:variant>
      <vt:variant>
        <vt:i4>5</vt:i4>
      </vt:variant>
      <vt:variant>
        <vt:lpwstr>https://doi.org/10.1080/02185385.2013.818202</vt:lpwstr>
      </vt:variant>
      <vt:variant>
        <vt:lpwstr/>
      </vt:variant>
      <vt:variant>
        <vt:i4>3670127</vt:i4>
      </vt:variant>
      <vt:variant>
        <vt:i4>327</vt:i4>
      </vt:variant>
      <vt:variant>
        <vt:i4>0</vt:i4>
      </vt:variant>
      <vt:variant>
        <vt:i4>5</vt:i4>
      </vt:variant>
      <vt:variant>
        <vt:lpwstr>https://doi.org/10.1111/spol.12552</vt:lpwstr>
      </vt:variant>
      <vt:variant>
        <vt:lpwstr/>
      </vt:variant>
      <vt:variant>
        <vt:i4>1966162</vt:i4>
      </vt:variant>
      <vt:variant>
        <vt:i4>324</vt:i4>
      </vt:variant>
      <vt:variant>
        <vt:i4>0</vt:i4>
      </vt:variant>
      <vt:variant>
        <vt:i4>5</vt:i4>
      </vt:variant>
      <vt:variant>
        <vt:lpwstr>https://doi.org/10.1177/0170840619900292</vt:lpwstr>
      </vt:variant>
      <vt:variant>
        <vt:lpwstr/>
      </vt:variant>
      <vt:variant>
        <vt:i4>7995448</vt:i4>
      </vt:variant>
      <vt:variant>
        <vt:i4>321</vt:i4>
      </vt:variant>
      <vt:variant>
        <vt:i4>0</vt:i4>
      </vt:variant>
      <vt:variant>
        <vt:i4>5</vt:i4>
      </vt:variant>
      <vt:variant>
        <vt:lpwstr>https://doi.org/10.1007/BF03025826</vt:lpwstr>
      </vt:variant>
      <vt:variant>
        <vt:lpwstr/>
      </vt:variant>
      <vt:variant>
        <vt:i4>3407988</vt:i4>
      </vt:variant>
      <vt:variant>
        <vt:i4>318</vt:i4>
      </vt:variant>
      <vt:variant>
        <vt:i4>0</vt:i4>
      </vt:variant>
      <vt:variant>
        <vt:i4>5</vt:i4>
      </vt:variant>
      <vt:variant>
        <vt:lpwstr>https://doi.org/10.1111/1748-8583.12154</vt:lpwstr>
      </vt:variant>
      <vt:variant>
        <vt:lpwstr/>
      </vt:variant>
      <vt:variant>
        <vt:i4>1376278</vt:i4>
      </vt:variant>
      <vt:variant>
        <vt:i4>315</vt:i4>
      </vt:variant>
      <vt:variant>
        <vt:i4>0</vt:i4>
      </vt:variant>
      <vt:variant>
        <vt:i4>5</vt:i4>
      </vt:variant>
      <vt:variant>
        <vt:lpwstr>https://doi.org/10.1017/S0047279414000890</vt:lpwstr>
      </vt:variant>
      <vt:variant>
        <vt:lpwstr/>
      </vt:variant>
      <vt:variant>
        <vt:i4>5177444</vt:i4>
      </vt:variant>
      <vt:variant>
        <vt:i4>312</vt:i4>
      </vt:variant>
      <vt:variant>
        <vt:i4>0</vt:i4>
      </vt:variant>
      <vt:variant>
        <vt:i4>5</vt:i4>
      </vt:variant>
      <vt:variant>
        <vt:lpwstr>https://doi.org/10.1007/978-3-031-96315-5_2</vt:lpwstr>
      </vt:variant>
      <vt:variant>
        <vt:lpwstr/>
      </vt:variant>
      <vt:variant>
        <vt:i4>1179737</vt:i4>
      </vt:variant>
      <vt:variant>
        <vt:i4>309</vt:i4>
      </vt:variant>
      <vt:variant>
        <vt:i4>0</vt:i4>
      </vt:variant>
      <vt:variant>
        <vt:i4>5</vt:i4>
      </vt:variant>
      <vt:variant>
        <vt:lpwstr>https://doi.org/10.1177/00221856231159512</vt:lpwstr>
      </vt:variant>
      <vt:variant>
        <vt:lpwstr/>
      </vt:variant>
      <vt:variant>
        <vt:i4>3276913</vt:i4>
      </vt:variant>
      <vt:variant>
        <vt:i4>306</vt:i4>
      </vt:variant>
      <vt:variant>
        <vt:i4>0</vt:i4>
      </vt:variant>
      <vt:variant>
        <vt:i4>5</vt:i4>
      </vt:variant>
      <vt:variant>
        <vt:lpwstr>https://doi.org/10.1111/1467-8462.70035</vt:lpwstr>
      </vt:variant>
      <vt:variant>
        <vt:lpwstr/>
      </vt:variant>
      <vt:variant>
        <vt:i4>3080294</vt:i4>
      </vt:variant>
      <vt:variant>
        <vt:i4>303</vt:i4>
      </vt:variant>
      <vt:variant>
        <vt:i4>0</vt:i4>
      </vt:variant>
      <vt:variant>
        <vt:i4>5</vt:i4>
      </vt:variant>
      <vt:variant>
        <vt:lpwstr>https://doi.org/10.1111/padm.12545</vt:lpwstr>
      </vt:variant>
      <vt:variant>
        <vt:lpwstr/>
      </vt:variant>
      <vt:variant>
        <vt:i4>1376282</vt:i4>
      </vt:variant>
      <vt:variant>
        <vt:i4>300</vt:i4>
      </vt:variant>
      <vt:variant>
        <vt:i4>0</vt:i4>
      </vt:variant>
      <vt:variant>
        <vt:i4>5</vt:i4>
      </vt:variant>
      <vt:variant>
        <vt:lpwstr>https://doi.org/10.1017/S1474746420000421</vt:lpwstr>
      </vt:variant>
      <vt:variant>
        <vt:lpwstr/>
      </vt:variant>
      <vt:variant>
        <vt:i4>7602292</vt:i4>
      </vt:variant>
      <vt:variant>
        <vt:i4>297</vt:i4>
      </vt:variant>
      <vt:variant>
        <vt:i4>0</vt:i4>
      </vt:variant>
      <vt:variant>
        <vt:i4>5</vt:i4>
      </vt:variant>
      <vt:variant>
        <vt:lpwstr>https://doi.org/10.3233/JVR-170862</vt:lpwstr>
      </vt:variant>
      <vt:variant>
        <vt:lpwstr/>
      </vt:variant>
      <vt:variant>
        <vt:i4>3997795</vt:i4>
      </vt:variant>
      <vt:variant>
        <vt:i4>294</vt:i4>
      </vt:variant>
      <vt:variant>
        <vt:i4>0</vt:i4>
      </vt:variant>
      <vt:variant>
        <vt:i4>5</vt:i4>
      </vt:variant>
      <vt:variant>
        <vt:lpwstr>https://doi.org/10.46692/9781529223026.009</vt:lpwstr>
      </vt:variant>
      <vt:variant>
        <vt:lpwstr/>
      </vt:variant>
      <vt:variant>
        <vt:i4>7733360</vt:i4>
      </vt:variant>
      <vt:variant>
        <vt:i4>291</vt:i4>
      </vt:variant>
      <vt:variant>
        <vt:i4>0</vt:i4>
      </vt:variant>
      <vt:variant>
        <vt:i4>5</vt:i4>
      </vt:variant>
      <vt:variant>
        <vt:lpwstr>https://doi.org/10.3233/JVR-170921</vt:lpwstr>
      </vt:variant>
      <vt:variant>
        <vt:lpwstr/>
      </vt:variant>
      <vt:variant>
        <vt:i4>589852</vt:i4>
      </vt:variant>
      <vt:variant>
        <vt:i4>288</vt:i4>
      </vt:variant>
      <vt:variant>
        <vt:i4>0</vt:i4>
      </vt:variant>
      <vt:variant>
        <vt:i4>5</vt:i4>
      </vt:variant>
      <vt:variant>
        <vt:lpwstr>https://research.ebsco.com/plink/7b7d2958-56c9-3023-8be8-f769a716b36d</vt:lpwstr>
      </vt:variant>
      <vt:variant>
        <vt:lpwstr/>
      </vt:variant>
      <vt:variant>
        <vt:i4>7602281</vt:i4>
      </vt:variant>
      <vt:variant>
        <vt:i4>285</vt:i4>
      </vt:variant>
      <vt:variant>
        <vt:i4>0</vt:i4>
      </vt:variant>
      <vt:variant>
        <vt:i4>5</vt:i4>
      </vt:variant>
      <vt:variant>
        <vt:lpwstr>https://doi.org/10.3233/jvr-2007-00359</vt:lpwstr>
      </vt:variant>
      <vt:variant>
        <vt:lpwstr/>
      </vt:variant>
      <vt:variant>
        <vt:i4>131099</vt:i4>
      </vt:variant>
      <vt:variant>
        <vt:i4>282</vt:i4>
      </vt:variant>
      <vt:variant>
        <vt:i4>0</vt:i4>
      </vt:variant>
      <vt:variant>
        <vt:i4>5</vt:i4>
      </vt:variant>
      <vt:variant>
        <vt:lpwstr>https://doi.org/10.1007/s10926-009-9225-9</vt:lpwstr>
      </vt:variant>
      <vt:variant>
        <vt:lpwstr/>
      </vt:variant>
      <vt:variant>
        <vt:i4>5242971</vt:i4>
      </vt:variant>
      <vt:variant>
        <vt:i4>279</vt:i4>
      </vt:variant>
      <vt:variant>
        <vt:i4>0</vt:i4>
      </vt:variant>
      <vt:variant>
        <vt:i4>5</vt:i4>
      </vt:variant>
      <vt:variant>
        <vt:lpwstr>https://doi.org/10.18291/njwls.147335</vt:lpwstr>
      </vt:variant>
      <vt:variant>
        <vt:lpwstr/>
      </vt:variant>
      <vt:variant>
        <vt:i4>1245271</vt:i4>
      </vt:variant>
      <vt:variant>
        <vt:i4>276</vt:i4>
      </vt:variant>
      <vt:variant>
        <vt:i4>0</vt:i4>
      </vt:variant>
      <vt:variant>
        <vt:i4>5</vt:i4>
      </vt:variant>
      <vt:variant>
        <vt:lpwstr>https://doi.org/10.1177/10519815251335786</vt:lpwstr>
      </vt:variant>
      <vt:variant>
        <vt:lpwstr/>
      </vt:variant>
      <vt:variant>
        <vt:i4>1376278</vt:i4>
      </vt:variant>
      <vt:variant>
        <vt:i4>273</vt:i4>
      </vt:variant>
      <vt:variant>
        <vt:i4>0</vt:i4>
      </vt:variant>
      <vt:variant>
        <vt:i4>5</vt:i4>
      </vt:variant>
      <vt:variant>
        <vt:lpwstr>https://doi.org/10.1017/S0047279418000491</vt:lpwstr>
      </vt:variant>
      <vt:variant>
        <vt:lpwstr/>
      </vt:variant>
      <vt:variant>
        <vt:i4>2949222</vt:i4>
      </vt:variant>
      <vt:variant>
        <vt:i4>270</vt:i4>
      </vt:variant>
      <vt:variant>
        <vt:i4>0</vt:i4>
      </vt:variant>
      <vt:variant>
        <vt:i4>5</vt:i4>
      </vt:variant>
      <vt:variant>
        <vt:lpwstr>https://doi.org/10.2767/034981</vt:lpwstr>
      </vt:variant>
      <vt:variant>
        <vt:lpwstr/>
      </vt:variant>
      <vt:variant>
        <vt:i4>2490475</vt:i4>
      </vt:variant>
      <vt:variant>
        <vt:i4>267</vt:i4>
      </vt:variant>
      <vt:variant>
        <vt:i4>0</vt:i4>
      </vt:variant>
      <vt:variant>
        <vt:i4>5</vt:i4>
      </vt:variant>
      <vt:variant>
        <vt:lpwstr>https://doi.org/10.2767/273007</vt:lpwstr>
      </vt:variant>
      <vt:variant>
        <vt:lpwstr/>
      </vt:variant>
      <vt:variant>
        <vt:i4>2818152</vt:i4>
      </vt:variant>
      <vt:variant>
        <vt:i4>264</vt:i4>
      </vt:variant>
      <vt:variant>
        <vt:i4>0</vt:i4>
      </vt:variant>
      <vt:variant>
        <vt:i4>5</vt:i4>
      </vt:variant>
      <vt:variant>
        <vt:lpwstr>https://doi.org/10.2767/359088</vt:lpwstr>
      </vt:variant>
      <vt:variant>
        <vt:lpwstr/>
      </vt:variant>
      <vt:variant>
        <vt:i4>5898332</vt:i4>
      </vt:variant>
      <vt:variant>
        <vt:i4>261</vt:i4>
      </vt:variant>
      <vt:variant>
        <vt:i4>0</vt:i4>
      </vt:variant>
      <vt:variant>
        <vt:i4>5</vt:i4>
      </vt:variant>
      <vt:variant>
        <vt:lpwstr>https://doi.org/10.18291/njwls.128260</vt:lpwstr>
      </vt:variant>
      <vt:variant>
        <vt:lpwstr/>
      </vt:variant>
      <vt:variant>
        <vt:i4>1114195</vt:i4>
      </vt:variant>
      <vt:variant>
        <vt:i4>258</vt:i4>
      </vt:variant>
      <vt:variant>
        <vt:i4>0</vt:i4>
      </vt:variant>
      <vt:variant>
        <vt:i4>5</vt:i4>
      </vt:variant>
      <vt:variant>
        <vt:lpwstr>https://doi.org/10.1177/10519815251357580</vt:lpwstr>
      </vt:variant>
      <vt:variant>
        <vt:lpwstr/>
      </vt:variant>
      <vt:variant>
        <vt:i4>3473508</vt:i4>
      </vt:variant>
      <vt:variant>
        <vt:i4>255</vt:i4>
      </vt:variant>
      <vt:variant>
        <vt:i4>0</vt:i4>
      </vt:variant>
      <vt:variant>
        <vt:i4>5</vt:i4>
      </vt:variant>
      <vt:variant>
        <vt:lpwstr>https://doi.org/10.1016/j.socscimed.2024.116742</vt:lpwstr>
      </vt:variant>
      <vt:variant>
        <vt:lpwstr/>
      </vt:variant>
      <vt:variant>
        <vt:i4>262223</vt:i4>
      </vt:variant>
      <vt:variant>
        <vt:i4>252</vt:i4>
      </vt:variant>
      <vt:variant>
        <vt:i4>0</vt:i4>
      </vt:variant>
      <vt:variant>
        <vt:i4>5</vt:i4>
      </vt:variant>
      <vt:variant>
        <vt:lpwstr>https://doi.org/10.1080/09638288.2023.2181411</vt:lpwstr>
      </vt:variant>
      <vt:variant>
        <vt:lpwstr/>
      </vt:variant>
      <vt:variant>
        <vt:i4>262223</vt:i4>
      </vt:variant>
      <vt:variant>
        <vt:i4>249</vt:i4>
      </vt:variant>
      <vt:variant>
        <vt:i4>0</vt:i4>
      </vt:variant>
      <vt:variant>
        <vt:i4>5</vt:i4>
      </vt:variant>
      <vt:variant>
        <vt:lpwstr>https://doi.org/10.1080/09638288.2023.2181411</vt:lpwstr>
      </vt:variant>
      <vt:variant>
        <vt:lpwstr/>
      </vt:variant>
      <vt:variant>
        <vt:i4>2162744</vt:i4>
      </vt:variant>
      <vt:variant>
        <vt:i4>246</vt:i4>
      </vt:variant>
      <vt:variant>
        <vt:i4>0</vt:i4>
      </vt:variant>
      <vt:variant>
        <vt:i4>5</vt:i4>
      </vt:variant>
      <vt:variant>
        <vt:lpwstr>https://doi.org/10.1007/s10551-022-05095-0</vt:lpwstr>
      </vt:variant>
      <vt:variant>
        <vt:lpwstr/>
      </vt:variant>
      <vt:variant>
        <vt:i4>2687093</vt:i4>
      </vt:variant>
      <vt:variant>
        <vt:i4>243</vt:i4>
      </vt:variant>
      <vt:variant>
        <vt:i4>0</vt:i4>
      </vt:variant>
      <vt:variant>
        <vt:i4>5</vt:i4>
      </vt:variant>
      <vt:variant>
        <vt:lpwstr>https://doi.org/10.1111/asap.12138</vt:lpwstr>
      </vt:variant>
      <vt:variant>
        <vt:lpwstr/>
      </vt:variant>
      <vt:variant>
        <vt:i4>786461</vt:i4>
      </vt:variant>
      <vt:variant>
        <vt:i4>240</vt:i4>
      </vt:variant>
      <vt:variant>
        <vt:i4>0</vt:i4>
      </vt:variant>
      <vt:variant>
        <vt:i4>5</vt:i4>
      </vt:variant>
      <vt:variant>
        <vt:lpwstr>https://doi.org/10.1007/s10926-010-9252-6</vt:lpwstr>
      </vt:variant>
      <vt:variant>
        <vt:lpwstr/>
      </vt:variant>
      <vt:variant>
        <vt:i4>851996</vt:i4>
      </vt:variant>
      <vt:variant>
        <vt:i4>237</vt:i4>
      </vt:variant>
      <vt:variant>
        <vt:i4>0</vt:i4>
      </vt:variant>
      <vt:variant>
        <vt:i4>5</vt:i4>
      </vt:variant>
      <vt:variant>
        <vt:lpwstr>https://doi.org/10.1007/s10926-010-9243-7</vt:lpwstr>
      </vt:variant>
      <vt:variant>
        <vt:lpwstr/>
      </vt:variant>
      <vt:variant>
        <vt:i4>1769557</vt:i4>
      </vt:variant>
      <vt:variant>
        <vt:i4>234</vt:i4>
      </vt:variant>
      <vt:variant>
        <vt:i4>0</vt:i4>
      </vt:variant>
      <vt:variant>
        <vt:i4>5</vt:i4>
      </vt:variant>
      <vt:variant>
        <vt:lpwstr>https://doi.org/10.1177/0885728809344590</vt:lpwstr>
      </vt:variant>
      <vt:variant>
        <vt:lpwstr/>
      </vt:variant>
      <vt:variant>
        <vt:i4>7667826</vt:i4>
      </vt:variant>
      <vt:variant>
        <vt:i4>231</vt:i4>
      </vt:variant>
      <vt:variant>
        <vt:i4>0</vt:i4>
      </vt:variant>
      <vt:variant>
        <vt:i4>5</vt:i4>
      </vt:variant>
      <vt:variant>
        <vt:lpwstr>https://doi.org/10.3233/JVR-191015</vt:lpwstr>
      </vt:variant>
      <vt:variant>
        <vt:lpwstr/>
      </vt:variant>
      <vt:variant>
        <vt:i4>8323193</vt:i4>
      </vt:variant>
      <vt:variant>
        <vt:i4>228</vt:i4>
      </vt:variant>
      <vt:variant>
        <vt:i4>0</vt:i4>
      </vt:variant>
      <vt:variant>
        <vt:i4>5</vt:i4>
      </vt:variant>
      <vt:variant>
        <vt:lpwstr>https://doi.org/10.1017/jrc.2013.2</vt:lpwstr>
      </vt:variant>
      <vt:variant>
        <vt:lpwstr/>
      </vt:variant>
      <vt:variant>
        <vt:i4>5439554</vt:i4>
      </vt:variant>
      <vt:variant>
        <vt:i4>225</vt:i4>
      </vt:variant>
      <vt:variant>
        <vt:i4>0</vt:i4>
      </vt:variant>
      <vt:variant>
        <vt:i4>5</vt:i4>
      </vt:variant>
      <vt:variant>
        <vt:lpwstr>https://research.ebsco.com/plink/16ea74c2-4e65-315f-9919-93051f7c3b74</vt:lpwstr>
      </vt:variant>
      <vt:variant>
        <vt:lpwstr/>
      </vt:variant>
      <vt:variant>
        <vt:i4>6029333</vt:i4>
      </vt:variant>
      <vt:variant>
        <vt:i4>222</vt:i4>
      </vt:variant>
      <vt:variant>
        <vt:i4>0</vt:i4>
      </vt:variant>
      <vt:variant>
        <vt:i4>5</vt:i4>
      </vt:variant>
      <vt:variant>
        <vt:lpwstr>https://research.ebsco.com/plink/5fbd7b22-2880-3265-a78b-51b737e489a4</vt:lpwstr>
      </vt:variant>
      <vt:variant>
        <vt:lpwstr/>
      </vt:variant>
      <vt:variant>
        <vt:i4>1900636</vt:i4>
      </vt:variant>
      <vt:variant>
        <vt:i4>219</vt:i4>
      </vt:variant>
      <vt:variant>
        <vt:i4>0</vt:i4>
      </vt:variant>
      <vt:variant>
        <vt:i4>5</vt:i4>
      </vt:variant>
      <vt:variant>
        <vt:lpwstr>https://doi.org/10.1177/10522263251413286</vt:lpwstr>
      </vt:variant>
      <vt:variant>
        <vt:lpwstr/>
      </vt:variant>
      <vt:variant>
        <vt:i4>1638483</vt:i4>
      </vt:variant>
      <vt:variant>
        <vt:i4>216</vt:i4>
      </vt:variant>
      <vt:variant>
        <vt:i4>0</vt:i4>
      </vt:variant>
      <vt:variant>
        <vt:i4>5</vt:i4>
      </vt:variant>
      <vt:variant>
        <vt:lpwstr>https://doi.org/10.1177/10519815251320275</vt:lpwstr>
      </vt:variant>
      <vt:variant>
        <vt:lpwstr/>
      </vt:variant>
      <vt:variant>
        <vt:i4>1114131</vt:i4>
      </vt:variant>
      <vt:variant>
        <vt:i4>213</vt:i4>
      </vt:variant>
      <vt:variant>
        <vt:i4>0</vt:i4>
      </vt:variant>
      <vt:variant>
        <vt:i4>5</vt:i4>
      </vt:variant>
      <vt:variant>
        <vt:lpwstr>https://doi.org/10.1017/S1474746425100870</vt:lpwstr>
      </vt:variant>
      <vt:variant>
        <vt:lpwstr/>
      </vt:variant>
      <vt:variant>
        <vt:i4>3473506</vt:i4>
      </vt:variant>
      <vt:variant>
        <vt:i4>210</vt:i4>
      </vt:variant>
      <vt:variant>
        <vt:i4>0</vt:i4>
      </vt:variant>
      <vt:variant>
        <vt:i4>5</vt:i4>
      </vt:variant>
      <vt:variant>
        <vt:lpwstr>https://doi.org/10.46692/9781529223026.011</vt:lpwstr>
      </vt:variant>
      <vt:variant>
        <vt:lpwstr/>
      </vt:variant>
      <vt:variant>
        <vt:i4>6488176</vt:i4>
      </vt:variant>
      <vt:variant>
        <vt:i4>207</vt:i4>
      </vt:variant>
      <vt:variant>
        <vt:i4>0</vt:i4>
      </vt:variant>
      <vt:variant>
        <vt:i4>5</vt:i4>
      </vt:variant>
      <vt:variant>
        <vt:lpwstr>https://doi.org/10.1037/prj0000574</vt:lpwstr>
      </vt:variant>
      <vt:variant>
        <vt:lpwstr/>
      </vt:variant>
      <vt:variant>
        <vt:i4>1114199</vt:i4>
      </vt:variant>
      <vt:variant>
        <vt:i4>204</vt:i4>
      </vt:variant>
      <vt:variant>
        <vt:i4>0</vt:i4>
      </vt:variant>
      <vt:variant>
        <vt:i4>5</vt:i4>
      </vt:variant>
      <vt:variant>
        <vt:lpwstr>https://doi.org/10.1177/10522263241300813</vt:lpwstr>
      </vt:variant>
      <vt:variant>
        <vt:lpwstr/>
      </vt:variant>
      <vt:variant>
        <vt:i4>1114199</vt:i4>
      </vt:variant>
      <vt:variant>
        <vt:i4>201</vt:i4>
      </vt:variant>
      <vt:variant>
        <vt:i4>0</vt:i4>
      </vt:variant>
      <vt:variant>
        <vt:i4>5</vt:i4>
      </vt:variant>
      <vt:variant>
        <vt:lpwstr>https://doi.org/10.1177/10522263241300813</vt:lpwstr>
      </vt:variant>
      <vt:variant>
        <vt:lpwstr/>
      </vt:variant>
      <vt:variant>
        <vt:i4>720975</vt:i4>
      </vt:variant>
      <vt:variant>
        <vt:i4>198</vt:i4>
      </vt:variant>
      <vt:variant>
        <vt:i4>0</vt:i4>
      </vt:variant>
      <vt:variant>
        <vt:i4>5</vt:i4>
      </vt:variant>
      <vt:variant>
        <vt:lpwstr>https://doi.org/10.1080/09585192.2015.1128466</vt:lpwstr>
      </vt:variant>
      <vt:variant>
        <vt:lpwstr/>
      </vt:variant>
      <vt:variant>
        <vt:i4>1835039</vt:i4>
      </vt:variant>
      <vt:variant>
        <vt:i4>195</vt:i4>
      </vt:variant>
      <vt:variant>
        <vt:i4>0</vt:i4>
      </vt:variant>
      <vt:variant>
        <vt:i4>5</vt:i4>
      </vt:variant>
      <vt:variant>
        <vt:lpwstr>https://doi.org/10.1017/S0047279425000030</vt:lpwstr>
      </vt:variant>
      <vt:variant>
        <vt:lpwstr/>
      </vt:variant>
      <vt:variant>
        <vt:i4>3604596</vt:i4>
      </vt:variant>
      <vt:variant>
        <vt:i4>192</vt:i4>
      </vt:variant>
      <vt:variant>
        <vt:i4>0</vt:i4>
      </vt:variant>
      <vt:variant>
        <vt:i4>5</vt:i4>
      </vt:variant>
      <vt:variant>
        <vt:lpwstr>https://doi.org/10.1111/1748-8583.12169</vt:lpwstr>
      </vt:variant>
      <vt:variant>
        <vt:lpwstr/>
      </vt:variant>
      <vt:variant>
        <vt:i4>2555953</vt:i4>
      </vt:variant>
      <vt:variant>
        <vt:i4>189</vt:i4>
      </vt:variant>
      <vt:variant>
        <vt:i4>0</vt:i4>
      </vt:variant>
      <vt:variant>
        <vt:i4>5</vt:i4>
      </vt:variant>
      <vt:variant>
        <vt:lpwstr>https://doi.org/10.1007/s10926-024-10228-5</vt:lpwstr>
      </vt:variant>
      <vt:variant>
        <vt:lpwstr/>
      </vt:variant>
      <vt:variant>
        <vt:i4>2031645</vt:i4>
      </vt:variant>
      <vt:variant>
        <vt:i4>186</vt:i4>
      </vt:variant>
      <vt:variant>
        <vt:i4>0</vt:i4>
      </vt:variant>
      <vt:variant>
        <vt:i4>5</vt:i4>
      </vt:variant>
      <vt:variant>
        <vt:lpwstr>https://doi.org/10.1017/S147474642000038X</vt:lpwstr>
      </vt:variant>
      <vt:variant>
        <vt:lpwstr/>
      </vt:variant>
      <vt:variant>
        <vt:i4>1507419</vt:i4>
      </vt:variant>
      <vt:variant>
        <vt:i4>183</vt:i4>
      </vt:variant>
      <vt:variant>
        <vt:i4>0</vt:i4>
      </vt:variant>
      <vt:variant>
        <vt:i4>5</vt:i4>
      </vt:variant>
      <vt:variant>
        <vt:lpwstr>https://doi.org/10.1177/09500170211063094</vt:lpwstr>
      </vt:variant>
      <vt:variant>
        <vt:lpwstr/>
      </vt:variant>
      <vt:variant>
        <vt:i4>1376285</vt:i4>
      </vt:variant>
      <vt:variant>
        <vt:i4>180</vt:i4>
      </vt:variant>
      <vt:variant>
        <vt:i4>0</vt:i4>
      </vt:variant>
      <vt:variant>
        <vt:i4>5</vt:i4>
      </vt:variant>
      <vt:variant>
        <vt:lpwstr>https://doi.org/10.1017/S1474746423000027</vt:lpwstr>
      </vt:variant>
      <vt:variant>
        <vt:lpwstr/>
      </vt:variant>
      <vt:variant>
        <vt:i4>1310805</vt:i4>
      </vt:variant>
      <vt:variant>
        <vt:i4>177</vt:i4>
      </vt:variant>
      <vt:variant>
        <vt:i4>0</vt:i4>
      </vt:variant>
      <vt:variant>
        <vt:i4>5</vt:i4>
      </vt:variant>
      <vt:variant>
        <vt:lpwstr>https://doi.org/10.1177/10522263251394313</vt:lpwstr>
      </vt:variant>
      <vt:variant>
        <vt:lpwstr/>
      </vt:variant>
      <vt:variant>
        <vt:i4>7340146</vt:i4>
      </vt:variant>
      <vt:variant>
        <vt:i4>174</vt:i4>
      </vt:variant>
      <vt:variant>
        <vt:i4>0</vt:i4>
      </vt:variant>
      <vt:variant>
        <vt:i4>5</vt:i4>
      </vt:variant>
      <vt:variant>
        <vt:lpwstr>https://doi.org/10.3233/JVR-191010</vt:lpwstr>
      </vt:variant>
      <vt:variant>
        <vt:lpwstr/>
      </vt:variant>
      <vt:variant>
        <vt:i4>393282</vt:i4>
      </vt:variant>
      <vt:variant>
        <vt:i4>171</vt:i4>
      </vt:variant>
      <vt:variant>
        <vt:i4>0</vt:i4>
      </vt:variant>
      <vt:variant>
        <vt:i4>5</vt:i4>
      </vt:variant>
      <vt:variant>
        <vt:lpwstr>https://doi.org/10.1080/09638288.2018.1481150</vt:lpwstr>
      </vt:variant>
      <vt:variant>
        <vt:lpwstr/>
      </vt:variant>
      <vt:variant>
        <vt:i4>1376351</vt:i4>
      </vt:variant>
      <vt:variant>
        <vt:i4>168</vt:i4>
      </vt:variant>
      <vt:variant>
        <vt:i4>0</vt:i4>
      </vt:variant>
      <vt:variant>
        <vt:i4>5</vt:i4>
      </vt:variant>
      <vt:variant>
        <vt:lpwstr>https://doi.org/10.1177/00343552241265319</vt:lpwstr>
      </vt:variant>
      <vt:variant>
        <vt:lpwstr/>
      </vt:variant>
      <vt:variant>
        <vt:i4>6357024</vt:i4>
      </vt:variant>
      <vt:variant>
        <vt:i4>165</vt:i4>
      </vt:variant>
      <vt:variant>
        <vt:i4>0</vt:i4>
      </vt:variant>
      <vt:variant>
        <vt:i4>5</vt:i4>
      </vt:variant>
      <vt:variant>
        <vt:lpwstr>https://doi.org/10.3390/su17093785</vt:lpwstr>
      </vt:variant>
      <vt:variant>
        <vt:lpwstr/>
      </vt:variant>
      <vt:variant>
        <vt:i4>1376344</vt:i4>
      </vt:variant>
      <vt:variant>
        <vt:i4>162</vt:i4>
      </vt:variant>
      <vt:variant>
        <vt:i4>0</vt:i4>
      </vt:variant>
      <vt:variant>
        <vt:i4>5</vt:i4>
      </vt:variant>
      <vt:variant>
        <vt:lpwstr>https://doi.org/10.1177/10522263251326524</vt:lpwstr>
      </vt:variant>
      <vt:variant>
        <vt:lpwstr/>
      </vt:variant>
      <vt:variant>
        <vt:i4>3407969</vt:i4>
      </vt:variant>
      <vt:variant>
        <vt:i4>159</vt:i4>
      </vt:variant>
      <vt:variant>
        <vt:i4>0</vt:i4>
      </vt:variant>
      <vt:variant>
        <vt:i4>5</vt:i4>
      </vt:variant>
      <vt:variant>
        <vt:lpwstr>https://doi.org/10.1891/JARC-2025-0021</vt:lpwstr>
      </vt:variant>
      <vt:variant>
        <vt:lpwstr/>
      </vt:variant>
      <vt:variant>
        <vt:i4>1441875</vt:i4>
      </vt:variant>
      <vt:variant>
        <vt:i4>156</vt:i4>
      </vt:variant>
      <vt:variant>
        <vt:i4>0</vt:i4>
      </vt:variant>
      <vt:variant>
        <vt:i4>5</vt:i4>
      </vt:variant>
      <vt:variant>
        <vt:lpwstr>https://doi.org/10.1177/1044207317739405</vt:lpwstr>
      </vt:variant>
      <vt:variant>
        <vt:lpwstr/>
      </vt:variant>
      <vt:variant>
        <vt:i4>8126587</vt:i4>
      </vt:variant>
      <vt:variant>
        <vt:i4>153</vt:i4>
      </vt:variant>
      <vt:variant>
        <vt:i4>0</vt:i4>
      </vt:variant>
      <vt:variant>
        <vt:i4>5</vt:i4>
      </vt:variant>
      <vt:variant>
        <vt:lpwstr>https://doi.org/10.3233/JVR-140697</vt:lpwstr>
      </vt:variant>
      <vt:variant>
        <vt:lpwstr/>
      </vt:variant>
      <vt:variant>
        <vt:i4>7864434</vt:i4>
      </vt:variant>
      <vt:variant>
        <vt:i4>150</vt:i4>
      </vt:variant>
      <vt:variant>
        <vt:i4>0</vt:i4>
      </vt:variant>
      <vt:variant>
        <vt:i4>5</vt:i4>
      </vt:variant>
      <vt:variant>
        <vt:lpwstr>https://doi.org/10.3233/JVR-191018</vt:lpwstr>
      </vt:variant>
      <vt:variant>
        <vt:lpwstr/>
      </vt:variant>
      <vt:variant>
        <vt:i4>1048664</vt:i4>
      </vt:variant>
      <vt:variant>
        <vt:i4>147</vt:i4>
      </vt:variant>
      <vt:variant>
        <vt:i4>0</vt:i4>
      </vt:variant>
      <vt:variant>
        <vt:i4>5</vt:i4>
      </vt:variant>
      <vt:variant>
        <vt:lpwstr>https://doi.org/10.1177/00343552231176535</vt:lpwstr>
      </vt:variant>
      <vt:variant>
        <vt:lpwstr/>
      </vt:variant>
      <vt:variant>
        <vt:i4>1310810</vt:i4>
      </vt:variant>
      <vt:variant>
        <vt:i4>144</vt:i4>
      </vt:variant>
      <vt:variant>
        <vt:i4>0</vt:i4>
      </vt:variant>
      <vt:variant>
        <vt:i4>5</vt:i4>
      </vt:variant>
      <vt:variant>
        <vt:lpwstr>https://doi.org/10.1177/00343552221130304</vt:lpwstr>
      </vt:variant>
      <vt:variant>
        <vt:lpwstr/>
      </vt:variant>
      <vt:variant>
        <vt:i4>7340149</vt:i4>
      </vt:variant>
      <vt:variant>
        <vt:i4>141</vt:i4>
      </vt:variant>
      <vt:variant>
        <vt:i4>0</vt:i4>
      </vt:variant>
      <vt:variant>
        <vt:i4>5</vt:i4>
      </vt:variant>
      <vt:variant>
        <vt:lpwstr>https://doi.org/10.3233/JVR-180978</vt:lpwstr>
      </vt:variant>
      <vt:variant>
        <vt:lpwstr/>
      </vt:variant>
      <vt:variant>
        <vt:i4>3342453</vt:i4>
      </vt:variant>
      <vt:variant>
        <vt:i4>138</vt:i4>
      </vt:variant>
      <vt:variant>
        <vt:i4>0</vt:i4>
      </vt:variant>
      <vt:variant>
        <vt:i4>5</vt:i4>
      </vt:variant>
      <vt:variant>
        <vt:lpwstr>https://doi.org/10.1375/jdmr.1.1.10</vt:lpwstr>
      </vt:variant>
      <vt:variant>
        <vt:lpwstr/>
      </vt:variant>
      <vt:variant>
        <vt:i4>7864440</vt:i4>
      </vt:variant>
      <vt:variant>
        <vt:i4>135</vt:i4>
      </vt:variant>
      <vt:variant>
        <vt:i4>0</vt:i4>
      </vt:variant>
      <vt:variant>
        <vt:i4>5</vt:i4>
      </vt:variant>
      <vt:variant>
        <vt:lpwstr>https://doi.org/10.3233/JVR-201081</vt:lpwstr>
      </vt:variant>
      <vt:variant>
        <vt:lpwstr/>
      </vt:variant>
      <vt:variant>
        <vt:i4>1179742</vt:i4>
      </vt:variant>
      <vt:variant>
        <vt:i4>132</vt:i4>
      </vt:variant>
      <vt:variant>
        <vt:i4>0</vt:i4>
      </vt:variant>
      <vt:variant>
        <vt:i4>5</vt:i4>
      </vt:variant>
      <vt:variant>
        <vt:lpwstr>https://doi.org/10.1177/0034355218796276</vt:lpwstr>
      </vt:variant>
      <vt:variant>
        <vt:lpwstr/>
      </vt:variant>
      <vt:variant>
        <vt:i4>1769561</vt:i4>
      </vt:variant>
      <vt:variant>
        <vt:i4>129</vt:i4>
      </vt:variant>
      <vt:variant>
        <vt:i4>0</vt:i4>
      </vt:variant>
      <vt:variant>
        <vt:i4>5</vt:i4>
      </vt:variant>
      <vt:variant>
        <vt:lpwstr>https://doi.org/10.1177/0034355219889409</vt:lpwstr>
      </vt:variant>
      <vt:variant>
        <vt:lpwstr/>
      </vt:variant>
      <vt:variant>
        <vt:i4>3735679</vt:i4>
      </vt:variant>
      <vt:variant>
        <vt:i4>126</vt:i4>
      </vt:variant>
      <vt:variant>
        <vt:i4>0</vt:i4>
      </vt:variant>
      <vt:variant>
        <vt:i4>5</vt:i4>
      </vt:variant>
      <vt:variant>
        <vt:lpwstr>https://doi.org/10.1891/2168-6653.31.2.135</vt:lpwstr>
      </vt:variant>
      <vt:variant>
        <vt:lpwstr/>
      </vt:variant>
      <vt:variant>
        <vt:i4>655390</vt:i4>
      </vt:variant>
      <vt:variant>
        <vt:i4>123</vt:i4>
      </vt:variant>
      <vt:variant>
        <vt:i4>0</vt:i4>
      </vt:variant>
      <vt:variant>
        <vt:i4>5</vt:i4>
      </vt:variant>
      <vt:variant>
        <vt:lpwstr>https://doi.org/10.1007/s10926-016-9655-0</vt:lpwstr>
      </vt:variant>
      <vt:variant>
        <vt:lpwstr/>
      </vt:variant>
      <vt:variant>
        <vt:i4>6946876</vt:i4>
      </vt:variant>
      <vt:variant>
        <vt:i4>120</vt:i4>
      </vt:variant>
      <vt:variant>
        <vt:i4>0</vt:i4>
      </vt:variant>
      <vt:variant>
        <vt:i4>5</vt:i4>
      </vt:variant>
      <vt:variant>
        <vt:lpwstr>https://doi.org/10.1007/s41542-024-00185-z</vt:lpwstr>
      </vt:variant>
      <vt:variant>
        <vt:lpwstr/>
      </vt:variant>
      <vt:variant>
        <vt:i4>8061041</vt:i4>
      </vt:variant>
      <vt:variant>
        <vt:i4>117</vt:i4>
      </vt:variant>
      <vt:variant>
        <vt:i4>0</vt:i4>
      </vt:variant>
      <vt:variant>
        <vt:i4>5</vt:i4>
      </vt:variant>
      <vt:variant>
        <vt:lpwstr>https://doi.org/10.3233/JVR-221212</vt:lpwstr>
      </vt:variant>
      <vt:variant>
        <vt:lpwstr/>
      </vt:variant>
      <vt:variant>
        <vt:i4>2555962</vt:i4>
      </vt:variant>
      <vt:variant>
        <vt:i4>114</vt:i4>
      </vt:variant>
      <vt:variant>
        <vt:i4>0</vt:i4>
      </vt:variant>
      <vt:variant>
        <vt:i4>5</vt:i4>
      </vt:variant>
      <vt:variant>
        <vt:lpwstr>https://doi.org/10.1007/s10926-024-10197-9</vt:lpwstr>
      </vt:variant>
      <vt:variant>
        <vt:lpwstr/>
      </vt:variant>
      <vt:variant>
        <vt:i4>2818101</vt:i4>
      </vt:variant>
      <vt:variant>
        <vt:i4>111</vt:i4>
      </vt:variant>
      <vt:variant>
        <vt:i4>0</vt:i4>
      </vt:variant>
      <vt:variant>
        <vt:i4>5</vt:i4>
      </vt:variant>
      <vt:variant>
        <vt:lpwstr>https://doi.org/10.1007/s10926-022-10067-2</vt:lpwstr>
      </vt:variant>
      <vt:variant>
        <vt:lpwstr/>
      </vt:variant>
      <vt:variant>
        <vt:i4>3080247</vt:i4>
      </vt:variant>
      <vt:variant>
        <vt:i4>108</vt:i4>
      </vt:variant>
      <vt:variant>
        <vt:i4>0</vt:i4>
      </vt:variant>
      <vt:variant>
        <vt:i4>5</vt:i4>
      </vt:variant>
      <vt:variant>
        <vt:lpwstr>https://doi.org/10.1007/s10926-024-10242-7</vt:lpwstr>
      </vt:variant>
      <vt:variant>
        <vt:lpwstr/>
      </vt:variant>
      <vt:variant>
        <vt:i4>720971</vt:i4>
      </vt:variant>
      <vt:variant>
        <vt:i4>105</vt:i4>
      </vt:variant>
      <vt:variant>
        <vt:i4>0</vt:i4>
      </vt:variant>
      <vt:variant>
        <vt:i4>5</vt:i4>
      </vt:variant>
      <vt:variant>
        <vt:lpwstr>https://doi.org/10.1080/02185385.2013.818202</vt:lpwstr>
      </vt:variant>
      <vt:variant>
        <vt:lpwstr/>
      </vt:variant>
      <vt:variant>
        <vt:i4>3670127</vt:i4>
      </vt:variant>
      <vt:variant>
        <vt:i4>102</vt:i4>
      </vt:variant>
      <vt:variant>
        <vt:i4>0</vt:i4>
      </vt:variant>
      <vt:variant>
        <vt:i4>5</vt:i4>
      </vt:variant>
      <vt:variant>
        <vt:lpwstr>https://doi.org/10.1111/spol.12552</vt:lpwstr>
      </vt:variant>
      <vt:variant>
        <vt:lpwstr/>
      </vt:variant>
      <vt:variant>
        <vt:i4>1966162</vt:i4>
      </vt:variant>
      <vt:variant>
        <vt:i4>99</vt:i4>
      </vt:variant>
      <vt:variant>
        <vt:i4>0</vt:i4>
      </vt:variant>
      <vt:variant>
        <vt:i4>5</vt:i4>
      </vt:variant>
      <vt:variant>
        <vt:lpwstr>https://doi.org/10.1177/0170840619900292</vt:lpwstr>
      </vt:variant>
      <vt:variant>
        <vt:lpwstr/>
      </vt:variant>
      <vt:variant>
        <vt:i4>7995448</vt:i4>
      </vt:variant>
      <vt:variant>
        <vt:i4>96</vt:i4>
      </vt:variant>
      <vt:variant>
        <vt:i4>0</vt:i4>
      </vt:variant>
      <vt:variant>
        <vt:i4>5</vt:i4>
      </vt:variant>
      <vt:variant>
        <vt:lpwstr>https://doi.org/10.1007/BF03025826</vt:lpwstr>
      </vt:variant>
      <vt:variant>
        <vt:lpwstr/>
      </vt:variant>
      <vt:variant>
        <vt:i4>3407988</vt:i4>
      </vt:variant>
      <vt:variant>
        <vt:i4>93</vt:i4>
      </vt:variant>
      <vt:variant>
        <vt:i4>0</vt:i4>
      </vt:variant>
      <vt:variant>
        <vt:i4>5</vt:i4>
      </vt:variant>
      <vt:variant>
        <vt:lpwstr>https://doi.org/10.1111/1748-8583.12154</vt:lpwstr>
      </vt:variant>
      <vt:variant>
        <vt:lpwstr/>
      </vt:variant>
      <vt:variant>
        <vt:i4>1376278</vt:i4>
      </vt:variant>
      <vt:variant>
        <vt:i4>90</vt:i4>
      </vt:variant>
      <vt:variant>
        <vt:i4>0</vt:i4>
      </vt:variant>
      <vt:variant>
        <vt:i4>5</vt:i4>
      </vt:variant>
      <vt:variant>
        <vt:lpwstr>https://doi.org/10.1017/S0047279414000890</vt:lpwstr>
      </vt:variant>
      <vt:variant>
        <vt:lpwstr/>
      </vt:variant>
      <vt:variant>
        <vt:i4>1179737</vt:i4>
      </vt:variant>
      <vt:variant>
        <vt:i4>87</vt:i4>
      </vt:variant>
      <vt:variant>
        <vt:i4>0</vt:i4>
      </vt:variant>
      <vt:variant>
        <vt:i4>5</vt:i4>
      </vt:variant>
      <vt:variant>
        <vt:lpwstr>https://doi.org/10.1177/00221856231159512</vt:lpwstr>
      </vt:variant>
      <vt:variant>
        <vt:lpwstr/>
      </vt:variant>
      <vt:variant>
        <vt:i4>3080294</vt:i4>
      </vt:variant>
      <vt:variant>
        <vt:i4>84</vt:i4>
      </vt:variant>
      <vt:variant>
        <vt:i4>0</vt:i4>
      </vt:variant>
      <vt:variant>
        <vt:i4>5</vt:i4>
      </vt:variant>
      <vt:variant>
        <vt:lpwstr>https://doi.org/10.1111/padm.12545</vt:lpwstr>
      </vt:variant>
      <vt:variant>
        <vt:lpwstr/>
      </vt:variant>
      <vt:variant>
        <vt:i4>3276913</vt:i4>
      </vt:variant>
      <vt:variant>
        <vt:i4>81</vt:i4>
      </vt:variant>
      <vt:variant>
        <vt:i4>0</vt:i4>
      </vt:variant>
      <vt:variant>
        <vt:i4>5</vt:i4>
      </vt:variant>
      <vt:variant>
        <vt:lpwstr>https://doi.org/10.1111/1467-8462.70035</vt:lpwstr>
      </vt:variant>
      <vt:variant>
        <vt:lpwstr/>
      </vt:variant>
      <vt:variant>
        <vt:i4>1376282</vt:i4>
      </vt:variant>
      <vt:variant>
        <vt:i4>78</vt:i4>
      </vt:variant>
      <vt:variant>
        <vt:i4>0</vt:i4>
      </vt:variant>
      <vt:variant>
        <vt:i4>5</vt:i4>
      </vt:variant>
      <vt:variant>
        <vt:lpwstr>https://doi.org/10.1017/S1474746420000421</vt:lpwstr>
      </vt:variant>
      <vt:variant>
        <vt:lpwstr/>
      </vt:variant>
      <vt:variant>
        <vt:i4>7602292</vt:i4>
      </vt:variant>
      <vt:variant>
        <vt:i4>75</vt:i4>
      </vt:variant>
      <vt:variant>
        <vt:i4>0</vt:i4>
      </vt:variant>
      <vt:variant>
        <vt:i4>5</vt:i4>
      </vt:variant>
      <vt:variant>
        <vt:lpwstr>https://doi.org/10.3233/JVR-170862</vt:lpwstr>
      </vt:variant>
      <vt:variant>
        <vt:lpwstr/>
      </vt:variant>
      <vt:variant>
        <vt:i4>7733360</vt:i4>
      </vt:variant>
      <vt:variant>
        <vt:i4>72</vt:i4>
      </vt:variant>
      <vt:variant>
        <vt:i4>0</vt:i4>
      </vt:variant>
      <vt:variant>
        <vt:i4>5</vt:i4>
      </vt:variant>
      <vt:variant>
        <vt:lpwstr>https://doi.org/10.3233/JVR-170921</vt:lpwstr>
      </vt:variant>
      <vt:variant>
        <vt:lpwstr/>
      </vt:variant>
      <vt:variant>
        <vt:i4>7602281</vt:i4>
      </vt:variant>
      <vt:variant>
        <vt:i4>69</vt:i4>
      </vt:variant>
      <vt:variant>
        <vt:i4>0</vt:i4>
      </vt:variant>
      <vt:variant>
        <vt:i4>5</vt:i4>
      </vt:variant>
      <vt:variant>
        <vt:lpwstr>https://doi.org/10.3233/jvr-2007-00359</vt:lpwstr>
      </vt:variant>
      <vt:variant>
        <vt:lpwstr/>
      </vt:variant>
      <vt:variant>
        <vt:i4>131099</vt:i4>
      </vt:variant>
      <vt:variant>
        <vt:i4>66</vt:i4>
      </vt:variant>
      <vt:variant>
        <vt:i4>0</vt:i4>
      </vt:variant>
      <vt:variant>
        <vt:i4>5</vt:i4>
      </vt:variant>
      <vt:variant>
        <vt:lpwstr>https://doi.org/10.1007/s10926-009-9225-9</vt:lpwstr>
      </vt:variant>
      <vt:variant>
        <vt:lpwstr/>
      </vt:variant>
      <vt:variant>
        <vt:i4>5242971</vt:i4>
      </vt:variant>
      <vt:variant>
        <vt:i4>63</vt:i4>
      </vt:variant>
      <vt:variant>
        <vt:i4>0</vt:i4>
      </vt:variant>
      <vt:variant>
        <vt:i4>5</vt:i4>
      </vt:variant>
      <vt:variant>
        <vt:lpwstr>https://doi.org/10.18291/njwls.147335</vt:lpwstr>
      </vt:variant>
      <vt:variant>
        <vt:lpwstr/>
      </vt:variant>
      <vt:variant>
        <vt:i4>1245271</vt:i4>
      </vt:variant>
      <vt:variant>
        <vt:i4>60</vt:i4>
      </vt:variant>
      <vt:variant>
        <vt:i4>0</vt:i4>
      </vt:variant>
      <vt:variant>
        <vt:i4>5</vt:i4>
      </vt:variant>
      <vt:variant>
        <vt:lpwstr>https://doi.org/10.1177/10519815251335786</vt:lpwstr>
      </vt:variant>
      <vt:variant>
        <vt:lpwstr/>
      </vt:variant>
      <vt:variant>
        <vt:i4>1376278</vt:i4>
      </vt:variant>
      <vt:variant>
        <vt:i4>57</vt:i4>
      </vt:variant>
      <vt:variant>
        <vt:i4>0</vt:i4>
      </vt:variant>
      <vt:variant>
        <vt:i4>5</vt:i4>
      </vt:variant>
      <vt:variant>
        <vt:lpwstr>https://doi.org/10.1017/S0047279418000491</vt:lpwstr>
      </vt:variant>
      <vt:variant>
        <vt:lpwstr/>
      </vt:variant>
      <vt:variant>
        <vt:i4>5898332</vt:i4>
      </vt:variant>
      <vt:variant>
        <vt:i4>54</vt:i4>
      </vt:variant>
      <vt:variant>
        <vt:i4>0</vt:i4>
      </vt:variant>
      <vt:variant>
        <vt:i4>5</vt:i4>
      </vt:variant>
      <vt:variant>
        <vt:lpwstr>https://doi.org/10.18291/njwls.128260</vt:lpwstr>
      </vt:variant>
      <vt:variant>
        <vt:lpwstr/>
      </vt:variant>
      <vt:variant>
        <vt:i4>1114195</vt:i4>
      </vt:variant>
      <vt:variant>
        <vt:i4>51</vt:i4>
      </vt:variant>
      <vt:variant>
        <vt:i4>0</vt:i4>
      </vt:variant>
      <vt:variant>
        <vt:i4>5</vt:i4>
      </vt:variant>
      <vt:variant>
        <vt:lpwstr>https://doi.org/10.1177/10519815251357580</vt:lpwstr>
      </vt:variant>
      <vt:variant>
        <vt:lpwstr/>
      </vt:variant>
      <vt:variant>
        <vt:i4>3473508</vt:i4>
      </vt:variant>
      <vt:variant>
        <vt:i4>48</vt:i4>
      </vt:variant>
      <vt:variant>
        <vt:i4>0</vt:i4>
      </vt:variant>
      <vt:variant>
        <vt:i4>5</vt:i4>
      </vt:variant>
      <vt:variant>
        <vt:lpwstr>https://doi.org/10.1016/j.socscimed.2024.116742</vt:lpwstr>
      </vt:variant>
      <vt:variant>
        <vt:lpwstr/>
      </vt:variant>
      <vt:variant>
        <vt:i4>262223</vt:i4>
      </vt:variant>
      <vt:variant>
        <vt:i4>45</vt:i4>
      </vt:variant>
      <vt:variant>
        <vt:i4>0</vt:i4>
      </vt:variant>
      <vt:variant>
        <vt:i4>5</vt:i4>
      </vt:variant>
      <vt:variant>
        <vt:lpwstr>https://doi.org/10.1080/09638288.2023.2181411</vt:lpwstr>
      </vt:variant>
      <vt:variant>
        <vt:lpwstr/>
      </vt:variant>
      <vt:variant>
        <vt:i4>262223</vt:i4>
      </vt:variant>
      <vt:variant>
        <vt:i4>42</vt:i4>
      </vt:variant>
      <vt:variant>
        <vt:i4>0</vt:i4>
      </vt:variant>
      <vt:variant>
        <vt:i4>5</vt:i4>
      </vt:variant>
      <vt:variant>
        <vt:lpwstr>https://doi.org/10.1080/09638288.2023.2181411</vt:lpwstr>
      </vt:variant>
      <vt:variant>
        <vt:lpwstr/>
      </vt:variant>
      <vt:variant>
        <vt:i4>2162744</vt:i4>
      </vt:variant>
      <vt:variant>
        <vt:i4>39</vt:i4>
      </vt:variant>
      <vt:variant>
        <vt:i4>0</vt:i4>
      </vt:variant>
      <vt:variant>
        <vt:i4>5</vt:i4>
      </vt:variant>
      <vt:variant>
        <vt:lpwstr>https://doi.org/10.1007/s10551-022-05095-0</vt:lpwstr>
      </vt:variant>
      <vt:variant>
        <vt:lpwstr/>
      </vt:variant>
      <vt:variant>
        <vt:i4>2687093</vt:i4>
      </vt:variant>
      <vt:variant>
        <vt:i4>36</vt:i4>
      </vt:variant>
      <vt:variant>
        <vt:i4>0</vt:i4>
      </vt:variant>
      <vt:variant>
        <vt:i4>5</vt:i4>
      </vt:variant>
      <vt:variant>
        <vt:lpwstr>https://doi.org/10.1111/asap.12138</vt:lpwstr>
      </vt:variant>
      <vt:variant>
        <vt:lpwstr/>
      </vt:variant>
      <vt:variant>
        <vt:i4>786461</vt:i4>
      </vt:variant>
      <vt:variant>
        <vt:i4>33</vt:i4>
      </vt:variant>
      <vt:variant>
        <vt:i4>0</vt:i4>
      </vt:variant>
      <vt:variant>
        <vt:i4>5</vt:i4>
      </vt:variant>
      <vt:variant>
        <vt:lpwstr>https://doi.org/10.1007/s10926-010-9252-6</vt:lpwstr>
      </vt:variant>
      <vt:variant>
        <vt:lpwstr/>
      </vt:variant>
      <vt:variant>
        <vt:i4>851996</vt:i4>
      </vt:variant>
      <vt:variant>
        <vt:i4>30</vt:i4>
      </vt:variant>
      <vt:variant>
        <vt:i4>0</vt:i4>
      </vt:variant>
      <vt:variant>
        <vt:i4>5</vt:i4>
      </vt:variant>
      <vt:variant>
        <vt:lpwstr>https://doi.org/10.1007/s10926-010-9243-7</vt:lpwstr>
      </vt:variant>
      <vt:variant>
        <vt:lpwstr/>
      </vt:variant>
      <vt:variant>
        <vt:i4>1769557</vt:i4>
      </vt:variant>
      <vt:variant>
        <vt:i4>27</vt:i4>
      </vt:variant>
      <vt:variant>
        <vt:i4>0</vt:i4>
      </vt:variant>
      <vt:variant>
        <vt:i4>5</vt:i4>
      </vt:variant>
      <vt:variant>
        <vt:lpwstr>https://doi.org/10.1177/0885728809344590</vt:lpwstr>
      </vt:variant>
      <vt:variant>
        <vt:lpwstr/>
      </vt:variant>
      <vt:variant>
        <vt:i4>7667826</vt:i4>
      </vt:variant>
      <vt:variant>
        <vt:i4>24</vt:i4>
      </vt:variant>
      <vt:variant>
        <vt:i4>0</vt:i4>
      </vt:variant>
      <vt:variant>
        <vt:i4>5</vt:i4>
      </vt:variant>
      <vt:variant>
        <vt:lpwstr>https://doi.org/10.3233/JVR-191015</vt:lpwstr>
      </vt:variant>
      <vt:variant>
        <vt:lpwstr/>
      </vt:variant>
      <vt:variant>
        <vt:i4>8323193</vt:i4>
      </vt:variant>
      <vt:variant>
        <vt:i4>21</vt:i4>
      </vt:variant>
      <vt:variant>
        <vt:i4>0</vt:i4>
      </vt:variant>
      <vt:variant>
        <vt:i4>5</vt:i4>
      </vt:variant>
      <vt:variant>
        <vt:lpwstr>https://doi.org/10.1017/jrc.2013.2</vt:lpwstr>
      </vt:variant>
      <vt:variant>
        <vt:lpwstr/>
      </vt:variant>
      <vt:variant>
        <vt:i4>1900636</vt:i4>
      </vt:variant>
      <vt:variant>
        <vt:i4>18</vt:i4>
      </vt:variant>
      <vt:variant>
        <vt:i4>0</vt:i4>
      </vt:variant>
      <vt:variant>
        <vt:i4>5</vt:i4>
      </vt:variant>
      <vt:variant>
        <vt:lpwstr>https://doi.org/10.1177/10522263251413286</vt:lpwstr>
      </vt:variant>
      <vt:variant>
        <vt:lpwstr/>
      </vt:variant>
      <vt:variant>
        <vt:i4>1638483</vt:i4>
      </vt:variant>
      <vt:variant>
        <vt:i4>15</vt:i4>
      </vt:variant>
      <vt:variant>
        <vt:i4>0</vt:i4>
      </vt:variant>
      <vt:variant>
        <vt:i4>5</vt:i4>
      </vt:variant>
      <vt:variant>
        <vt:lpwstr>https://doi.org/10.1177/10519815251320275</vt:lpwstr>
      </vt:variant>
      <vt:variant>
        <vt:lpwstr/>
      </vt:variant>
      <vt:variant>
        <vt:i4>1114131</vt:i4>
      </vt:variant>
      <vt:variant>
        <vt:i4>12</vt:i4>
      </vt:variant>
      <vt:variant>
        <vt:i4>0</vt:i4>
      </vt:variant>
      <vt:variant>
        <vt:i4>5</vt:i4>
      </vt:variant>
      <vt:variant>
        <vt:lpwstr>https://doi.org/10.1017/S1474746425100870</vt:lpwstr>
      </vt:variant>
      <vt:variant>
        <vt:lpwstr/>
      </vt:variant>
      <vt:variant>
        <vt:i4>6488176</vt:i4>
      </vt:variant>
      <vt:variant>
        <vt:i4>9</vt:i4>
      </vt:variant>
      <vt:variant>
        <vt:i4>0</vt:i4>
      </vt:variant>
      <vt:variant>
        <vt:i4>5</vt:i4>
      </vt:variant>
      <vt:variant>
        <vt:lpwstr>https://doi.org/10.1037/prj0000574</vt:lpwstr>
      </vt:variant>
      <vt:variant>
        <vt:lpwstr/>
      </vt:variant>
      <vt:variant>
        <vt:i4>1114199</vt:i4>
      </vt:variant>
      <vt:variant>
        <vt:i4>6</vt:i4>
      </vt:variant>
      <vt:variant>
        <vt:i4>0</vt:i4>
      </vt:variant>
      <vt:variant>
        <vt:i4>5</vt:i4>
      </vt:variant>
      <vt:variant>
        <vt:lpwstr>https://doi.org/10.1177/10522263241300813</vt:lpwstr>
      </vt:variant>
      <vt:variant>
        <vt:lpwstr/>
      </vt:variant>
      <vt:variant>
        <vt:i4>720975</vt:i4>
      </vt:variant>
      <vt:variant>
        <vt:i4>3</vt:i4>
      </vt:variant>
      <vt:variant>
        <vt:i4>0</vt:i4>
      </vt:variant>
      <vt:variant>
        <vt:i4>5</vt:i4>
      </vt:variant>
      <vt:variant>
        <vt:lpwstr>https://doi.org/10.1080/09585192.2015.1128466</vt:lpwstr>
      </vt:variant>
      <vt:variant>
        <vt:lpwstr/>
      </vt:variant>
      <vt:variant>
        <vt:i4>1835039</vt:i4>
      </vt:variant>
      <vt:variant>
        <vt:i4>0</vt:i4>
      </vt:variant>
      <vt:variant>
        <vt:i4>0</vt:i4>
      </vt:variant>
      <vt:variant>
        <vt:i4>5</vt:i4>
      </vt:variant>
      <vt:variant>
        <vt:lpwstr>https://doi.org/10.1017/S0047279425000030</vt:lpwstr>
      </vt:variant>
      <vt:variant>
        <vt:lpwstr/>
      </vt:variant>
      <vt:variant>
        <vt:i4>8323073</vt:i4>
      </vt:variant>
      <vt:variant>
        <vt:i4>48</vt:i4>
      </vt:variant>
      <vt:variant>
        <vt:i4>0</vt:i4>
      </vt:variant>
      <vt:variant>
        <vt:i4>5</vt:i4>
      </vt:variant>
      <vt:variant>
        <vt:lpwstr>mailto:qilee@acu.edu.au</vt:lpwstr>
      </vt:variant>
      <vt:variant>
        <vt:lpwstr/>
      </vt:variant>
      <vt:variant>
        <vt:i4>8323073</vt:i4>
      </vt:variant>
      <vt:variant>
        <vt:i4>45</vt:i4>
      </vt:variant>
      <vt:variant>
        <vt:i4>0</vt:i4>
      </vt:variant>
      <vt:variant>
        <vt:i4>5</vt:i4>
      </vt:variant>
      <vt:variant>
        <vt:lpwstr>mailto:qilee@acu.edu.au</vt:lpwstr>
      </vt:variant>
      <vt:variant>
        <vt:lpwstr/>
      </vt:variant>
      <vt:variant>
        <vt:i4>589940</vt:i4>
      </vt:variant>
      <vt:variant>
        <vt:i4>42</vt:i4>
      </vt:variant>
      <vt:variant>
        <vt:i4>0</vt:i4>
      </vt:variant>
      <vt:variant>
        <vt:i4>5</vt:i4>
      </vt:variant>
      <vt:variant>
        <vt:lpwstr>mailto:irdonmanige@acu.edu.au</vt:lpwstr>
      </vt:variant>
      <vt:variant>
        <vt:lpwstr/>
      </vt:variant>
      <vt:variant>
        <vt:i4>8323073</vt:i4>
      </vt:variant>
      <vt:variant>
        <vt:i4>39</vt:i4>
      </vt:variant>
      <vt:variant>
        <vt:i4>0</vt:i4>
      </vt:variant>
      <vt:variant>
        <vt:i4>5</vt:i4>
      </vt:variant>
      <vt:variant>
        <vt:lpwstr>mailto:qilee@acu.edu.au</vt:lpwstr>
      </vt:variant>
      <vt:variant>
        <vt:lpwstr/>
      </vt:variant>
      <vt:variant>
        <vt:i4>5767205</vt:i4>
      </vt:variant>
      <vt:variant>
        <vt:i4>36</vt:i4>
      </vt:variant>
      <vt:variant>
        <vt:i4>0</vt:i4>
      </vt:variant>
      <vt:variant>
        <vt:i4>5</vt:i4>
      </vt:variant>
      <vt:variant>
        <vt:lpwstr>mailto:joingold@acu.edu.au</vt:lpwstr>
      </vt:variant>
      <vt:variant>
        <vt:lpwstr/>
      </vt:variant>
      <vt:variant>
        <vt:i4>589940</vt:i4>
      </vt:variant>
      <vt:variant>
        <vt:i4>33</vt:i4>
      </vt:variant>
      <vt:variant>
        <vt:i4>0</vt:i4>
      </vt:variant>
      <vt:variant>
        <vt:i4>5</vt:i4>
      </vt:variant>
      <vt:variant>
        <vt:lpwstr>mailto:irdonmanige@acu.edu.au</vt:lpwstr>
      </vt:variant>
      <vt:variant>
        <vt:lpwstr/>
      </vt:variant>
      <vt:variant>
        <vt:i4>589940</vt:i4>
      </vt:variant>
      <vt:variant>
        <vt:i4>30</vt:i4>
      </vt:variant>
      <vt:variant>
        <vt:i4>0</vt:i4>
      </vt:variant>
      <vt:variant>
        <vt:i4>5</vt:i4>
      </vt:variant>
      <vt:variant>
        <vt:lpwstr>mailto:irdonmanige@acu.edu.au</vt:lpwstr>
      </vt:variant>
      <vt:variant>
        <vt:lpwstr/>
      </vt:variant>
      <vt:variant>
        <vt:i4>5767205</vt:i4>
      </vt:variant>
      <vt:variant>
        <vt:i4>27</vt:i4>
      </vt:variant>
      <vt:variant>
        <vt:i4>0</vt:i4>
      </vt:variant>
      <vt:variant>
        <vt:i4>5</vt:i4>
      </vt:variant>
      <vt:variant>
        <vt:lpwstr>mailto:joingold@acu.edu.au</vt:lpwstr>
      </vt:variant>
      <vt:variant>
        <vt:lpwstr/>
      </vt:variant>
      <vt:variant>
        <vt:i4>8323073</vt:i4>
      </vt:variant>
      <vt:variant>
        <vt:i4>24</vt:i4>
      </vt:variant>
      <vt:variant>
        <vt:i4>0</vt:i4>
      </vt:variant>
      <vt:variant>
        <vt:i4>5</vt:i4>
      </vt:variant>
      <vt:variant>
        <vt:lpwstr>mailto:qilee@acu.edu.au</vt:lpwstr>
      </vt:variant>
      <vt:variant>
        <vt:lpwstr/>
      </vt:variant>
      <vt:variant>
        <vt:i4>5767205</vt:i4>
      </vt:variant>
      <vt:variant>
        <vt:i4>21</vt:i4>
      </vt:variant>
      <vt:variant>
        <vt:i4>0</vt:i4>
      </vt:variant>
      <vt:variant>
        <vt:i4>5</vt:i4>
      </vt:variant>
      <vt:variant>
        <vt:lpwstr>mailto:joingold@acu.edu.au</vt:lpwstr>
      </vt:variant>
      <vt:variant>
        <vt:lpwstr/>
      </vt:variant>
      <vt:variant>
        <vt:i4>8323073</vt:i4>
      </vt:variant>
      <vt:variant>
        <vt:i4>18</vt:i4>
      </vt:variant>
      <vt:variant>
        <vt:i4>0</vt:i4>
      </vt:variant>
      <vt:variant>
        <vt:i4>5</vt:i4>
      </vt:variant>
      <vt:variant>
        <vt:lpwstr>mailto:qilee@acu.edu.au</vt:lpwstr>
      </vt:variant>
      <vt:variant>
        <vt:lpwstr/>
      </vt:variant>
      <vt:variant>
        <vt:i4>8323073</vt:i4>
      </vt:variant>
      <vt:variant>
        <vt:i4>15</vt:i4>
      </vt:variant>
      <vt:variant>
        <vt:i4>0</vt:i4>
      </vt:variant>
      <vt:variant>
        <vt:i4>5</vt:i4>
      </vt:variant>
      <vt:variant>
        <vt:lpwstr>mailto:qilee@acu.edu.au</vt:lpwstr>
      </vt:variant>
      <vt:variant>
        <vt:lpwstr/>
      </vt:variant>
      <vt:variant>
        <vt:i4>8323073</vt:i4>
      </vt:variant>
      <vt:variant>
        <vt:i4>12</vt:i4>
      </vt:variant>
      <vt:variant>
        <vt:i4>0</vt:i4>
      </vt:variant>
      <vt:variant>
        <vt:i4>5</vt:i4>
      </vt:variant>
      <vt:variant>
        <vt:lpwstr>mailto:qilee@acu.edu.au</vt:lpwstr>
      </vt:variant>
      <vt:variant>
        <vt:lpwstr/>
      </vt:variant>
      <vt:variant>
        <vt:i4>8323073</vt:i4>
      </vt:variant>
      <vt:variant>
        <vt:i4>9</vt:i4>
      </vt:variant>
      <vt:variant>
        <vt:i4>0</vt:i4>
      </vt:variant>
      <vt:variant>
        <vt:i4>5</vt:i4>
      </vt:variant>
      <vt:variant>
        <vt:lpwstr>mailto:qilee@acu.edu.au</vt:lpwstr>
      </vt:variant>
      <vt:variant>
        <vt:lpwstr/>
      </vt:variant>
      <vt:variant>
        <vt:i4>589940</vt:i4>
      </vt:variant>
      <vt:variant>
        <vt:i4>6</vt:i4>
      </vt:variant>
      <vt:variant>
        <vt:i4>0</vt:i4>
      </vt:variant>
      <vt:variant>
        <vt:i4>5</vt:i4>
      </vt:variant>
      <vt:variant>
        <vt:lpwstr>mailto:irdonmanige@acu.edu.au</vt:lpwstr>
      </vt:variant>
      <vt:variant>
        <vt:lpwstr/>
      </vt:variant>
      <vt:variant>
        <vt:i4>589940</vt:i4>
      </vt:variant>
      <vt:variant>
        <vt:i4>3</vt:i4>
      </vt:variant>
      <vt:variant>
        <vt:i4>0</vt:i4>
      </vt:variant>
      <vt:variant>
        <vt:i4>5</vt:i4>
      </vt:variant>
      <vt:variant>
        <vt:lpwstr>mailto:irdonmanige@acu.edu.au</vt:lpwstr>
      </vt:variant>
      <vt:variant>
        <vt:lpwstr/>
      </vt:variant>
      <vt:variant>
        <vt:i4>589940</vt:i4>
      </vt:variant>
      <vt:variant>
        <vt:i4>0</vt:i4>
      </vt:variant>
      <vt:variant>
        <vt:i4>0</vt:i4>
      </vt:variant>
      <vt:variant>
        <vt:i4>5</vt:i4>
      </vt:variant>
      <vt:variant>
        <vt:lpwstr>mailto:irdonmanige@acu.edu.au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Anderson</dc:creator>
  <cp:keywords>[SEC=OFFICIAL]</cp:keywords>
  <dc:description/>
  <cp:lastModifiedBy>Julie Anderson</cp:lastModifiedBy>
  <cp:revision>76</cp:revision>
  <cp:lastPrinted>2026-04-07T02:31:00Z</cp:lastPrinted>
  <dcterms:created xsi:type="dcterms:W3CDTF">2026-06-11T01:22:00Z</dcterms:created>
  <dcterms:modified xsi:type="dcterms:W3CDTF">2026-06-17T02:46:00Z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ClassificationContentMarkingHeaderShapeIds">
    <vt:lpwstr>28279b61,47c7ab86,32d2966d</vt:lpwstr>
  </property>
  <property fmtid="{D5CDD505-2E9C-101B-9397-08002B2CF9AE}" pid="41" name="ClassificationContentMarkingHeaderFontProps">
    <vt:lpwstr>#000000,12,Calibri</vt:lpwstr>
  </property>
  <property fmtid="{D5CDD505-2E9C-101B-9397-08002B2CF9AE}" pid="42" name="ClassificationContentMarkingHeaderText">
    <vt:lpwstr>Internal</vt:lpwstr>
  </property>
  <property fmtid="{D5CDD505-2E9C-101B-9397-08002B2CF9AE}" pid="43" name="docLang">
    <vt:lpwstr>en</vt:lpwstr>
  </property>
</Properties>
</file>