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1803" w14:textId="4A409269" w:rsidR="003C481E" w:rsidRDefault="003C481E" w:rsidP="009F3CE2">
      <w:pPr>
        <w:pStyle w:val="Title"/>
      </w:pPr>
      <w:bookmarkStart w:id="1" w:name="_Toc167875311"/>
      <w:bookmarkStart w:id="2" w:name="_Toc192155912"/>
    </w:p>
    <w:p w14:paraId="6A6BF013" w14:textId="77777777" w:rsidR="003C481E" w:rsidRDefault="003C481E" w:rsidP="009F3CE2">
      <w:pPr>
        <w:pStyle w:val="Title"/>
      </w:pPr>
    </w:p>
    <w:p w14:paraId="087C5160" w14:textId="3087F26C" w:rsidR="00E503E5" w:rsidRDefault="00E503E5" w:rsidP="009F3CE2">
      <w:pPr>
        <w:pStyle w:val="Title"/>
        <w:rPr>
          <w:color w:val="65328F"/>
          <w:kern w:val="2"/>
          <w:szCs w:val="64"/>
          <w:lang w:eastAsia="en-AU"/>
          <w14:ligatures w14:val="standardContextual"/>
        </w:rPr>
      </w:pPr>
      <w:r>
        <w:t>Engaging employers to increase the employment of people with disability in Australia</w:t>
      </w:r>
    </w:p>
    <w:p w14:paraId="20BB09A4" w14:textId="77777777" w:rsidR="00503371" w:rsidRDefault="00503371" w:rsidP="009F3CE2">
      <w:pPr>
        <w:pStyle w:val="Subtitle"/>
      </w:pPr>
    </w:p>
    <w:p w14:paraId="3045ED52" w14:textId="57277B89" w:rsidR="00E503E5" w:rsidRDefault="00E503E5" w:rsidP="009F3CE2">
      <w:pPr>
        <w:pStyle w:val="Subtitle"/>
        <w:rPr>
          <w:kern w:val="2"/>
          <w:szCs w:val="32"/>
          <w:lang w:eastAsia="en-AU"/>
          <w14:ligatures w14:val="standardContextual"/>
        </w:rPr>
      </w:pPr>
      <w:r>
        <w:t>Evidence Synthesis Report</w:t>
      </w:r>
    </w:p>
    <w:p w14:paraId="04C74B88" w14:textId="77777777" w:rsidR="00503371" w:rsidRDefault="00503371" w:rsidP="009F3CE2"/>
    <w:p w14:paraId="35CD64BE" w14:textId="77777777" w:rsidR="00503371" w:rsidRDefault="00503371" w:rsidP="009F3CE2"/>
    <w:p w14:paraId="1618991E" w14:textId="77777777" w:rsidR="00503371" w:rsidRDefault="00503371" w:rsidP="009F3CE2"/>
    <w:p w14:paraId="2A305B56" w14:textId="77777777" w:rsidR="00503371" w:rsidRDefault="00503371" w:rsidP="009F3CE2"/>
    <w:p w14:paraId="7D19D93F" w14:textId="77777777" w:rsidR="00503371" w:rsidRDefault="00503371" w:rsidP="009F3CE2"/>
    <w:p w14:paraId="7C1636C1" w14:textId="77777777" w:rsidR="00503371" w:rsidRDefault="00503371" w:rsidP="009F3CE2"/>
    <w:p w14:paraId="3CE4CFA2" w14:textId="63B04364" w:rsidR="46A3A07B" w:rsidRPr="00726D9F" w:rsidRDefault="796DCCFD" w:rsidP="009F3CE2">
      <w:r w:rsidRPr="00726D9F">
        <w:t>Professor Jo Ingold, Dr Qian Yi Lee and Dr Iresha Donmanige</w:t>
      </w:r>
    </w:p>
    <w:p w14:paraId="79949260" w14:textId="2E08D1F9" w:rsidR="00626A6E" w:rsidRPr="00726D9F" w:rsidRDefault="003D2610" w:rsidP="009F3CE2">
      <w:r>
        <w:t>April</w:t>
      </w:r>
      <w:r w:rsidRPr="00726D9F">
        <w:t xml:space="preserve"> </w:t>
      </w:r>
      <w:r w:rsidR="19CBD16F" w:rsidRPr="00726D9F">
        <w:t>2026</w:t>
      </w:r>
    </w:p>
    <w:p w14:paraId="2A685E33" w14:textId="77777777" w:rsidR="00626A6E" w:rsidRPr="00726D9F" w:rsidRDefault="00626A6E" w:rsidP="009F3CE2">
      <w:pPr>
        <w:sectPr w:rsidR="00626A6E" w:rsidRPr="00726D9F" w:rsidSect="00BF416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454" w:footer="0" w:gutter="0"/>
          <w:cols w:space="708"/>
          <w:titlePg/>
          <w:docGrid w:linePitch="360"/>
        </w:sectPr>
      </w:pPr>
    </w:p>
    <w:p w14:paraId="067D8CC7" w14:textId="20126BFE" w:rsidR="00C27763" w:rsidRPr="00B97AA0" w:rsidRDefault="00136A74" w:rsidP="009F3CE2">
      <w:pPr>
        <w:pStyle w:val="BodyText"/>
        <w:rPr>
          <w:b/>
          <w:bCs/>
        </w:rPr>
      </w:pPr>
      <w:r w:rsidRPr="00B97AA0">
        <w:rPr>
          <w:b/>
          <w:bCs/>
        </w:rPr>
        <w:lastRenderedPageBreak/>
        <w:t xml:space="preserve">Acknowledgement of Country  </w:t>
      </w:r>
    </w:p>
    <w:p w14:paraId="5548D7EB" w14:textId="77777777" w:rsidR="00B976EF" w:rsidRDefault="368868B2" w:rsidP="009F3CE2">
      <w:r w:rsidRPr="00726D9F">
        <w:t>We respectfully acknowledge the Wurundjeri People of the Kulin Nation, who are the Traditional Owners of the land on which Centre for Inclusive Employment</w:t>
      </w:r>
      <w:r w:rsidR="3689CC9A" w:rsidRPr="00726D9F">
        <w:t xml:space="preserve"> </w:t>
      </w:r>
      <w:r w:rsidRPr="00726D9F">
        <w:t xml:space="preserve">is located, in Melbourne’s east and outer-east, and pay our respect to their Elders past and present. We are honoured to recognise our connection to Wurundjeri Country, history, culture, and spirituality through these locations, and strive to ensure that we operate in a manner that respects and honours the Elders and Ancestors of these lands. We also respectfully acknowledge Swinburne’s Aboriginal and Torres Strait Islander staff, students, alumni, </w:t>
      </w:r>
      <w:r w:rsidR="001B499E">
        <w:t>partners and visitors.</w:t>
      </w:r>
    </w:p>
    <w:p w14:paraId="4EE60690" w14:textId="5C5C201D" w:rsidR="005435A6" w:rsidRPr="00726D9F" w:rsidRDefault="005435A6" w:rsidP="009F3CE2">
      <w:r w:rsidRPr="00726D9F">
        <w:t>We also acknowledge and respect the Traditional Owners of lands across Australia, their Elders, Ancestors, cultures, and heritage, and recognise the continuing sovereignties of all Aboriginal and Torres Strait Islander Nations. </w:t>
      </w:r>
    </w:p>
    <w:p w14:paraId="21F999C8" w14:textId="62862C1C" w:rsidR="00ED3B8C" w:rsidRDefault="00F877AE" w:rsidP="009F3CE2">
      <w:r w:rsidRPr="00726D9F">
        <w:t xml:space="preserve">This evidence synthesis was commissioned by the Centre for Inclusive Employment on behalf of the Department of Social Services. </w:t>
      </w:r>
    </w:p>
    <w:p w14:paraId="56935A69" w14:textId="3E23867B" w:rsidR="00ED3B8C" w:rsidRPr="00B976EF" w:rsidRDefault="00DA6AA4" w:rsidP="009F3CE2">
      <w:pPr>
        <w:rPr>
          <w:b/>
          <w:bCs/>
        </w:rPr>
      </w:pPr>
      <w:r w:rsidRPr="00B976EF">
        <w:rPr>
          <w:b/>
          <w:bCs/>
        </w:rPr>
        <w:t>This report was prepared by:</w:t>
      </w:r>
    </w:p>
    <w:p w14:paraId="787EA380" w14:textId="77777777" w:rsidR="00EB49FA" w:rsidRPr="00726D9F" w:rsidRDefault="65EB2109" w:rsidP="009F3CE2">
      <w:r w:rsidRPr="00726D9F">
        <w:t>Professor Jo Ingold, Dr Qian Yi Lee and Dr Iresha Donmanige</w:t>
      </w:r>
    </w:p>
    <w:p w14:paraId="692265DB" w14:textId="0ABD1F0E" w:rsidR="00ED3B8C" w:rsidRDefault="00724740" w:rsidP="009F3CE2">
      <w:r>
        <w:t>April</w:t>
      </w:r>
      <w:r w:rsidR="00EB49FA" w:rsidRPr="00726D9F">
        <w:t xml:space="preserve"> 2026</w:t>
      </w:r>
    </w:p>
    <w:p w14:paraId="422299EC" w14:textId="145D0B98" w:rsidR="007872B7" w:rsidRPr="00B976EF" w:rsidRDefault="00B844A6" w:rsidP="009F3CE2">
      <w:pPr>
        <w:rPr>
          <w:b/>
          <w:bCs/>
        </w:rPr>
      </w:pPr>
      <w:r w:rsidRPr="00B976EF">
        <w:rPr>
          <w:b/>
          <w:bCs/>
        </w:rPr>
        <w:t>Address for correspondence</w:t>
      </w:r>
      <w:r w:rsidR="00B976EF">
        <w:rPr>
          <w:b/>
          <w:bCs/>
        </w:rPr>
        <w:t>:</w:t>
      </w:r>
    </w:p>
    <w:p w14:paraId="1389C2F6" w14:textId="550A6EAA" w:rsidR="00ED3B8C" w:rsidRDefault="57B86D57" w:rsidP="009F3CE2">
      <w:r w:rsidRPr="00726D9F">
        <w:t>jo.ingold@acu.edu.acu</w:t>
      </w:r>
    </w:p>
    <w:p w14:paraId="69FAE5CF" w14:textId="2012C520" w:rsidR="00F370B4" w:rsidRPr="00B976EF" w:rsidRDefault="00690126" w:rsidP="009F3CE2">
      <w:pPr>
        <w:rPr>
          <w:b/>
          <w:bCs/>
        </w:rPr>
      </w:pPr>
      <w:r w:rsidRPr="00B976EF">
        <w:rPr>
          <w:b/>
          <w:bCs/>
        </w:rPr>
        <w:t>Suggested citation:</w:t>
      </w:r>
    </w:p>
    <w:p w14:paraId="051EAD68" w14:textId="6F7CCFE7" w:rsidR="00EE6578" w:rsidRPr="00FA6AC1" w:rsidRDefault="76D2B2B1" w:rsidP="009F3CE2">
      <w:pPr>
        <w:rPr>
          <w:b/>
          <w:i/>
          <w:iCs/>
        </w:rPr>
      </w:pPr>
      <w:r w:rsidRPr="00F370B4">
        <w:t>Ingold, J., Lee, Q.Y.</w:t>
      </w:r>
      <w:r w:rsidR="75F05B3A" w:rsidRPr="00F370B4">
        <w:t xml:space="preserve"> &amp; Donmanige, I. (2026)</w:t>
      </w:r>
      <w:r w:rsidR="16B13BBC" w:rsidRPr="00F370B4">
        <w:rPr>
          <w:i/>
          <w:iCs/>
        </w:rPr>
        <w:t xml:space="preserve"> </w:t>
      </w:r>
      <w:r w:rsidR="347DD749" w:rsidRPr="00F370B4">
        <w:t>Engag</w:t>
      </w:r>
      <w:r w:rsidR="39C88F64" w:rsidRPr="00F370B4">
        <w:t>ing</w:t>
      </w:r>
      <w:r w:rsidR="347DD749" w:rsidRPr="00F370B4">
        <w:t xml:space="preserve"> employers to </w:t>
      </w:r>
      <w:r w:rsidR="5704BD90" w:rsidRPr="00F370B4">
        <w:t>increase the employment of</w:t>
      </w:r>
      <w:r w:rsidR="5B6665CF" w:rsidRPr="00F370B4">
        <w:t xml:space="preserve"> </w:t>
      </w:r>
      <w:r w:rsidR="347DD749" w:rsidRPr="00F370B4">
        <w:t>people with disability in Australia</w:t>
      </w:r>
      <w:r w:rsidR="55A5CDDB" w:rsidRPr="00F370B4">
        <w:t>.</w:t>
      </w:r>
      <w:r w:rsidR="00B976EF">
        <w:t xml:space="preserve"> Evidence synthesis report</w:t>
      </w:r>
      <w:r w:rsidR="00FA6AC1">
        <w:t xml:space="preserve">. </w:t>
      </w:r>
      <w:r w:rsidR="55A5CDDB" w:rsidRPr="00F370B4">
        <w:t>Centre for Inclusive Em</w:t>
      </w:r>
      <w:r w:rsidR="569905AF" w:rsidRPr="00F370B4">
        <w:t>ployment</w:t>
      </w:r>
      <w:r w:rsidR="00FA6AC1">
        <w:t>.</w:t>
      </w:r>
      <w:r w:rsidR="0047177C">
        <w:t xml:space="preserve"> </w:t>
      </w:r>
      <w:r w:rsidR="0047177C" w:rsidRPr="0047177C">
        <w:rPr>
          <w:rStyle w:val="Hyperlink"/>
        </w:rPr>
        <w:t>https://doi.org/10.60836/1cn2-9610</w:t>
      </w:r>
    </w:p>
    <w:p w14:paraId="31BE759B" w14:textId="218EC205" w:rsidR="00BA18D2" w:rsidRPr="00726D9F" w:rsidRDefault="00BA18D2" w:rsidP="009F3CE2">
      <w:r w:rsidRPr="00FA6AC1">
        <w:rPr>
          <w:b/>
          <w:bCs/>
        </w:rPr>
        <w:t>Keywords:</w:t>
      </w:r>
      <w:r w:rsidR="008400B6" w:rsidRPr="00726D9F">
        <w:t xml:space="preserve"> employer engagement, employers, business, </w:t>
      </w:r>
      <w:r w:rsidR="00EB49FA" w:rsidRPr="00726D9F">
        <w:t>disability</w:t>
      </w:r>
    </w:p>
    <w:p w14:paraId="001DDF79" w14:textId="77777777" w:rsidR="00434DD2" w:rsidRPr="00CC47A4" w:rsidRDefault="00136A74" w:rsidP="00434DD2">
      <w:pPr>
        <w:widowControl/>
      </w:pPr>
      <w:r w:rsidRPr="00726D9F">
        <w:rPr>
          <w:b/>
          <w:bCs/>
        </w:rPr>
        <w:t xml:space="preserve">Disclaimer: </w:t>
      </w:r>
      <w:r w:rsidR="00434DD2">
        <w:t>This evidence synthesis was produced using a methodology commissioned by the Centre for Inclusive Employment.</w:t>
      </w:r>
    </w:p>
    <w:p w14:paraId="24F6E3D8" w14:textId="23F9BD30" w:rsidR="00ED3B8C" w:rsidRPr="00726D9F" w:rsidRDefault="00434DD2" w:rsidP="00434DD2">
      <w:pPr>
        <w:widowControl/>
      </w:pPr>
      <w:r>
        <w:t>The evidence was current at the time of production.</w:t>
      </w:r>
    </w:p>
    <w:p w14:paraId="085501DD" w14:textId="152B517D" w:rsidR="0F1867CF" w:rsidRDefault="0F1867CF" w:rsidP="0F1867CF">
      <w:pPr>
        <w:widowControl/>
      </w:pPr>
    </w:p>
    <w:p w14:paraId="137C3DD7" w14:textId="738F08B1" w:rsidR="00C0048A" w:rsidRPr="00726D9F" w:rsidRDefault="00F877AE" w:rsidP="009F3CE2">
      <w:pPr>
        <w:sectPr w:rsidR="00C0048A" w:rsidRPr="00726D9F" w:rsidSect="00503371">
          <w:pgSz w:w="11906" w:h="16838" w:code="9"/>
          <w:pgMar w:top="1134" w:right="1134" w:bottom="1134" w:left="1134" w:header="454" w:footer="0" w:gutter="0"/>
          <w:cols w:space="708"/>
          <w:docGrid w:linePitch="360"/>
        </w:sectPr>
      </w:pPr>
      <w:r w:rsidRPr="00434DD2">
        <w:rPr>
          <w:sz w:val="22"/>
          <w:szCs w:val="22"/>
        </w:rPr>
        <w:t xml:space="preserve">© Commonwealth of Australia </w:t>
      </w:r>
      <w:r w:rsidR="00EB49FA" w:rsidRPr="00434DD2">
        <w:rPr>
          <w:sz w:val="22"/>
          <w:szCs w:val="22"/>
        </w:rPr>
        <w:t>2026</w:t>
      </w:r>
      <w:r w:rsidR="005116E1" w:rsidRPr="00726D9F">
        <w:br w:type="page"/>
      </w:r>
    </w:p>
    <w:bookmarkStart w:id="3" w:name="_Toc223984031" w:displacedByCustomXml="next"/>
    <w:bookmarkStart w:id="4" w:name="_Toc201660915" w:displacedByCustomXml="next"/>
    <w:sdt>
      <w:sdtPr>
        <w:rPr>
          <w:rFonts w:ascii="Montserrat" w:hAnsi="Montserrat"/>
          <w:b/>
          <w:bCs/>
          <w:color w:val="7030A0"/>
          <w:sz w:val="44"/>
          <w:szCs w:val="44"/>
        </w:rPr>
        <w:id w:val="-1498038750"/>
        <w:docPartObj>
          <w:docPartGallery w:val="Table of Contents"/>
          <w:docPartUnique/>
        </w:docPartObj>
      </w:sdtPr>
      <w:sdtEndPr>
        <w:rPr>
          <w:b w:val="0"/>
          <w:bCs w:val="0"/>
          <w:noProof/>
          <w:color w:val="000000" w:themeColor="text1"/>
          <w:sz w:val="24"/>
          <w:szCs w:val="24"/>
        </w:rPr>
      </w:sdtEndPr>
      <w:sdtContent>
        <w:p w14:paraId="066CC366" w14:textId="04A9157A" w:rsidR="003F3B45" w:rsidRDefault="00756028" w:rsidP="009F3CE2">
          <w:pPr>
            <w:pStyle w:val="TOCHeading"/>
          </w:pPr>
          <w:proofErr w:type="spellStart"/>
          <w:r w:rsidRPr="00756028">
            <w:rPr>
              <w:rFonts w:ascii="Montserrat" w:hAnsi="Montserrat"/>
              <w:b/>
              <w:bCs/>
              <w:color w:val="7030A0"/>
              <w:sz w:val="44"/>
              <w:szCs w:val="44"/>
            </w:rPr>
            <w:t>Contents</w:t>
          </w:r>
          <w:r w:rsidR="003F3B45">
            <w:t>f</w:t>
          </w:r>
          <w:proofErr w:type="spellEnd"/>
          <w:r w:rsidR="003F3B45">
            <w:t xml:space="preserve"> Contents</w:t>
          </w:r>
        </w:p>
        <w:p w14:paraId="2D3803D0" w14:textId="72B72D36" w:rsidR="004646B3" w:rsidRPr="003351CF" w:rsidRDefault="004646B3">
          <w:pPr>
            <w:pStyle w:val="TOC1"/>
            <w:tabs>
              <w:tab w:val="right" w:leader="dot" w:pos="9628"/>
            </w:tabs>
            <w:rPr>
              <w:lang w:eastAsia="en-GB"/>
            </w:rPr>
          </w:pPr>
          <w:r w:rsidRPr="003351CF">
            <w:fldChar w:fldCharType="begin"/>
          </w:r>
          <w:r w:rsidRPr="003351CF">
            <w:instrText xml:space="preserve"> TOC \o "1-3" \h \z \u </w:instrText>
          </w:r>
          <w:r w:rsidRPr="003351CF">
            <w:fldChar w:fldCharType="separate"/>
          </w:r>
          <w:hyperlink w:anchor="_Toc232075424" w:history="1">
            <w:r w:rsidRPr="003351CF">
              <w:t>Acronyms and abbreviations used in this report</w:t>
            </w:r>
            <w:r w:rsidRPr="003351CF">
              <w:rPr>
                <w:webHidden/>
              </w:rPr>
              <w:tab/>
            </w:r>
            <w:r w:rsidRPr="003351CF">
              <w:rPr>
                <w:webHidden/>
              </w:rPr>
              <w:fldChar w:fldCharType="begin"/>
            </w:r>
            <w:r w:rsidRPr="003351CF">
              <w:rPr>
                <w:webHidden/>
              </w:rPr>
              <w:instrText xml:space="preserve"> PAGEREF _Toc232075424 \h </w:instrText>
            </w:r>
            <w:r w:rsidRPr="003351CF">
              <w:rPr>
                <w:webHidden/>
              </w:rPr>
            </w:r>
            <w:r w:rsidRPr="003351CF">
              <w:rPr>
                <w:webHidden/>
              </w:rPr>
              <w:fldChar w:fldCharType="separate"/>
            </w:r>
            <w:r w:rsidRPr="003351CF">
              <w:rPr>
                <w:webHidden/>
              </w:rPr>
              <w:t>5</w:t>
            </w:r>
            <w:r w:rsidRPr="003351CF">
              <w:rPr>
                <w:webHidden/>
              </w:rPr>
              <w:fldChar w:fldCharType="end"/>
            </w:r>
          </w:hyperlink>
        </w:p>
        <w:p w14:paraId="58F70C11" w14:textId="74BB14EA" w:rsidR="004646B3" w:rsidRPr="003351CF" w:rsidRDefault="004646B3">
          <w:pPr>
            <w:pStyle w:val="TOC1"/>
            <w:tabs>
              <w:tab w:val="right" w:leader="dot" w:pos="9628"/>
            </w:tabs>
            <w:rPr>
              <w:lang w:eastAsia="en-GB"/>
            </w:rPr>
          </w:pPr>
          <w:hyperlink w:anchor="_Toc232075425" w:history="1">
            <w:r w:rsidRPr="003351CF">
              <w:t>Executive summary</w:t>
            </w:r>
            <w:r w:rsidRPr="003351CF">
              <w:rPr>
                <w:webHidden/>
              </w:rPr>
              <w:tab/>
            </w:r>
            <w:r w:rsidRPr="003351CF">
              <w:rPr>
                <w:webHidden/>
              </w:rPr>
              <w:fldChar w:fldCharType="begin"/>
            </w:r>
            <w:r w:rsidRPr="003351CF">
              <w:rPr>
                <w:webHidden/>
              </w:rPr>
              <w:instrText xml:space="preserve"> PAGEREF _Toc232075425 \h </w:instrText>
            </w:r>
            <w:r w:rsidRPr="003351CF">
              <w:rPr>
                <w:webHidden/>
              </w:rPr>
            </w:r>
            <w:r w:rsidRPr="003351CF">
              <w:rPr>
                <w:webHidden/>
              </w:rPr>
              <w:fldChar w:fldCharType="separate"/>
            </w:r>
            <w:r w:rsidRPr="003351CF">
              <w:rPr>
                <w:webHidden/>
              </w:rPr>
              <w:t>6</w:t>
            </w:r>
            <w:r w:rsidRPr="003351CF">
              <w:rPr>
                <w:webHidden/>
              </w:rPr>
              <w:fldChar w:fldCharType="end"/>
            </w:r>
          </w:hyperlink>
        </w:p>
        <w:p w14:paraId="1896C949" w14:textId="4D92978E" w:rsidR="004646B3" w:rsidRPr="003351CF" w:rsidRDefault="004646B3">
          <w:pPr>
            <w:pStyle w:val="TOC2"/>
            <w:tabs>
              <w:tab w:val="right" w:leader="dot" w:pos="9628"/>
            </w:tabs>
            <w:rPr>
              <w:lang w:eastAsia="en-GB"/>
            </w:rPr>
          </w:pPr>
          <w:hyperlink w:anchor="_Toc232075426" w:history="1">
            <w:r w:rsidRPr="003351CF">
              <w:t>Background and context</w:t>
            </w:r>
            <w:r w:rsidRPr="003351CF">
              <w:rPr>
                <w:webHidden/>
              </w:rPr>
              <w:tab/>
            </w:r>
            <w:r w:rsidRPr="003351CF">
              <w:rPr>
                <w:webHidden/>
              </w:rPr>
              <w:fldChar w:fldCharType="begin"/>
            </w:r>
            <w:r w:rsidRPr="003351CF">
              <w:rPr>
                <w:webHidden/>
              </w:rPr>
              <w:instrText xml:space="preserve"> PAGEREF _Toc232075426 \h </w:instrText>
            </w:r>
            <w:r w:rsidRPr="003351CF">
              <w:rPr>
                <w:webHidden/>
              </w:rPr>
            </w:r>
            <w:r w:rsidRPr="003351CF">
              <w:rPr>
                <w:webHidden/>
              </w:rPr>
              <w:fldChar w:fldCharType="separate"/>
            </w:r>
            <w:r w:rsidRPr="003351CF">
              <w:rPr>
                <w:webHidden/>
              </w:rPr>
              <w:t>6</w:t>
            </w:r>
            <w:r w:rsidRPr="003351CF">
              <w:rPr>
                <w:webHidden/>
              </w:rPr>
              <w:fldChar w:fldCharType="end"/>
            </w:r>
          </w:hyperlink>
        </w:p>
        <w:p w14:paraId="6BB4B894" w14:textId="52B78ADD" w:rsidR="004646B3" w:rsidRPr="003351CF" w:rsidRDefault="004646B3">
          <w:pPr>
            <w:pStyle w:val="TOC2"/>
            <w:tabs>
              <w:tab w:val="right" w:leader="dot" w:pos="9628"/>
            </w:tabs>
            <w:rPr>
              <w:lang w:eastAsia="en-GB"/>
            </w:rPr>
          </w:pPr>
          <w:hyperlink w:anchor="_Toc232075427" w:history="1">
            <w:r w:rsidRPr="003351CF">
              <w:t>Aims, purpose and audience</w:t>
            </w:r>
            <w:r w:rsidRPr="003351CF">
              <w:rPr>
                <w:webHidden/>
              </w:rPr>
              <w:tab/>
            </w:r>
            <w:r w:rsidRPr="003351CF">
              <w:rPr>
                <w:webHidden/>
              </w:rPr>
              <w:fldChar w:fldCharType="begin"/>
            </w:r>
            <w:r w:rsidRPr="003351CF">
              <w:rPr>
                <w:webHidden/>
              </w:rPr>
              <w:instrText xml:space="preserve"> PAGEREF _Toc232075427 \h </w:instrText>
            </w:r>
            <w:r w:rsidRPr="003351CF">
              <w:rPr>
                <w:webHidden/>
              </w:rPr>
            </w:r>
            <w:r w:rsidRPr="003351CF">
              <w:rPr>
                <w:webHidden/>
              </w:rPr>
              <w:fldChar w:fldCharType="separate"/>
            </w:r>
            <w:r w:rsidRPr="003351CF">
              <w:rPr>
                <w:webHidden/>
              </w:rPr>
              <w:t>6</w:t>
            </w:r>
            <w:r w:rsidRPr="003351CF">
              <w:rPr>
                <w:webHidden/>
              </w:rPr>
              <w:fldChar w:fldCharType="end"/>
            </w:r>
          </w:hyperlink>
        </w:p>
        <w:p w14:paraId="0F19F569" w14:textId="369AAEE9" w:rsidR="004646B3" w:rsidRPr="003351CF" w:rsidRDefault="004646B3">
          <w:pPr>
            <w:pStyle w:val="TOC2"/>
            <w:tabs>
              <w:tab w:val="right" w:leader="dot" w:pos="9628"/>
            </w:tabs>
            <w:rPr>
              <w:lang w:eastAsia="en-GB"/>
            </w:rPr>
          </w:pPr>
          <w:hyperlink w:anchor="_Toc232075428" w:history="1">
            <w:r w:rsidRPr="003351CF">
              <w:t>Key points</w:t>
            </w:r>
            <w:r w:rsidRPr="003351CF">
              <w:rPr>
                <w:webHidden/>
              </w:rPr>
              <w:tab/>
            </w:r>
            <w:r w:rsidRPr="003351CF">
              <w:rPr>
                <w:webHidden/>
              </w:rPr>
              <w:fldChar w:fldCharType="begin"/>
            </w:r>
            <w:r w:rsidRPr="003351CF">
              <w:rPr>
                <w:webHidden/>
              </w:rPr>
              <w:instrText xml:space="preserve"> PAGEREF _Toc232075428 \h </w:instrText>
            </w:r>
            <w:r w:rsidRPr="003351CF">
              <w:rPr>
                <w:webHidden/>
              </w:rPr>
            </w:r>
            <w:r w:rsidRPr="003351CF">
              <w:rPr>
                <w:webHidden/>
              </w:rPr>
              <w:fldChar w:fldCharType="separate"/>
            </w:r>
            <w:r w:rsidRPr="003351CF">
              <w:rPr>
                <w:webHidden/>
              </w:rPr>
              <w:t>7</w:t>
            </w:r>
            <w:r w:rsidRPr="003351CF">
              <w:rPr>
                <w:webHidden/>
              </w:rPr>
              <w:fldChar w:fldCharType="end"/>
            </w:r>
          </w:hyperlink>
        </w:p>
        <w:p w14:paraId="71E88958" w14:textId="748EAED5" w:rsidR="004646B3" w:rsidRPr="003351CF" w:rsidRDefault="004646B3">
          <w:pPr>
            <w:pStyle w:val="TOC2"/>
            <w:tabs>
              <w:tab w:val="right" w:leader="dot" w:pos="9628"/>
            </w:tabs>
            <w:rPr>
              <w:lang w:eastAsia="en-GB"/>
            </w:rPr>
          </w:pPr>
          <w:hyperlink w:anchor="_Toc232075429" w:history="1">
            <w:r w:rsidRPr="003351CF">
              <w:t>Key findings</w:t>
            </w:r>
            <w:r w:rsidRPr="003351CF">
              <w:rPr>
                <w:webHidden/>
              </w:rPr>
              <w:tab/>
            </w:r>
            <w:r w:rsidRPr="003351CF">
              <w:rPr>
                <w:webHidden/>
              </w:rPr>
              <w:fldChar w:fldCharType="begin"/>
            </w:r>
            <w:r w:rsidRPr="003351CF">
              <w:rPr>
                <w:webHidden/>
              </w:rPr>
              <w:instrText xml:space="preserve"> PAGEREF _Toc232075429 \h </w:instrText>
            </w:r>
            <w:r w:rsidRPr="003351CF">
              <w:rPr>
                <w:webHidden/>
              </w:rPr>
            </w:r>
            <w:r w:rsidRPr="003351CF">
              <w:rPr>
                <w:webHidden/>
              </w:rPr>
              <w:fldChar w:fldCharType="separate"/>
            </w:r>
            <w:r w:rsidRPr="003351CF">
              <w:rPr>
                <w:webHidden/>
              </w:rPr>
              <w:t>8</w:t>
            </w:r>
            <w:r w:rsidRPr="003351CF">
              <w:rPr>
                <w:webHidden/>
              </w:rPr>
              <w:fldChar w:fldCharType="end"/>
            </w:r>
          </w:hyperlink>
        </w:p>
        <w:p w14:paraId="00E9EAC3" w14:textId="4E216D59" w:rsidR="004646B3" w:rsidRPr="003351CF" w:rsidRDefault="004646B3">
          <w:pPr>
            <w:pStyle w:val="TOC1"/>
            <w:tabs>
              <w:tab w:val="right" w:leader="dot" w:pos="9628"/>
            </w:tabs>
            <w:rPr>
              <w:lang w:eastAsia="en-GB"/>
            </w:rPr>
          </w:pPr>
          <w:hyperlink w:anchor="_Toc232075430" w:history="1">
            <w:r w:rsidRPr="003351CF">
              <w:t>Introduction</w:t>
            </w:r>
            <w:r w:rsidRPr="003351CF">
              <w:rPr>
                <w:webHidden/>
              </w:rPr>
              <w:tab/>
            </w:r>
            <w:r w:rsidRPr="003351CF">
              <w:rPr>
                <w:webHidden/>
              </w:rPr>
              <w:fldChar w:fldCharType="begin"/>
            </w:r>
            <w:r w:rsidRPr="003351CF">
              <w:rPr>
                <w:webHidden/>
              </w:rPr>
              <w:instrText xml:space="preserve"> PAGEREF _Toc232075430 \h </w:instrText>
            </w:r>
            <w:r w:rsidRPr="003351CF">
              <w:rPr>
                <w:webHidden/>
              </w:rPr>
            </w:r>
            <w:r w:rsidRPr="003351CF">
              <w:rPr>
                <w:webHidden/>
              </w:rPr>
              <w:fldChar w:fldCharType="separate"/>
            </w:r>
            <w:r w:rsidRPr="003351CF">
              <w:rPr>
                <w:webHidden/>
              </w:rPr>
              <w:t>11</w:t>
            </w:r>
            <w:r w:rsidRPr="003351CF">
              <w:rPr>
                <w:webHidden/>
              </w:rPr>
              <w:fldChar w:fldCharType="end"/>
            </w:r>
          </w:hyperlink>
        </w:p>
        <w:p w14:paraId="28DFDCA2" w14:textId="315438CD" w:rsidR="004646B3" w:rsidRPr="003351CF" w:rsidRDefault="004646B3">
          <w:pPr>
            <w:pStyle w:val="TOC2"/>
            <w:tabs>
              <w:tab w:val="right" w:leader="dot" w:pos="9628"/>
            </w:tabs>
            <w:rPr>
              <w:lang w:eastAsia="en-GB"/>
            </w:rPr>
          </w:pPr>
          <w:hyperlink w:anchor="_Toc232075431" w:history="1">
            <w:r w:rsidRPr="003351CF">
              <w:t>Background and context</w:t>
            </w:r>
            <w:r w:rsidRPr="003351CF">
              <w:rPr>
                <w:webHidden/>
              </w:rPr>
              <w:tab/>
            </w:r>
            <w:r w:rsidRPr="003351CF">
              <w:rPr>
                <w:webHidden/>
              </w:rPr>
              <w:fldChar w:fldCharType="begin"/>
            </w:r>
            <w:r w:rsidRPr="003351CF">
              <w:rPr>
                <w:webHidden/>
              </w:rPr>
              <w:instrText xml:space="preserve"> PAGEREF _Toc232075431 \h </w:instrText>
            </w:r>
            <w:r w:rsidRPr="003351CF">
              <w:rPr>
                <w:webHidden/>
              </w:rPr>
            </w:r>
            <w:r w:rsidRPr="003351CF">
              <w:rPr>
                <w:webHidden/>
              </w:rPr>
              <w:fldChar w:fldCharType="separate"/>
            </w:r>
            <w:r w:rsidRPr="003351CF">
              <w:rPr>
                <w:webHidden/>
              </w:rPr>
              <w:t>11</w:t>
            </w:r>
            <w:r w:rsidRPr="003351CF">
              <w:rPr>
                <w:webHidden/>
              </w:rPr>
              <w:fldChar w:fldCharType="end"/>
            </w:r>
          </w:hyperlink>
        </w:p>
        <w:p w14:paraId="2F20099F" w14:textId="211F5B9A" w:rsidR="004646B3" w:rsidRPr="003351CF" w:rsidRDefault="004646B3">
          <w:pPr>
            <w:pStyle w:val="TOC2"/>
            <w:tabs>
              <w:tab w:val="right" w:leader="dot" w:pos="9628"/>
            </w:tabs>
            <w:rPr>
              <w:lang w:eastAsia="en-GB"/>
            </w:rPr>
          </w:pPr>
          <w:hyperlink w:anchor="_Toc232075432" w:history="1">
            <w:r w:rsidRPr="003351CF">
              <w:t>Aims, purpose and audience</w:t>
            </w:r>
            <w:r w:rsidRPr="003351CF">
              <w:rPr>
                <w:webHidden/>
              </w:rPr>
              <w:tab/>
            </w:r>
            <w:r w:rsidRPr="003351CF">
              <w:rPr>
                <w:webHidden/>
              </w:rPr>
              <w:fldChar w:fldCharType="begin"/>
            </w:r>
            <w:r w:rsidRPr="003351CF">
              <w:rPr>
                <w:webHidden/>
              </w:rPr>
              <w:instrText xml:space="preserve"> PAGEREF _Toc232075432 \h </w:instrText>
            </w:r>
            <w:r w:rsidRPr="003351CF">
              <w:rPr>
                <w:webHidden/>
              </w:rPr>
            </w:r>
            <w:r w:rsidRPr="003351CF">
              <w:rPr>
                <w:webHidden/>
              </w:rPr>
              <w:fldChar w:fldCharType="separate"/>
            </w:r>
            <w:r w:rsidRPr="003351CF">
              <w:rPr>
                <w:webHidden/>
              </w:rPr>
              <w:t>12</w:t>
            </w:r>
            <w:r w:rsidRPr="003351CF">
              <w:rPr>
                <w:webHidden/>
              </w:rPr>
              <w:fldChar w:fldCharType="end"/>
            </w:r>
          </w:hyperlink>
        </w:p>
        <w:p w14:paraId="7B1DE4C6" w14:textId="5384FE21" w:rsidR="004646B3" w:rsidRPr="003351CF" w:rsidRDefault="004646B3">
          <w:pPr>
            <w:pStyle w:val="TOC1"/>
            <w:tabs>
              <w:tab w:val="right" w:leader="dot" w:pos="9628"/>
            </w:tabs>
            <w:rPr>
              <w:lang w:eastAsia="en-GB"/>
            </w:rPr>
          </w:pPr>
          <w:hyperlink w:anchor="_Toc232075433" w:history="1">
            <w:r w:rsidRPr="003351CF">
              <w:t>Methodology</w:t>
            </w:r>
            <w:r w:rsidRPr="003351CF">
              <w:rPr>
                <w:webHidden/>
              </w:rPr>
              <w:tab/>
            </w:r>
            <w:r w:rsidRPr="003351CF">
              <w:rPr>
                <w:webHidden/>
              </w:rPr>
              <w:fldChar w:fldCharType="begin"/>
            </w:r>
            <w:r w:rsidRPr="003351CF">
              <w:rPr>
                <w:webHidden/>
              </w:rPr>
              <w:instrText xml:space="preserve"> PAGEREF _Toc232075433 \h </w:instrText>
            </w:r>
            <w:r w:rsidRPr="003351CF">
              <w:rPr>
                <w:webHidden/>
              </w:rPr>
            </w:r>
            <w:r w:rsidRPr="003351CF">
              <w:rPr>
                <w:webHidden/>
              </w:rPr>
              <w:fldChar w:fldCharType="separate"/>
            </w:r>
            <w:r w:rsidRPr="003351CF">
              <w:rPr>
                <w:webHidden/>
              </w:rPr>
              <w:t>13</w:t>
            </w:r>
            <w:r w:rsidRPr="003351CF">
              <w:rPr>
                <w:webHidden/>
              </w:rPr>
              <w:fldChar w:fldCharType="end"/>
            </w:r>
          </w:hyperlink>
        </w:p>
        <w:p w14:paraId="44DE777A" w14:textId="5BB0ACED" w:rsidR="004646B3" w:rsidRPr="003351CF" w:rsidRDefault="004646B3">
          <w:pPr>
            <w:pStyle w:val="TOC1"/>
            <w:tabs>
              <w:tab w:val="right" w:leader="dot" w:pos="9628"/>
            </w:tabs>
            <w:rPr>
              <w:lang w:eastAsia="en-GB"/>
            </w:rPr>
          </w:pPr>
          <w:hyperlink w:anchor="_Toc232075434" w:history="1">
            <w:r w:rsidRPr="003351CF">
              <w:t>Findings</w:t>
            </w:r>
            <w:r w:rsidRPr="003351CF">
              <w:rPr>
                <w:webHidden/>
              </w:rPr>
              <w:tab/>
            </w:r>
            <w:r w:rsidRPr="003351CF">
              <w:rPr>
                <w:webHidden/>
              </w:rPr>
              <w:fldChar w:fldCharType="begin"/>
            </w:r>
            <w:r w:rsidRPr="003351CF">
              <w:rPr>
                <w:webHidden/>
              </w:rPr>
              <w:instrText xml:space="preserve"> PAGEREF _Toc232075434 \h </w:instrText>
            </w:r>
            <w:r w:rsidRPr="003351CF">
              <w:rPr>
                <w:webHidden/>
              </w:rPr>
            </w:r>
            <w:r w:rsidRPr="003351CF">
              <w:rPr>
                <w:webHidden/>
              </w:rPr>
              <w:fldChar w:fldCharType="separate"/>
            </w:r>
            <w:r w:rsidRPr="003351CF">
              <w:rPr>
                <w:webHidden/>
              </w:rPr>
              <w:t>14</w:t>
            </w:r>
            <w:r w:rsidRPr="003351CF">
              <w:rPr>
                <w:webHidden/>
              </w:rPr>
              <w:fldChar w:fldCharType="end"/>
            </w:r>
          </w:hyperlink>
        </w:p>
        <w:p w14:paraId="259A6900" w14:textId="6ABC586D" w:rsidR="004646B3" w:rsidRPr="003351CF" w:rsidRDefault="004646B3">
          <w:pPr>
            <w:pStyle w:val="TOC2"/>
            <w:tabs>
              <w:tab w:val="right" w:leader="dot" w:pos="9628"/>
            </w:tabs>
            <w:rPr>
              <w:lang w:eastAsia="en-GB"/>
            </w:rPr>
          </w:pPr>
          <w:hyperlink w:anchor="_Toc232075435" w:history="1">
            <w:r w:rsidRPr="003351CF">
              <w:t>RQ1. Which employer engagement practices lead to better hiring and retention outcomes in the mainstream labour market?</w:t>
            </w:r>
            <w:r w:rsidRPr="003351CF">
              <w:rPr>
                <w:webHidden/>
              </w:rPr>
              <w:tab/>
            </w:r>
            <w:r w:rsidRPr="003351CF">
              <w:rPr>
                <w:webHidden/>
              </w:rPr>
              <w:fldChar w:fldCharType="begin"/>
            </w:r>
            <w:r w:rsidRPr="003351CF">
              <w:rPr>
                <w:webHidden/>
              </w:rPr>
              <w:instrText xml:space="preserve"> PAGEREF _Toc232075435 \h </w:instrText>
            </w:r>
            <w:r w:rsidRPr="003351CF">
              <w:rPr>
                <w:webHidden/>
              </w:rPr>
            </w:r>
            <w:r w:rsidRPr="003351CF">
              <w:rPr>
                <w:webHidden/>
              </w:rPr>
              <w:fldChar w:fldCharType="separate"/>
            </w:r>
            <w:r w:rsidRPr="003351CF">
              <w:rPr>
                <w:webHidden/>
              </w:rPr>
              <w:t>14</w:t>
            </w:r>
            <w:r w:rsidRPr="003351CF">
              <w:rPr>
                <w:webHidden/>
              </w:rPr>
              <w:fldChar w:fldCharType="end"/>
            </w:r>
          </w:hyperlink>
        </w:p>
        <w:p w14:paraId="2FBAEB22" w14:textId="4F4825CE" w:rsidR="004646B3" w:rsidRPr="003351CF" w:rsidRDefault="004646B3">
          <w:pPr>
            <w:pStyle w:val="TOC2"/>
            <w:tabs>
              <w:tab w:val="right" w:leader="dot" w:pos="9628"/>
            </w:tabs>
            <w:rPr>
              <w:lang w:eastAsia="en-GB"/>
            </w:rPr>
          </w:pPr>
          <w:hyperlink w:anchor="_Toc232075436" w:history="1">
            <w:r w:rsidRPr="003351CF">
              <w:t>RQ2. What activities and ingredients make employer engagement effective, and how can these be enacted by a diverse employment services workforce?</w:t>
            </w:r>
            <w:r w:rsidRPr="003351CF">
              <w:rPr>
                <w:webHidden/>
              </w:rPr>
              <w:tab/>
            </w:r>
            <w:r w:rsidRPr="003351CF">
              <w:rPr>
                <w:webHidden/>
              </w:rPr>
              <w:fldChar w:fldCharType="begin"/>
            </w:r>
            <w:r w:rsidRPr="003351CF">
              <w:rPr>
                <w:webHidden/>
              </w:rPr>
              <w:instrText xml:space="preserve"> PAGEREF _Toc232075436 \h </w:instrText>
            </w:r>
            <w:r w:rsidRPr="003351CF">
              <w:rPr>
                <w:webHidden/>
              </w:rPr>
            </w:r>
            <w:r w:rsidRPr="003351CF">
              <w:rPr>
                <w:webHidden/>
              </w:rPr>
              <w:fldChar w:fldCharType="separate"/>
            </w:r>
            <w:r w:rsidRPr="003351CF">
              <w:rPr>
                <w:webHidden/>
              </w:rPr>
              <w:t>17</w:t>
            </w:r>
            <w:r w:rsidRPr="003351CF">
              <w:rPr>
                <w:webHidden/>
              </w:rPr>
              <w:fldChar w:fldCharType="end"/>
            </w:r>
          </w:hyperlink>
        </w:p>
        <w:p w14:paraId="30DB51CB" w14:textId="1406F244" w:rsidR="004646B3" w:rsidRPr="003351CF" w:rsidRDefault="004646B3">
          <w:pPr>
            <w:pStyle w:val="TOC2"/>
            <w:tabs>
              <w:tab w:val="right" w:leader="dot" w:pos="9628"/>
            </w:tabs>
            <w:rPr>
              <w:lang w:eastAsia="en-GB"/>
            </w:rPr>
          </w:pPr>
          <w:hyperlink w:anchor="_Toc232075437" w:history="1">
            <w:r w:rsidRPr="003351CF">
              <w:t>RQ3. How do effective practices differ for specific groups of jobseekers with disability, such as people with mental health conditions, neurodivergence, or intellectual disability?</w:t>
            </w:r>
            <w:r w:rsidRPr="003351CF">
              <w:rPr>
                <w:webHidden/>
              </w:rPr>
              <w:tab/>
            </w:r>
            <w:r w:rsidRPr="003351CF">
              <w:rPr>
                <w:webHidden/>
              </w:rPr>
              <w:fldChar w:fldCharType="begin"/>
            </w:r>
            <w:r w:rsidRPr="003351CF">
              <w:rPr>
                <w:webHidden/>
              </w:rPr>
              <w:instrText xml:space="preserve"> PAGEREF _Toc232075437 \h </w:instrText>
            </w:r>
            <w:r w:rsidRPr="003351CF">
              <w:rPr>
                <w:webHidden/>
              </w:rPr>
            </w:r>
            <w:r w:rsidRPr="003351CF">
              <w:rPr>
                <w:webHidden/>
              </w:rPr>
              <w:fldChar w:fldCharType="separate"/>
            </w:r>
            <w:r w:rsidRPr="003351CF">
              <w:rPr>
                <w:webHidden/>
              </w:rPr>
              <w:t>19</w:t>
            </w:r>
            <w:r w:rsidRPr="003351CF">
              <w:rPr>
                <w:webHidden/>
              </w:rPr>
              <w:fldChar w:fldCharType="end"/>
            </w:r>
          </w:hyperlink>
        </w:p>
        <w:p w14:paraId="68DD9570" w14:textId="41B37CDD" w:rsidR="004646B3" w:rsidRPr="003351CF" w:rsidRDefault="004646B3">
          <w:pPr>
            <w:pStyle w:val="TOC3"/>
            <w:tabs>
              <w:tab w:val="right" w:leader="dot" w:pos="9628"/>
            </w:tabs>
            <w:rPr>
              <w:lang w:eastAsia="en-GB"/>
            </w:rPr>
          </w:pPr>
          <w:hyperlink w:anchor="_Toc232075438" w:history="1">
            <w:r w:rsidRPr="003351CF">
              <w:t>A note about supported and sheltered employment</w:t>
            </w:r>
            <w:r w:rsidRPr="003351CF">
              <w:rPr>
                <w:webHidden/>
              </w:rPr>
              <w:tab/>
            </w:r>
            <w:r w:rsidRPr="003351CF">
              <w:rPr>
                <w:webHidden/>
              </w:rPr>
              <w:fldChar w:fldCharType="begin"/>
            </w:r>
            <w:r w:rsidRPr="003351CF">
              <w:rPr>
                <w:webHidden/>
              </w:rPr>
              <w:instrText xml:space="preserve"> PAGEREF _Toc232075438 \h </w:instrText>
            </w:r>
            <w:r w:rsidRPr="003351CF">
              <w:rPr>
                <w:webHidden/>
              </w:rPr>
            </w:r>
            <w:r w:rsidRPr="003351CF">
              <w:rPr>
                <w:webHidden/>
              </w:rPr>
              <w:fldChar w:fldCharType="separate"/>
            </w:r>
            <w:r w:rsidRPr="003351CF">
              <w:rPr>
                <w:webHidden/>
              </w:rPr>
              <w:t>21</w:t>
            </w:r>
            <w:r w:rsidRPr="003351CF">
              <w:rPr>
                <w:webHidden/>
              </w:rPr>
              <w:fldChar w:fldCharType="end"/>
            </w:r>
          </w:hyperlink>
        </w:p>
        <w:p w14:paraId="17BAC879" w14:textId="6A9CCAD4" w:rsidR="004646B3" w:rsidRPr="003351CF" w:rsidRDefault="004646B3">
          <w:pPr>
            <w:pStyle w:val="TOC1"/>
            <w:tabs>
              <w:tab w:val="right" w:leader="dot" w:pos="9628"/>
            </w:tabs>
            <w:rPr>
              <w:lang w:eastAsia="en-GB"/>
            </w:rPr>
          </w:pPr>
          <w:hyperlink w:anchor="_Toc232075439" w:history="1">
            <w:r w:rsidRPr="003351CF">
              <w:t>Themes from the evidence synthesis</w:t>
            </w:r>
            <w:r w:rsidRPr="003351CF">
              <w:rPr>
                <w:webHidden/>
              </w:rPr>
              <w:tab/>
            </w:r>
            <w:r w:rsidRPr="003351CF">
              <w:rPr>
                <w:webHidden/>
              </w:rPr>
              <w:fldChar w:fldCharType="begin"/>
            </w:r>
            <w:r w:rsidRPr="003351CF">
              <w:rPr>
                <w:webHidden/>
              </w:rPr>
              <w:instrText xml:space="preserve"> PAGEREF _Toc232075439 \h </w:instrText>
            </w:r>
            <w:r w:rsidRPr="003351CF">
              <w:rPr>
                <w:webHidden/>
              </w:rPr>
            </w:r>
            <w:r w:rsidRPr="003351CF">
              <w:rPr>
                <w:webHidden/>
              </w:rPr>
              <w:fldChar w:fldCharType="separate"/>
            </w:r>
            <w:r w:rsidRPr="003351CF">
              <w:rPr>
                <w:webHidden/>
              </w:rPr>
              <w:t>22</w:t>
            </w:r>
            <w:r w:rsidRPr="003351CF">
              <w:rPr>
                <w:webHidden/>
              </w:rPr>
              <w:fldChar w:fldCharType="end"/>
            </w:r>
          </w:hyperlink>
        </w:p>
        <w:p w14:paraId="73A99B2D" w14:textId="499FFA5D" w:rsidR="004646B3" w:rsidRPr="003351CF" w:rsidRDefault="004646B3">
          <w:pPr>
            <w:pStyle w:val="TOC2"/>
            <w:tabs>
              <w:tab w:val="right" w:leader="dot" w:pos="9628"/>
            </w:tabs>
            <w:rPr>
              <w:lang w:eastAsia="en-GB"/>
            </w:rPr>
          </w:pPr>
          <w:hyperlink w:anchor="_Toc232075440" w:history="1">
            <w:r w:rsidRPr="003351CF">
              <w:t>Theme 1: Relational brokerage and employer capability-building</w:t>
            </w:r>
            <w:r w:rsidRPr="003351CF">
              <w:rPr>
                <w:webHidden/>
              </w:rPr>
              <w:tab/>
            </w:r>
            <w:r w:rsidRPr="003351CF">
              <w:rPr>
                <w:webHidden/>
              </w:rPr>
              <w:fldChar w:fldCharType="begin"/>
            </w:r>
            <w:r w:rsidRPr="003351CF">
              <w:rPr>
                <w:webHidden/>
              </w:rPr>
              <w:instrText xml:space="preserve"> PAGEREF _Toc232075440 \h </w:instrText>
            </w:r>
            <w:r w:rsidRPr="003351CF">
              <w:rPr>
                <w:webHidden/>
              </w:rPr>
            </w:r>
            <w:r w:rsidRPr="003351CF">
              <w:rPr>
                <w:webHidden/>
              </w:rPr>
              <w:fldChar w:fldCharType="separate"/>
            </w:r>
            <w:r w:rsidRPr="003351CF">
              <w:rPr>
                <w:webHidden/>
              </w:rPr>
              <w:t>22</w:t>
            </w:r>
            <w:r w:rsidRPr="003351CF">
              <w:rPr>
                <w:webHidden/>
              </w:rPr>
              <w:fldChar w:fldCharType="end"/>
            </w:r>
          </w:hyperlink>
        </w:p>
        <w:p w14:paraId="4CB309A7" w14:textId="5E2257F3" w:rsidR="004646B3" w:rsidRPr="003351CF" w:rsidRDefault="004646B3">
          <w:pPr>
            <w:pStyle w:val="TOC3"/>
            <w:tabs>
              <w:tab w:val="right" w:leader="dot" w:pos="9628"/>
            </w:tabs>
            <w:rPr>
              <w:lang w:eastAsia="en-GB"/>
            </w:rPr>
          </w:pPr>
          <w:hyperlink w:anchor="_Toc232075441" w:history="1">
            <w:r w:rsidRPr="003351CF">
              <w:t>Scenario</w:t>
            </w:r>
            <w:r w:rsidRPr="003351CF">
              <w:rPr>
                <w:webHidden/>
              </w:rPr>
              <w:tab/>
            </w:r>
            <w:r w:rsidRPr="003351CF">
              <w:rPr>
                <w:webHidden/>
              </w:rPr>
              <w:fldChar w:fldCharType="begin"/>
            </w:r>
            <w:r w:rsidRPr="003351CF">
              <w:rPr>
                <w:webHidden/>
              </w:rPr>
              <w:instrText xml:space="preserve"> PAGEREF _Toc232075441 \h </w:instrText>
            </w:r>
            <w:r w:rsidRPr="003351CF">
              <w:rPr>
                <w:webHidden/>
              </w:rPr>
            </w:r>
            <w:r w:rsidRPr="003351CF">
              <w:rPr>
                <w:webHidden/>
              </w:rPr>
              <w:fldChar w:fldCharType="separate"/>
            </w:r>
            <w:r w:rsidRPr="003351CF">
              <w:rPr>
                <w:webHidden/>
              </w:rPr>
              <w:t>23</w:t>
            </w:r>
            <w:r w:rsidRPr="003351CF">
              <w:rPr>
                <w:webHidden/>
              </w:rPr>
              <w:fldChar w:fldCharType="end"/>
            </w:r>
          </w:hyperlink>
        </w:p>
        <w:p w14:paraId="0B8632B3" w14:textId="7BD82A2F" w:rsidR="004646B3" w:rsidRPr="003351CF" w:rsidRDefault="004646B3">
          <w:pPr>
            <w:pStyle w:val="TOC2"/>
            <w:tabs>
              <w:tab w:val="right" w:leader="dot" w:pos="9628"/>
            </w:tabs>
            <w:rPr>
              <w:lang w:eastAsia="en-GB"/>
            </w:rPr>
          </w:pPr>
          <w:hyperlink w:anchor="_Toc232075442" w:history="1">
            <w:r w:rsidRPr="003351CF">
              <w:t>Theme 2: Inclusion across the whole employment journey: the importance of flexibility and adjustments</w:t>
            </w:r>
            <w:r w:rsidRPr="003351CF">
              <w:rPr>
                <w:webHidden/>
              </w:rPr>
              <w:tab/>
            </w:r>
            <w:r w:rsidRPr="003351CF">
              <w:rPr>
                <w:webHidden/>
              </w:rPr>
              <w:fldChar w:fldCharType="begin"/>
            </w:r>
            <w:r w:rsidRPr="003351CF">
              <w:rPr>
                <w:webHidden/>
              </w:rPr>
              <w:instrText xml:space="preserve"> PAGEREF _Toc232075442 \h </w:instrText>
            </w:r>
            <w:r w:rsidRPr="003351CF">
              <w:rPr>
                <w:webHidden/>
              </w:rPr>
            </w:r>
            <w:r w:rsidRPr="003351CF">
              <w:rPr>
                <w:webHidden/>
              </w:rPr>
              <w:fldChar w:fldCharType="separate"/>
            </w:r>
            <w:r w:rsidRPr="003351CF">
              <w:rPr>
                <w:webHidden/>
              </w:rPr>
              <w:t>24</w:t>
            </w:r>
            <w:r w:rsidRPr="003351CF">
              <w:rPr>
                <w:webHidden/>
              </w:rPr>
              <w:fldChar w:fldCharType="end"/>
            </w:r>
          </w:hyperlink>
        </w:p>
        <w:p w14:paraId="3653A723" w14:textId="12834826" w:rsidR="004646B3" w:rsidRPr="003351CF" w:rsidRDefault="004646B3">
          <w:pPr>
            <w:pStyle w:val="TOC3"/>
            <w:tabs>
              <w:tab w:val="right" w:leader="dot" w:pos="9628"/>
            </w:tabs>
            <w:rPr>
              <w:lang w:eastAsia="en-GB"/>
            </w:rPr>
          </w:pPr>
          <w:hyperlink w:anchor="_Toc232075443" w:history="1">
            <w:r w:rsidRPr="003351CF">
              <w:t>Scenario</w:t>
            </w:r>
            <w:r w:rsidRPr="003351CF">
              <w:rPr>
                <w:webHidden/>
              </w:rPr>
              <w:tab/>
            </w:r>
            <w:r w:rsidRPr="003351CF">
              <w:rPr>
                <w:webHidden/>
              </w:rPr>
              <w:fldChar w:fldCharType="begin"/>
            </w:r>
            <w:r w:rsidRPr="003351CF">
              <w:rPr>
                <w:webHidden/>
              </w:rPr>
              <w:instrText xml:space="preserve"> PAGEREF _Toc232075443 \h </w:instrText>
            </w:r>
            <w:r w:rsidRPr="003351CF">
              <w:rPr>
                <w:webHidden/>
              </w:rPr>
            </w:r>
            <w:r w:rsidRPr="003351CF">
              <w:rPr>
                <w:webHidden/>
              </w:rPr>
              <w:fldChar w:fldCharType="separate"/>
            </w:r>
            <w:r w:rsidRPr="003351CF">
              <w:rPr>
                <w:webHidden/>
              </w:rPr>
              <w:t>25</w:t>
            </w:r>
            <w:r w:rsidRPr="003351CF">
              <w:rPr>
                <w:webHidden/>
              </w:rPr>
              <w:fldChar w:fldCharType="end"/>
            </w:r>
          </w:hyperlink>
        </w:p>
        <w:p w14:paraId="423FC6B3" w14:textId="5B8697BA" w:rsidR="004646B3" w:rsidRPr="003351CF" w:rsidRDefault="004646B3">
          <w:pPr>
            <w:pStyle w:val="TOC2"/>
            <w:tabs>
              <w:tab w:val="right" w:leader="dot" w:pos="9628"/>
            </w:tabs>
            <w:rPr>
              <w:lang w:eastAsia="en-GB"/>
            </w:rPr>
          </w:pPr>
          <w:hyperlink w:anchor="_Toc232075444" w:history="1">
            <w:r w:rsidRPr="003351CF">
              <w:t>Theme 3: Retention as a foundation for career progression</w:t>
            </w:r>
            <w:r w:rsidRPr="003351CF">
              <w:rPr>
                <w:webHidden/>
              </w:rPr>
              <w:tab/>
            </w:r>
            <w:r w:rsidRPr="003351CF">
              <w:rPr>
                <w:webHidden/>
              </w:rPr>
              <w:fldChar w:fldCharType="begin"/>
            </w:r>
            <w:r w:rsidRPr="003351CF">
              <w:rPr>
                <w:webHidden/>
              </w:rPr>
              <w:instrText xml:space="preserve"> PAGEREF _Toc232075444 \h </w:instrText>
            </w:r>
            <w:r w:rsidRPr="003351CF">
              <w:rPr>
                <w:webHidden/>
              </w:rPr>
            </w:r>
            <w:r w:rsidRPr="003351CF">
              <w:rPr>
                <w:webHidden/>
              </w:rPr>
              <w:fldChar w:fldCharType="separate"/>
            </w:r>
            <w:r w:rsidRPr="003351CF">
              <w:rPr>
                <w:webHidden/>
              </w:rPr>
              <w:t>27</w:t>
            </w:r>
            <w:r w:rsidRPr="003351CF">
              <w:rPr>
                <w:webHidden/>
              </w:rPr>
              <w:fldChar w:fldCharType="end"/>
            </w:r>
          </w:hyperlink>
        </w:p>
        <w:p w14:paraId="23B6AAD4" w14:textId="6C39BBA0" w:rsidR="004646B3" w:rsidRPr="003351CF" w:rsidRDefault="004646B3">
          <w:pPr>
            <w:pStyle w:val="TOC3"/>
            <w:tabs>
              <w:tab w:val="right" w:leader="dot" w:pos="9628"/>
            </w:tabs>
            <w:rPr>
              <w:lang w:eastAsia="en-GB"/>
            </w:rPr>
          </w:pPr>
          <w:hyperlink w:anchor="_Toc232075445" w:history="1">
            <w:r w:rsidRPr="003351CF">
              <w:t>Scenario</w:t>
            </w:r>
            <w:r w:rsidRPr="003351CF">
              <w:rPr>
                <w:webHidden/>
              </w:rPr>
              <w:tab/>
            </w:r>
            <w:r w:rsidRPr="003351CF">
              <w:rPr>
                <w:webHidden/>
              </w:rPr>
              <w:fldChar w:fldCharType="begin"/>
            </w:r>
            <w:r w:rsidRPr="003351CF">
              <w:rPr>
                <w:webHidden/>
              </w:rPr>
              <w:instrText xml:space="preserve"> PAGEREF _Toc232075445 \h </w:instrText>
            </w:r>
            <w:r w:rsidRPr="003351CF">
              <w:rPr>
                <w:webHidden/>
              </w:rPr>
            </w:r>
            <w:r w:rsidRPr="003351CF">
              <w:rPr>
                <w:webHidden/>
              </w:rPr>
              <w:fldChar w:fldCharType="separate"/>
            </w:r>
            <w:r w:rsidRPr="003351CF">
              <w:rPr>
                <w:webHidden/>
              </w:rPr>
              <w:t>28</w:t>
            </w:r>
            <w:r w:rsidRPr="003351CF">
              <w:rPr>
                <w:webHidden/>
              </w:rPr>
              <w:fldChar w:fldCharType="end"/>
            </w:r>
          </w:hyperlink>
        </w:p>
        <w:p w14:paraId="31C44CC6" w14:textId="11E76E9D" w:rsidR="004646B3" w:rsidRPr="003351CF" w:rsidRDefault="004646B3">
          <w:pPr>
            <w:pStyle w:val="TOC2"/>
            <w:tabs>
              <w:tab w:val="right" w:leader="dot" w:pos="9628"/>
            </w:tabs>
            <w:rPr>
              <w:lang w:eastAsia="en-GB"/>
            </w:rPr>
          </w:pPr>
          <w:hyperlink w:anchor="_Toc232075446" w:history="1">
            <w:r w:rsidRPr="003351CF">
              <w:t>Theme 4: Governance and organisational embedding</w:t>
            </w:r>
            <w:r w:rsidRPr="003351CF">
              <w:rPr>
                <w:webHidden/>
              </w:rPr>
              <w:tab/>
            </w:r>
            <w:r w:rsidRPr="003351CF">
              <w:rPr>
                <w:webHidden/>
              </w:rPr>
              <w:fldChar w:fldCharType="begin"/>
            </w:r>
            <w:r w:rsidRPr="003351CF">
              <w:rPr>
                <w:webHidden/>
              </w:rPr>
              <w:instrText xml:space="preserve"> PAGEREF _Toc232075446 \h </w:instrText>
            </w:r>
            <w:r w:rsidRPr="003351CF">
              <w:rPr>
                <w:webHidden/>
              </w:rPr>
            </w:r>
            <w:r w:rsidRPr="003351CF">
              <w:rPr>
                <w:webHidden/>
              </w:rPr>
              <w:fldChar w:fldCharType="separate"/>
            </w:r>
            <w:r w:rsidRPr="003351CF">
              <w:rPr>
                <w:webHidden/>
              </w:rPr>
              <w:t>29</w:t>
            </w:r>
            <w:r w:rsidRPr="003351CF">
              <w:rPr>
                <w:webHidden/>
              </w:rPr>
              <w:fldChar w:fldCharType="end"/>
            </w:r>
          </w:hyperlink>
        </w:p>
        <w:p w14:paraId="52C225E4" w14:textId="55CDD7E1" w:rsidR="004646B3" w:rsidRPr="003351CF" w:rsidRDefault="004646B3">
          <w:pPr>
            <w:pStyle w:val="TOC3"/>
            <w:tabs>
              <w:tab w:val="right" w:leader="dot" w:pos="9628"/>
            </w:tabs>
            <w:rPr>
              <w:lang w:eastAsia="en-GB"/>
            </w:rPr>
          </w:pPr>
          <w:hyperlink w:anchor="_Toc232075447" w:history="1">
            <w:r w:rsidRPr="003351CF">
              <w:t>Scenario</w:t>
            </w:r>
            <w:r w:rsidRPr="003351CF">
              <w:rPr>
                <w:webHidden/>
              </w:rPr>
              <w:tab/>
            </w:r>
            <w:r w:rsidRPr="003351CF">
              <w:rPr>
                <w:webHidden/>
              </w:rPr>
              <w:fldChar w:fldCharType="begin"/>
            </w:r>
            <w:r w:rsidRPr="003351CF">
              <w:rPr>
                <w:webHidden/>
              </w:rPr>
              <w:instrText xml:space="preserve"> PAGEREF _Toc232075447 \h </w:instrText>
            </w:r>
            <w:r w:rsidRPr="003351CF">
              <w:rPr>
                <w:webHidden/>
              </w:rPr>
            </w:r>
            <w:r w:rsidRPr="003351CF">
              <w:rPr>
                <w:webHidden/>
              </w:rPr>
              <w:fldChar w:fldCharType="separate"/>
            </w:r>
            <w:r w:rsidRPr="003351CF">
              <w:rPr>
                <w:webHidden/>
              </w:rPr>
              <w:t>31</w:t>
            </w:r>
            <w:r w:rsidRPr="003351CF">
              <w:rPr>
                <w:webHidden/>
              </w:rPr>
              <w:fldChar w:fldCharType="end"/>
            </w:r>
          </w:hyperlink>
        </w:p>
        <w:p w14:paraId="7D346D1F" w14:textId="27001801" w:rsidR="004646B3" w:rsidRPr="003351CF" w:rsidRDefault="004646B3">
          <w:pPr>
            <w:pStyle w:val="TOC2"/>
            <w:tabs>
              <w:tab w:val="right" w:leader="dot" w:pos="9628"/>
            </w:tabs>
            <w:rPr>
              <w:lang w:eastAsia="en-GB"/>
            </w:rPr>
          </w:pPr>
          <w:hyperlink w:anchor="_Toc232075448" w:history="1">
            <w:r w:rsidRPr="003351CF">
              <w:t>Theme 5: Employer engagement practices relevant to specific disability cohorts</w:t>
            </w:r>
            <w:r w:rsidRPr="003351CF">
              <w:rPr>
                <w:webHidden/>
              </w:rPr>
              <w:tab/>
            </w:r>
            <w:r w:rsidRPr="003351CF">
              <w:rPr>
                <w:webHidden/>
              </w:rPr>
              <w:fldChar w:fldCharType="begin"/>
            </w:r>
            <w:r w:rsidRPr="003351CF">
              <w:rPr>
                <w:webHidden/>
              </w:rPr>
              <w:instrText xml:space="preserve"> PAGEREF _Toc232075448 \h </w:instrText>
            </w:r>
            <w:r w:rsidRPr="003351CF">
              <w:rPr>
                <w:webHidden/>
              </w:rPr>
            </w:r>
            <w:r w:rsidRPr="003351CF">
              <w:rPr>
                <w:webHidden/>
              </w:rPr>
              <w:fldChar w:fldCharType="separate"/>
            </w:r>
            <w:r w:rsidRPr="003351CF">
              <w:rPr>
                <w:webHidden/>
              </w:rPr>
              <w:t>32</w:t>
            </w:r>
            <w:r w:rsidRPr="003351CF">
              <w:rPr>
                <w:webHidden/>
              </w:rPr>
              <w:fldChar w:fldCharType="end"/>
            </w:r>
          </w:hyperlink>
        </w:p>
        <w:p w14:paraId="5F4B4189" w14:textId="7309120C" w:rsidR="004646B3" w:rsidRPr="003351CF" w:rsidRDefault="004646B3">
          <w:pPr>
            <w:pStyle w:val="TOC3"/>
            <w:tabs>
              <w:tab w:val="right" w:leader="dot" w:pos="9628"/>
            </w:tabs>
            <w:rPr>
              <w:lang w:eastAsia="en-GB"/>
            </w:rPr>
          </w:pPr>
          <w:hyperlink w:anchor="_Toc232075449" w:history="1">
            <w:r w:rsidRPr="003351CF">
              <w:t>Scenario</w:t>
            </w:r>
            <w:r w:rsidRPr="003351CF">
              <w:rPr>
                <w:webHidden/>
              </w:rPr>
              <w:tab/>
            </w:r>
            <w:r w:rsidRPr="003351CF">
              <w:rPr>
                <w:webHidden/>
              </w:rPr>
              <w:fldChar w:fldCharType="begin"/>
            </w:r>
            <w:r w:rsidRPr="003351CF">
              <w:rPr>
                <w:webHidden/>
              </w:rPr>
              <w:instrText xml:space="preserve"> PAGEREF _Toc232075449 \h </w:instrText>
            </w:r>
            <w:r w:rsidRPr="003351CF">
              <w:rPr>
                <w:webHidden/>
              </w:rPr>
            </w:r>
            <w:r w:rsidRPr="003351CF">
              <w:rPr>
                <w:webHidden/>
              </w:rPr>
              <w:fldChar w:fldCharType="separate"/>
            </w:r>
            <w:r w:rsidRPr="003351CF">
              <w:rPr>
                <w:webHidden/>
              </w:rPr>
              <w:t>33</w:t>
            </w:r>
            <w:r w:rsidRPr="003351CF">
              <w:rPr>
                <w:webHidden/>
              </w:rPr>
              <w:fldChar w:fldCharType="end"/>
            </w:r>
          </w:hyperlink>
        </w:p>
        <w:p w14:paraId="651E0799" w14:textId="11370677" w:rsidR="004646B3" w:rsidRPr="003351CF" w:rsidRDefault="004646B3">
          <w:pPr>
            <w:pStyle w:val="TOC1"/>
            <w:tabs>
              <w:tab w:val="right" w:leader="dot" w:pos="9628"/>
            </w:tabs>
            <w:rPr>
              <w:lang w:eastAsia="en-GB"/>
            </w:rPr>
          </w:pPr>
          <w:hyperlink w:anchor="_Toc232075450" w:history="1">
            <w:r w:rsidRPr="003351CF">
              <w:t>Characteristics of effective employer engagement</w:t>
            </w:r>
            <w:r w:rsidRPr="003351CF">
              <w:rPr>
                <w:webHidden/>
              </w:rPr>
              <w:tab/>
            </w:r>
            <w:r w:rsidRPr="003351CF">
              <w:rPr>
                <w:webHidden/>
              </w:rPr>
              <w:fldChar w:fldCharType="begin"/>
            </w:r>
            <w:r w:rsidRPr="003351CF">
              <w:rPr>
                <w:webHidden/>
              </w:rPr>
              <w:instrText xml:space="preserve"> PAGEREF _Toc232075450 \h </w:instrText>
            </w:r>
            <w:r w:rsidRPr="003351CF">
              <w:rPr>
                <w:webHidden/>
              </w:rPr>
            </w:r>
            <w:r w:rsidRPr="003351CF">
              <w:rPr>
                <w:webHidden/>
              </w:rPr>
              <w:fldChar w:fldCharType="separate"/>
            </w:r>
            <w:r w:rsidRPr="003351CF">
              <w:rPr>
                <w:webHidden/>
              </w:rPr>
              <w:t>35</w:t>
            </w:r>
            <w:r w:rsidRPr="003351CF">
              <w:rPr>
                <w:webHidden/>
              </w:rPr>
              <w:fldChar w:fldCharType="end"/>
            </w:r>
          </w:hyperlink>
        </w:p>
        <w:p w14:paraId="4C1668D3" w14:textId="1998805F" w:rsidR="004646B3" w:rsidRPr="003351CF" w:rsidRDefault="004646B3">
          <w:pPr>
            <w:pStyle w:val="TOC2"/>
            <w:tabs>
              <w:tab w:val="right" w:leader="dot" w:pos="9628"/>
            </w:tabs>
            <w:rPr>
              <w:lang w:eastAsia="en-GB"/>
            </w:rPr>
          </w:pPr>
          <w:hyperlink w:anchor="_Toc232075451" w:history="1">
            <w:r w:rsidRPr="003351CF">
              <w:t>Characteristic 1. Employer engagement as an iterative capability-building process</w:t>
            </w:r>
            <w:r w:rsidRPr="003351CF">
              <w:rPr>
                <w:webHidden/>
              </w:rPr>
              <w:tab/>
            </w:r>
            <w:r w:rsidRPr="003351CF">
              <w:rPr>
                <w:webHidden/>
              </w:rPr>
              <w:fldChar w:fldCharType="begin"/>
            </w:r>
            <w:r w:rsidRPr="003351CF">
              <w:rPr>
                <w:webHidden/>
              </w:rPr>
              <w:instrText xml:space="preserve"> PAGEREF _Toc232075451 \h </w:instrText>
            </w:r>
            <w:r w:rsidRPr="003351CF">
              <w:rPr>
                <w:webHidden/>
              </w:rPr>
            </w:r>
            <w:r w:rsidRPr="003351CF">
              <w:rPr>
                <w:webHidden/>
              </w:rPr>
              <w:fldChar w:fldCharType="separate"/>
            </w:r>
            <w:r w:rsidRPr="003351CF">
              <w:rPr>
                <w:webHidden/>
              </w:rPr>
              <w:t>35</w:t>
            </w:r>
            <w:r w:rsidRPr="003351CF">
              <w:rPr>
                <w:webHidden/>
              </w:rPr>
              <w:fldChar w:fldCharType="end"/>
            </w:r>
          </w:hyperlink>
        </w:p>
        <w:p w14:paraId="12C0443E" w14:textId="230B2A93" w:rsidR="004646B3" w:rsidRPr="003351CF" w:rsidRDefault="004646B3">
          <w:pPr>
            <w:pStyle w:val="TOC2"/>
            <w:tabs>
              <w:tab w:val="right" w:leader="dot" w:pos="9628"/>
            </w:tabs>
            <w:rPr>
              <w:lang w:eastAsia="en-GB"/>
            </w:rPr>
          </w:pPr>
          <w:hyperlink w:anchor="_Toc232075452" w:history="1">
            <w:r w:rsidRPr="003351CF">
              <w:t>Characteristic 2. Performance and funding architecture as behavioural drivers</w:t>
            </w:r>
            <w:r w:rsidRPr="003351CF">
              <w:rPr>
                <w:webHidden/>
              </w:rPr>
              <w:tab/>
            </w:r>
            <w:r w:rsidRPr="003351CF">
              <w:rPr>
                <w:webHidden/>
              </w:rPr>
              <w:fldChar w:fldCharType="begin"/>
            </w:r>
            <w:r w:rsidRPr="003351CF">
              <w:rPr>
                <w:webHidden/>
              </w:rPr>
              <w:instrText xml:space="preserve"> PAGEREF _Toc232075452 \h </w:instrText>
            </w:r>
            <w:r w:rsidRPr="003351CF">
              <w:rPr>
                <w:webHidden/>
              </w:rPr>
            </w:r>
            <w:r w:rsidRPr="003351CF">
              <w:rPr>
                <w:webHidden/>
              </w:rPr>
              <w:fldChar w:fldCharType="separate"/>
            </w:r>
            <w:r w:rsidRPr="003351CF">
              <w:rPr>
                <w:webHidden/>
              </w:rPr>
              <w:t>35</w:t>
            </w:r>
            <w:r w:rsidRPr="003351CF">
              <w:rPr>
                <w:webHidden/>
              </w:rPr>
              <w:fldChar w:fldCharType="end"/>
            </w:r>
          </w:hyperlink>
        </w:p>
        <w:p w14:paraId="7506ACFA" w14:textId="39F6C9D4" w:rsidR="004646B3" w:rsidRPr="003351CF" w:rsidRDefault="004646B3">
          <w:pPr>
            <w:pStyle w:val="TOC2"/>
            <w:tabs>
              <w:tab w:val="right" w:leader="dot" w:pos="9628"/>
            </w:tabs>
            <w:rPr>
              <w:lang w:eastAsia="en-GB"/>
            </w:rPr>
          </w:pPr>
          <w:hyperlink w:anchor="_Toc232075453" w:history="1">
            <w:r w:rsidRPr="003351CF">
              <w:t>Characteristic 3. Employer engagement along an intensity continuum</w:t>
            </w:r>
            <w:r w:rsidRPr="003351CF">
              <w:rPr>
                <w:webHidden/>
              </w:rPr>
              <w:tab/>
            </w:r>
            <w:r w:rsidRPr="003351CF">
              <w:rPr>
                <w:webHidden/>
              </w:rPr>
              <w:fldChar w:fldCharType="begin"/>
            </w:r>
            <w:r w:rsidRPr="003351CF">
              <w:rPr>
                <w:webHidden/>
              </w:rPr>
              <w:instrText xml:space="preserve"> PAGEREF _Toc232075453 \h </w:instrText>
            </w:r>
            <w:r w:rsidRPr="003351CF">
              <w:rPr>
                <w:webHidden/>
              </w:rPr>
            </w:r>
            <w:r w:rsidRPr="003351CF">
              <w:rPr>
                <w:webHidden/>
              </w:rPr>
              <w:fldChar w:fldCharType="separate"/>
            </w:r>
            <w:r w:rsidRPr="003351CF">
              <w:rPr>
                <w:webHidden/>
              </w:rPr>
              <w:t>36</w:t>
            </w:r>
            <w:r w:rsidRPr="003351CF">
              <w:rPr>
                <w:webHidden/>
              </w:rPr>
              <w:fldChar w:fldCharType="end"/>
            </w:r>
          </w:hyperlink>
        </w:p>
        <w:p w14:paraId="1C26E457" w14:textId="44C96833" w:rsidR="004646B3" w:rsidRPr="003351CF" w:rsidRDefault="004646B3">
          <w:pPr>
            <w:pStyle w:val="TOC2"/>
            <w:tabs>
              <w:tab w:val="right" w:leader="dot" w:pos="9628"/>
            </w:tabs>
            <w:rPr>
              <w:lang w:eastAsia="en-GB"/>
            </w:rPr>
          </w:pPr>
          <w:hyperlink w:anchor="_Toc232075454" w:history="1">
            <w:r w:rsidRPr="003351CF">
              <w:t>Characteristic 4. Retention as an indicator of job quality</w:t>
            </w:r>
            <w:r w:rsidRPr="003351CF">
              <w:rPr>
                <w:webHidden/>
              </w:rPr>
              <w:tab/>
            </w:r>
            <w:r w:rsidRPr="003351CF">
              <w:rPr>
                <w:webHidden/>
              </w:rPr>
              <w:fldChar w:fldCharType="begin"/>
            </w:r>
            <w:r w:rsidRPr="003351CF">
              <w:rPr>
                <w:webHidden/>
              </w:rPr>
              <w:instrText xml:space="preserve"> PAGEREF _Toc232075454 \h </w:instrText>
            </w:r>
            <w:r w:rsidRPr="003351CF">
              <w:rPr>
                <w:webHidden/>
              </w:rPr>
            </w:r>
            <w:r w:rsidRPr="003351CF">
              <w:rPr>
                <w:webHidden/>
              </w:rPr>
              <w:fldChar w:fldCharType="separate"/>
            </w:r>
            <w:r w:rsidRPr="003351CF">
              <w:rPr>
                <w:webHidden/>
              </w:rPr>
              <w:t>36</w:t>
            </w:r>
            <w:r w:rsidRPr="003351CF">
              <w:rPr>
                <w:webHidden/>
              </w:rPr>
              <w:fldChar w:fldCharType="end"/>
            </w:r>
          </w:hyperlink>
        </w:p>
        <w:p w14:paraId="1B129847" w14:textId="45CFB0FB" w:rsidR="004646B3" w:rsidRPr="003351CF" w:rsidRDefault="004646B3">
          <w:pPr>
            <w:pStyle w:val="TOC1"/>
            <w:tabs>
              <w:tab w:val="right" w:leader="dot" w:pos="9628"/>
            </w:tabs>
            <w:rPr>
              <w:lang w:eastAsia="en-GB"/>
            </w:rPr>
          </w:pPr>
          <w:hyperlink w:anchor="_Toc232075455" w:history="1">
            <w:r w:rsidRPr="003351CF">
              <w:t>Enabling and moderating factors</w:t>
            </w:r>
            <w:r w:rsidRPr="003351CF">
              <w:rPr>
                <w:webHidden/>
              </w:rPr>
              <w:tab/>
            </w:r>
            <w:r w:rsidRPr="003351CF">
              <w:rPr>
                <w:webHidden/>
              </w:rPr>
              <w:fldChar w:fldCharType="begin"/>
            </w:r>
            <w:r w:rsidRPr="003351CF">
              <w:rPr>
                <w:webHidden/>
              </w:rPr>
              <w:instrText xml:space="preserve"> PAGEREF _Toc232075455 \h </w:instrText>
            </w:r>
            <w:r w:rsidRPr="003351CF">
              <w:rPr>
                <w:webHidden/>
              </w:rPr>
            </w:r>
            <w:r w:rsidRPr="003351CF">
              <w:rPr>
                <w:webHidden/>
              </w:rPr>
              <w:fldChar w:fldCharType="separate"/>
            </w:r>
            <w:r w:rsidRPr="003351CF">
              <w:rPr>
                <w:webHidden/>
              </w:rPr>
              <w:t>38</w:t>
            </w:r>
            <w:r w:rsidRPr="003351CF">
              <w:rPr>
                <w:webHidden/>
              </w:rPr>
              <w:fldChar w:fldCharType="end"/>
            </w:r>
          </w:hyperlink>
        </w:p>
        <w:p w14:paraId="336897E3" w14:textId="6C7340DA" w:rsidR="004646B3" w:rsidRPr="003351CF" w:rsidRDefault="004646B3">
          <w:pPr>
            <w:pStyle w:val="TOC2"/>
            <w:tabs>
              <w:tab w:val="right" w:leader="dot" w:pos="9628"/>
            </w:tabs>
            <w:rPr>
              <w:lang w:eastAsia="en-GB"/>
            </w:rPr>
          </w:pPr>
          <w:hyperlink w:anchor="_Toc232075456" w:history="1">
            <w:r w:rsidRPr="003351CF">
              <w:t>Factor 1. Intensity and resourcing of work</w:t>
            </w:r>
            <w:r w:rsidRPr="003351CF">
              <w:rPr>
                <w:webHidden/>
              </w:rPr>
              <w:tab/>
            </w:r>
            <w:r w:rsidRPr="003351CF">
              <w:rPr>
                <w:webHidden/>
              </w:rPr>
              <w:fldChar w:fldCharType="begin"/>
            </w:r>
            <w:r w:rsidRPr="003351CF">
              <w:rPr>
                <w:webHidden/>
              </w:rPr>
              <w:instrText xml:space="preserve"> PAGEREF _Toc232075456 \h </w:instrText>
            </w:r>
            <w:r w:rsidRPr="003351CF">
              <w:rPr>
                <w:webHidden/>
              </w:rPr>
            </w:r>
            <w:r w:rsidRPr="003351CF">
              <w:rPr>
                <w:webHidden/>
              </w:rPr>
              <w:fldChar w:fldCharType="separate"/>
            </w:r>
            <w:r w:rsidRPr="003351CF">
              <w:rPr>
                <w:webHidden/>
              </w:rPr>
              <w:t>38</w:t>
            </w:r>
            <w:r w:rsidRPr="003351CF">
              <w:rPr>
                <w:webHidden/>
              </w:rPr>
              <w:fldChar w:fldCharType="end"/>
            </w:r>
          </w:hyperlink>
        </w:p>
        <w:p w14:paraId="4E97ACDD" w14:textId="3E4E3FC0" w:rsidR="004646B3" w:rsidRPr="003351CF" w:rsidRDefault="004646B3">
          <w:pPr>
            <w:pStyle w:val="TOC2"/>
            <w:tabs>
              <w:tab w:val="right" w:leader="dot" w:pos="9628"/>
            </w:tabs>
            <w:rPr>
              <w:lang w:eastAsia="en-GB"/>
            </w:rPr>
          </w:pPr>
          <w:hyperlink w:anchor="_Toc232075457" w:history="1">
            <w:r w:rsidRPr="003351CF">
              <w:t>Factor 2. Relationship maturity and co-production</w:t>
            </w:r>
            <w:r w:rsidRPr="003351CF">
              <w:rPr>
                <w:webHidden/>
              </w:rPr>
              <w:tab/>
            </w:r>
            <w:r w:rsidRPr="003351CF">
              <w:rPr>
                <w:webHidden/>
              </w:rPr>
              <w:fldChar w:fldCharType="begin"/>
            </w:r>
            <w:r w:rsidRPr="003351CF">
              <w:rPr>
                <w:webHidden/>
              </w:rPr>
              <w:instrText xml:space="preserve"> PAGEREF _Toc232075457 \h </w:instrText>
            </w:r>
            <w:r w:rsidRPr="003351CF">
              <w:rPr>
                <w:webHidden/>
              </w:rPr>
            </w:r>
            <w:r w:rsidRPr="003351CF">
              <w:rPr>
                <w:webHidden/>
              </w:rPr>
              <w:fldChar w:fldCharType="separate"/>
            </w:r>
            <w:r w:rsidRPr="003351CF">
              <w:rPr>
                <w:webHidden/>
              </w:rPr>
              <w:t>39</w:t>
            </w:r>
            <w:r w:rsidRPr="003351CF">
              <w:rPr>
                <w:webHidden/>
              </w:rPr>
              <w:fldChar w:fldCharType="end"/>
            </w:r>
          </w:hyperlink>
        </w:p>
        <w:p w14:paraId="2BCF8C7A" w14:textId="58728528" w:rsidR="004646B3" w:rsidRPr="003351CF" w:rsidRDefault="004646B3">
          <w:pPr>
            <w:pStyle w:val="TOC2"/>
            <w:tabs>
              <w:tab w:val="right" w:leader="dot" w:pos="9628"/>
            </w:tabs>
            <w:rPr>
              <w:lang w:eastAsia="en-GB"/>
            </w:rPr>
          </w:pPr>
          <w:hyperlink w:anchor="_Toc232075458" w:history="1">
            <w:r w:rsidRPr="003351CF">
              <w:t>Factor 3. System alignment and scaling of employer engagement activities</w:t>
            </w:r>
            <w:r w:rsidRPr="003351CF">
              <w:rPr>
                <w:webHidden/>
              </w:rPr>
              <w:tab/>
            </w:r>
            <w:r w:rsidRPr="003351CF">
              <w:rPr>
                <w:webHidden/>
              </w:rPr>
              <w:fldChar w:fldCharType="begin"/>
            </w:r>
            <w:r w:rsidRPr="003351CF">
              <w:rPr>
                <w:webHidden/>
              </w:rPr>
              <w:instrText xml:space="preserve"> PAGEREF _Toc232075458 \h </w:instrText>
            </w:r>
            <w:r w:rsidRPr="003351CF">
              <w:rPr>
                <w:webHidden/>
              </w:rPr>
            </w:r>
            <w:r w:rsidRPr="003351CF">
              <w:rPr>
                <w:webHidden/>
              </w:rPr>
              <w:fldChar w:fldCharType="separate"/>
            </w:r>
            <w:r w:rsidRPr="003351CF">
              <w:rPr>
                <w:webHidden/>
              </w:rPr>
              <w:t>41</w:t>
            </w:r>
            <w:r w:rsidRPr="003351CF">
              <w:rPr>
                <w:webHidden/>
              </w:rPr>
              <w:fldChar w:fldCharType="end"/>
            </w:r>
          </w:hyperlink>
        </w:p>
        <w:p w14:paraId="544CF744" w14:textId="75589C1B" w:rsidR="004646B3" w:rsidRPr="003351CF" w:rsidRDefault="004646B3">
          <w:pPr>
            <w:pStyle w:val="TOC1"/>
            <w:tabs>
              <w:tab w:val="right" w:leader="dot" w:pos="9628"/>
            </w:tabs>
            <w:rPr>
              <w:lang w:eastAsia="en-GB"/>
            </w:rPr>
          </w:pPr>
          <w:hyperlink w:anchor="_Toc232075459" w:history="1">
            <w:r w:rsidRPr="003351CF">
              <w:t>Discussion</w:t>
            </w:r>
            <w:r w:rsidRPr="003351CF">
              <w:rPr>
                <w:webHidden/>
              </w:rPr>
              <w:tab/>
            </w:r>
            <w:r w:rsidRPr="003351CF">
              <w:rPr>
                <w:webHidden/>
              </w:rPr>
              <w:fldChar w:fldCharType="begin"/>
            </w:r>
            <w:r w:rsidRPr="003351CF">
              <w:rPr>
                <w:webHidden/>
              </w:rPr>
              <w:instrText xml:space="preserve"> PAGEREF _Toc232075459 \h </w:instrText>
            </w:r>
            <w:r w:rsidRPr="003351CF">
              <w:rPr>
                <w:webHidden/>
              </w:rPr>
            </w:r>
            <w:r w:rsidRPr="003351CF">
              <w:rPr>
                <w:webHidden/>
              </w:rPr>
              <w:fldChar w:fldCharType="separate"/>
            </w:r>
            <w:r w:rsidRPr="003351CF">
              <w:rPr>
                <w:webHidden/>
              </w:rPr>
              <w:t>44</w:t>
            </w:r>
            <w:r w:rsidRPr="003351CF">
              <w:rPr>
                <w:webHidden/>
              </w:rPr>
              <w:fldChar w:fldCharType="end"/>
            </w:r>
          </w:hyperlink>
        </w:p>
        <w:p w14:paraId="27B6C877" w14:textId="6652A476" w:rsidR="004646B3" w:rsidRPr="003351CF" w:rsidRDefault="004646B3">
          <w:pPr>
            <w:pStyle w:val="TOC2"/>
            <w:tabs>
              <w:tab w:val="right" w:leader="dot" w:pos="9628"/>
            </w:tabs>
            <w:rPr>
              <w:lang w:eastAsia="en-GB"/>
            </w:rPr>
          </w:pPr>
          <w:hyperlink w:anchor="_Toc232075460" w:history="1">
            <w:r w:rsidRPr="003351CF">
              <w:t>Implication 1. Employer-facing diagnosis and segmentation</w:t>
            </w:r>
            <w:r w:rsidRPr="003351CF">
              <w:rPr>
                <w:webHidden/>
              </w:rPr>
              <w:tab/>
            </w:r>
            <w:r w:rsidRPr="003351CF">
              <w:rPr>
                <w:webHidden/>
              </w:rPr>
              <w:fldChar w:fldCharType="begin"/>
            </w:r>
            <w:r w:rsidRPr="003351CF">
              <w:rPr>
                <w:webHidden/>
              </w:rPr>
              <w:instrText xml:space="preserve"> PAGEREF _Toc232075460 \h </w:instrText>
            </w:r>
            <w:r w:rsidRPr="003351CF">
              <w:rPr>
                <w:webHidden/>
              </w:rPr>
            </w:r>
            <w:r w:rsidRPr="003351CF">
              <w:rPr>
                <w:webHidden/>
              </w:rPr>
              <w:fldChar w:fldCharType="separate"/>
            </w:r>
            <w:r w:rsidRPr="003351CF">
              <w:rPr>
                <w:webHidden/>
              </w:rPr>
              <w:t>44</w:t>
            </w:r>
            <w:r w:rsidRPr="003351CF">
              <w:rPr>
                <w:webHidden/>
              </w:rPr>
              <w:fldChar w:fldCharType="end"/>
            </w:r>
          </w:hyperlink>
        </w:p>
        <w:p w14:paraId="2A355220" w14:textId="38F4FD69" w:rsidR="004646B3" w:rsidRPr="003351CF" w:rsidRDefault="004646B3">
          <w:pPr>
            <w:pStyle w:val="TOC2"/>
            <w:tabs>
              <w:tab w:val="right" w:leader="dot" w:pos="9628"/>
            </w:tabs>
            <w:rPr>
              <w:lang w:eastAsia="en-GB"/>
            </w:rPr>
          </w:pPr>
          <w:hyperlink w:anchor="_Toc232075461" w:history="1">
            <w:r w:rsidRPr="003351CF">
              <w:t>Implication 2. A menu of employer supports</w:t>
            </w:r>
            <w:r w:rsidRPr="003351CF">
              <w:rPr>
                <w:webHidden/>
              </w:rPr>
              <w:tab/>
            </w:r>
            <w:r w:rsidRPr="003351CF">
              <w:rPr>
                <w:webHidden/>
              </w:rPr>
              <w:fldChar w:fldCharType="begin"/>
            </w:r>
            <w:r w:rsidRPr="003351CF">
              <w:rPr>
                <w:webHidden/>
              </w:rPr>
              <w:instrText xml:space="preserve"> PAGEREF _Toc232075461 \h </w:instrText>
            </w:r>
            <w:r w:rsidRPr="003351CF">
              <w:rPr>
                <w:webHidden/>
              </w:rPr>
            </w:r>
            <w:r w:rsidRPr="003351CF">
              <w:rPr>
                <w:webHidden/>
              </w:rPr>
              <w:fldChar w:fldCharType="separate"/>
            </w:r>
            <w:r w:rsidRPr="003351CF">
              <w:rPr>
                <w:webHidden/>
              </w:rPr>
              <w:t>45</w:t>
            </w:r>
            <w:r w:rsidRPr="003351CF">
              <w:rPr>
                <w:webHidden/>
              </w:rPr>
              <w:fldChar w:fldCharType="end"/>
            </w:r>
          </w:hyperlink>
        </w:p>
        <w:p w14:paraId="5A9C67BF" w14:textId="0BC54782" w:rsidR="004646B3" w:rsidRPr="003351CF" w:rsidRDefault="004646B3">
          <w:pPr>
            <w:pStyle w:val="TOC2"/>
            <w:tabs>
              <w:tab w:val="right" w:leader="dot" w:pos="9628"/>
            </w:tabs>
            <w:rPr>
              <w:lang w:eastAsia="en-GB"/>
            </w:rPr>
          </w:pPr>
          <w:hyperlink w:anchor="_Toc232075462" w:history="1">
            <w:r w:rsidRPr="003351CF">
              <w:t>Implication 3. Partnering with employers to build infrastructure for retention and progression</w:t>
            </w:r>
            <w:r w:rsidRPr="003351CF">
              <w:rPr>
                <w:webHidden/>
              </w:rPr>
              <w:tab/>
            </w:r>
            <w:r w:rsidRPr="003351CF">
              <w:rPr>
                <w:webHidden/>
              </w:rPr>
              <w:fldChar w:fldCharType="begin"/>
            </w:r>
            <w:r w:rsidRPr="003351CF">
              <w:rPr>
                <w:webHidden/>
              </w:rPr>
              <w:instrText xml:space="preserve"> PAGEREF _Toc232075462 \h </w:instrText>
            </w:r>
            <w:r w:rsidRPr="003351CF">
              <w:rPr>
                <w:webHidden/>
              </w:rPr>
            </w:r>
            <w:r w:rsidRPr="003351CF">
              <w:rPr>
                <w:webHidden/>
              </w:rPr>
              <w:fldChar w:fldCharType="separate"/>
            </w:r>
            <w:r w:rsidRPr="003351CF">
              <w:rPr>
                <w:webHidden/>
              </w:rPr>
              <w:t>47</w:t>
            </w:r>
            <w:r w:rsidRPr="003351CF">
              <w:rPr>
                <w:webHidden/>
              </w:rPr>
              <w:fldChar w:fldCharType="end"/>
            </w:r>
          </w:hyperlink>
        </w:p>
        <w:p w14:paraId="3D44E739" w14:textId="1A18D343" w:rsidR="004646B3" w:rsidRPr="003351CF" w:rsidRDefault="004646B3">
          <w:pPr>
            <w:pStyle w:val="TOC2"/>
            <w:tabs>
              <w:tab w:val="right" w:leader="dot" w:pos="9628"/>
            </w:tabs>
            <w:rPr>
              <w:lang w:eastAsia="en-GB"/>
            </w:rPr>
          </w:pPr>
          <w:hyperlink w:anchor="_Toc232075463" w:history="1">
            <w:r w:rsidRPr="003351CF">
              <w:t>Implication 4. Evidence strength and transferability</w:t>
            </w:r>
            <w:r w:rsidRPr="003351CF">
              <w:rPr>
                <w:webHidden/>
              </w:rPr>
              <w:tab/>
            </w:r>
            <w:r w:rsidRPr="003351CF">
              <w:rPr>
                <w:webHidden/>
              </w:rPr>
              <w:fldChar w:fldCharType="begin"/>
            </w:r>
            <w:r w:rsidRPr="003351CF">
              <w:rPr>
                <w:webHidden/>
              </w:rPr>
              <w:instrText xml:space="preserve"> PAGEREF _Toc232075463 \h </w:instrText>
            </w:r>
            <w:r w:rsidRPr="003351CF">
              <w:rPr>
                <w:webHidden/>
              </w:rPr>
            </w:r>
            <w:r w:rsidRPr="003351CF">
              <w:rPr>
                <w:webHidden/>
              </w:rPr>
              <w:fldChar w:fldCharType="separate"/>
            </w:r>
            <w:r w:rsidRPr="003351CF">
              <w:rPr>
                <w:webHidden/>
              </w:rPr>
              <w:t>48</w:t>
            </w:r>
            <w:r w:rsidRPr="003351CF">
              <w:rPr>
                <w:webHidden/>
              </w:rPr>
              <w:fldChar w:fldCharType="end"/>
            </w:r>
          </w:hyperlink>
        </w:p>
        <w:p w14:paraId="17675192" w14:textId="12C9C031" w:rsidR="004646B3" w:rsidRPr="003351CF" w:rsidRDefault="004646B3">
          <w:pPr>
            <w:pStyle w:val="TOC1"/>
            <w:tabs>
              <w:tab w:val="right" w:leader="dot" w:pos="9628"/>
            </w:tabs>
            <w:rPr>
              <w:lang w:eastAsia="en-GB"/>
            </w:rPr>
          </w:pPr>
          <w:hyperlink w:anchor="_Toc232075464" w:history="1">
            <w:r w:rsidRPr="003351CF">
              <w:t>Conclusion</w:t>
            </w:r>
            <w:r w:rsidRPr="003351CF">
              <w:rPr>
                <w:webHidden/>
              </w:rPr>
              <w:tab/>
            </w:r>
            <w:r w:rsidRPr="003351CF">
              <w:rPr>
                <w:webHidden/>
              </w:rPr>
              <w:fldChar w:fldCharType="begin"/>
            </w:r>
            <w:r w:rsidRPr="003351CF">
              <w:rPr>
                <w:webHidden/>
              </w:rPr>
              <w:instrText xml:space="preserve"> PAGEREF _Toc232075464 \h </w:instrText>
            </w:r>
            <w:r w:rsidRPr="003351CF">
              <w:rPr>
                <w:webHidden/>
              </w:rPr>
            </w:r>
            <w:r w:rsidRPr="003351CF">
              <w:rPr>
                <w:webHidden/>
              </w:rPr>
              <w:fldChar w:fldCharType="separate"/>
            </w:r>
            <w:r w:rsidRPr="003351CF">
              <w:rPr>
                <w:webHidden/>
              </w:rPr>
              <w:t>51</w:t>
            </w:r>
            <w:r w:rsidRPr="003351CF">
              <w:rPr>
                <w:webHidden/>
              </w:rPr>
              <w:fldChar w:fldCharType="end"/>
            </w:r>
          </w:hyperlink>
        </w:p>
        <w:p w14:paraId="71B11C09" w14:textId="614B3062" w:rsidR="004646B3" w:rsidRPr="003351CF" w:rsidRDefault="004646B3">
          <w:pPr>
            <w:pStyle w:val="TOC2"/>
            <w:tabs>
              <w:tab w:val="right" w:leader="dot" w:pos="9628"/>
            </w:tabs>
            <w:rPr>
              <w:lang w:eastAsia="en-GB"/>
            </w:rPr>
          </w:pPr>
          <w:hyperlink w:anchor="_Toc232075465" w:history="1">
            <w:r w:rsidRPr="003351CF">
              <w:t>Strengths, gaps and future directions</w:t>
            </w:r>
            <w:r w:rsidRPr="003351CF">
              <w:rPr>
                <w:webHidden/>
              </w:rPr>
              <w:tab/>
            </w:r>
            <w:r w:rsidRPr="003351CF">
              <w:rPr>
                <w:webHidden/>
              </w:rPr>
              <w:fldChar w:fldCharType="begin"/>
            </w:r>
            <w:r w:rsidRPr="003351CF">
              <w:rPr>
                <w:webHidden/>
              </w:rPr>
              <w:instrText xml:space="preserve"> PAGEREF _Toc232075465 \h </w:instrText>
            </w:r>
            <w:r w:rsidRPr="003351CF">
              <w:rPr>
                <w:webHidden/>
              </w:rPr>
            </w:r>
            <w:r w:rsidRPr="003351CF">
              <w:rPr>
                <w:webHidden/>
              </w:rPr>
              <w:fldChar w:fldCharType="separate"/>
            </w:r>
            <w:r w:rsidRPr="003351CF">
              <w:rPr>
                <w:webHidden/>
              </w:rPr>
              <w:t>51</w:t>
            </w:r>
            <w:r w:rsidRPr="003351CF">
              <w:rPr>
                <w:webHidden/>
              </w:rPr>
              <w:fldChar w:fldCharType="end"/>
            </w:r>
          </w:hyperlink>
        </w:p>
        <w:p w14:paraId="328D88D8" w14:textId="4107148F" w:rsidR="004646B3" w:rsidRPr="003351CF" w:rsidRDefault="004646B3">
          <w:pPr>
            <w:pStyle w:val="TOC3"/>
            <w:tabs>
              <w:tab w:val="right" w:leader="dot" w:pos="9628"/>
            </w:tabs>
            <w:rPr>
              <w:lang w:eastAsia="en-GB"/>
            </w:rPr>
          </w:pPr>
          <w:hyperlink w:anchor="_Toc232075466" w:history="1">
            <w:r w:rsidRPr="003351CF">
              <w:t>Limitations</w:t>
            </w:r>
            <w:r w:rsidRPr="003351CF">
              <w:rPr>
                <w:webHidden/>
              </w:rPr>
              <w:tab/>
            </w:r>
            <w:r w:rsidRPr="003351CF">
              <w:rPr>
                <w:webHidden/>
              </w:rPr>
              <w:fldChar w:fldCharType="begin"/>
            </w:r>
            <w:r w:rsidRPr="003351CF">
              <w:rPr>
                <w:webHidden/>
              </w:rPr>
              <w:instrText xml:space="preserve"> PAGEREF _Toc232075466 \h </w:instrText>
            </w:r>
            <w:r w:rsidRPr="003351CF">
              <w:rPr>
                <w:webHidden/>
              </w:rPr>
            </w:r>
            <w:r w:rsidRPr="003351CF">
              <w:rPr>
                <w:webHidden/>
              </w:rPr>
              <w:fldChar w:fldCharType="separate"/>
            </w:r>
            <w:r w:rsidRPr="003351CF">
              <w:rPr>
                <w:webHidden/>
              </w:rPr>
              <w:t>51</w:t>
            </w:r>
            <w:r w:rsidRPr="003351CF">
              <w:rPr>
                <w:webHidden/>
              </w:rPr>
              <w:fldChar w:fldCharType="end"/>
            </w:r>
          </w:hyperlink>
        </w:p>
        <w:p w14:paraId="7AC79ECE" w14:textId="419B34A2" w:rsidR="004646B3" w:rsidRPr="003351CF" w:rsidRDefault="004646B3">
          <w:pPr>
            <w:pStyle w:val="TOC3"/>
            <w:tabs>
              <w:tab w:val="right" w:leader="dot" w:pos="9628"/>
            </w:tabs>
            <w:rPr>
              <w:lang w:eastAsia="en-GB"/>
            </w:rPr>
          </w:pPr>
          <w:hyperlink w:anchor="_Toc232075467" w:history="1">
            <w:r w:rsidRPr="003351CF">
              <w:t>Next steps</w:t>
            </w:r>
            <w:r w:rsidRPr="003351CF">
              <w:rPr>
                <w:webHidden/>
              </w:rPr>
              <w:tab/>
            </w:r>
            <w:r w:rsidRPr="003351CF">
              <w:rPr>
                <w:webHidden/>
              </w:rPr>
              <w:fldChar w:fldCharType="begin"/>
            </w:r>
            <w:r w:rsidRPr="003351CF">
              <w:rPr>
                <w:webHidden/>
              </w:rPr>
              <w:instrText xml:space="preserve"> PAGEREF _Toc232075467 \h </w:instrText>
            </w:r>
            <w:r w:rsidRPr="003351CF">
              <w:rPr>
                <w:webHidden/>
              </w:rPr>
            </w:r>
            <w:r w:rsidRPr="003351CF">
              <w:rPr>
                <w:webHidden/>
              </w:rPr>
              <w:fldChar w:fldCharType="separate"/>
            </w:r>
            <w:r w:rsidRPr="003351CF">
              <w:rPr>
                <w:webHidden/>
              </w:rPr>
              <w:t>52</w:t>
            </w:r>
            <w:r w:rsidRPr="003351CF">
              <w:rPr>
                <w:webHidden/>
              </w:rPr>
              <w:fldChar w:fldCharType="end"/>
            </w:r>
          </w:hyperlink>
        </w:p>
        <w:p w14:paraId="57244AF5" w14:textId="5D8738C6" w:rsidR="004646B3" w:rsidRPr="003351CF" w:rsidRDefault="004646B3">
          <w:pPr>
            <w:pStyle w:val="TOC1"/>
            <w:tabs>
              <w:tab w:val="right" w:leader="dot" w:pos="9628"/>
            </w:tabs>
            <w:rPr>
              <w:lang w:eastAsia="en-GB"/>
            </w:rPr>
          </w:pPr>
          <w:hyperlink w:anchor="_Toc232075468" w:history="1">
            <w:r w:rsidRPr="003351CF">
              <w:t>References</w:t>
            </w:r>
            <w:r w:rsidRPr="003351CF">
              <w:rPr>
                <w:webHidden/>
              </w:rPr>
              <w:tab/>
            </w:r>
            <w:r w:rsidRPr="003351CF">
              <w:rPr>
                <w:webHidden/>
              </w:rPr>
              <w:fldChar w:fldCharType="begin"/>
            </w:r>
            <w:r w:rsidRPr="003351CF">
              <w:rPr>
                <w:webHidden/>
              </w:rPr>
              <w:instrText xml:space="preserve"> PAGEREF _Toc232075468 \h </w:instrText>
            </w:r>
            <w:r w:rsidRPr="003351CF">
              <w:rPr>
                <w:webHidden/>
              </w:rPr>
            </w:r>
            <w:r w:rsidRPr="003351CF">
              <w:rPr>
                <w:webHidden/>
              </w:rPr>
              <w:fldChar w:fldCharType="separate"/>
            </w:r>
            <w:r w:rsidRPr="003351CF">
              <w:rPr>
                <w:webHidden/>
              </w:rPr>
              <w:t>54</w:t>
            </w:r>
            <w:r w:rsidRPr="003351CF">
              <w:rPr>
                <w:webHidden/>
              </w:rPr>
              <w:fldChar w:fldCharType="end"/>
            </w:r>
          </w:hyperlink>
        </w:p>
        <w:p w14:paraId="1590D781" w14:textId="265C7817" w:rsidR="003F3B45" w:rsidRDefault="004646B3" w:rsidP="009F3CE2">
          <w:r w:rsidRPr="003351CF">
            <w:fldChar w:fldCharType="end"/>
          </w:r>
        </w:p>
      </w:sdtContent>
    </w:sdt>
    <w:p w14:paraId="0384FBE2" w14:textId="1B8060E2" w:rsidR="00C43CA7" w:rsidRPr="00C43CA7" w:rsidRDefault="00E21549" w:rsidP="00085BB7">
      <w:pPr>
        <w:pStyle w:val="Heading1"/>
      </w:pPr>
      <w:bookmarkStart w:id="5" w:name="_Toc226902100"/>
      <w:bookmarkStart w:id="6" w:name="_Toc232075424"/>
      <w:r w:rsidRPr="00277455">
        <w:lastRenderedPageBreak/>
        <w:t>Acronyms and abbreviations used in this report</w:t>
      </w:r>
      <w:bookmarkEnd w:id="3"/>
      <w:bookmarkEnd w:id="5"/>
      <w:bookmarkEnd w:id="6"/>
      <w:r w:rsidRPr="00277455">
        <w:t xml:space="preserve"> </w:t>
      </w:r>
    </w:p>
    <w:p w14:paraId="53F28B98" w14:textId="7258B953" w:rsidR="00ED3B8C" w:rsidRPr="00726D9F" w:rsidRDefault="00E21549" w:rsidP="009F3CE2">
      <w:r w:rsidRPr="00726D9F">
        <w:t>In Australia the term ‘</w:t>
      </w:r>
      <w:r w:rsidR="00F5412D">
        <w:t>people with disability</w:t>
      </w:r>
      <w:r w:rsidRPr="00726D9F">
        <w:t>’ is commonly used. However, in the UK and US ‘disabled people’ tends to be used</w:t>
      </w:r>
      <w:r w:rsidR="54079FC1" w:rsidRPr="00726D9F">
        <w:t xml:space="preserve">. </w:t>
      </w:r>
      <w:r w:rsidR="00C43CA7">
        <w:t xml:space="preserve">Both terms </w:t>
      </w:r>
      <w:r w:rsidR="54079FC1" w:rsidRPr="00726D9F">
        <w:t>reflect the social model of disability.</w:t>
      </w:r>
    </w:p>
    <w:p w14:paraId="72A0D257" w14:textId="32B5DB4F" w:rsidR="00ED3B8C" w:rsidRDefault="003273A2" w:rsidP="00A55E86">
      <w:r w:rsidRPr="00726D9F">
        <w:rPr>
          <w:b/>
          <w:bCs/>
        </w:rPr>
        <w:t xml:space="preserve">ADE </w:t>
      </w:r>
      <w:r w:rsidR="00B27C1A">
        <w:t>– Australian Disability Enterprise</w:t>
      </w:r>
    </w:p>
    <w:p w14:paraId="0B41EF7D" w14:textId="5CCFE4D2" w:rsidR="00577626" w:rsidRPr="00085BB7" w:rsidRDefault="00577626" w:rsidP="009F3CE2">
      <w:pPr>
        <w:rPr>
          <w:b/>
          <w:bCs/>
        </w:rPr>
      </w:pPr>
      <w:r>
        <w:rPr>
          <w:b/>
          <w:bCs/>
        </w:rPr>
        <w:t xml:space="preserve">Advisor </w:t>
      </w:r>
      <w:r w:rsidRPr="00E03BDE">
        <w:t xml:space="preserve">– </w:t>
      </w:r>
      <w:r>
        <w:t>provider staff who are candidate facing</w:t>
      </w:r>
    </w:p>
    <w:p w14:paraId="5B533491" w14:textId="788C3CB2" w:rsidR="15655A78" w:rsidRDefault="00577626" w:rsidP="009F3CE2">
      <w:r w:rsidRPr="00E03BDE">
        <w:rPr>
          <w:b/>
          <w:bCs/>
        </w:rPr>
        <w:t>Employer engagement staff</w:t>
      </w:r>
      <w:r>
        <w:t xml:space="preserve"> – provider staff who are employer facing</w:t>
      </w:r>
    </w:p>
    <w:p w14:paraId="36F3243A" w14:textId="360028D2" w:rsidR="00ED3B8C" w:rsidRPr="00726D9F" w:rsidRDefault="70D656D5" w:rsidP="009F3CE2">
      <w:r w:rsidRPr="0029232D">
        <w:rPr>
          <w:b/>
          <w:bCs/>
        </w:rPr>
        <w:t>HR</w:t>
      </w:r>
      <w:r w:rsidRPr="15655A78">
        <w:t xml:space="preserve"> – Human Resources</w:t>
      </w:r>
    </w:p>
    <w:p w14:paraId="26C94484" w14:textId="148A57AA" w:rsidR="00ED3B8C" w:rsidRDefault="54079FC1" w:rsidP="009F3CE2">
      <w:r w:rsidRPr="00726D9F">
        <w:rPr>
          <w:b/>
          <w:bCs/>
        </w:rPr>
        <w:t>Social model of disability</w:t>
      </w:r>
      <w:r w:rsidRPr="00726D9F">
        <w:t xml:space="preserve"> – people are not </w:t>
      </w:r>
      <w:r w:rsidR="004C3FDA" w:rsidRPr="00726D9F">
        <w:t xml:space="preserve">disabled </w:t>
      </w:r>
      <w:r w:rsidRPr="00726D9F">
        <w:t>by medical conditions, impairments</w:t>
      </w:r>
      <w:r w:rsidR="5139B3CE" w:rsidRPr="00726D9F">
        <w:t xml:space="preserve"> </w:t>
      </w:r>
      <w:r w:rsidRPr="00726D9F">
        <w:t>or diagnoses but by barriers constructed by society.</w:t>
      </w:r>
    </w:p>
    <w:p w14:paraId="25E2BD4E" w14:textId="78D50FDA" w:rsidR="00ED3B8C" w:rsidRPr="00726D9F" w:rsidRDefault="00844ED1" w:rsidP="009F3CE2">
      <w:r w:rsidRPr="15655A78">
        <w:rPr>
          <w:b/>
          <w:bCs/>
        </w:rPr>
        <w:t>Mainstream employment services</w:t>
      </w:r>
      <w:r w:rsidR="00790FDB" w:rsidRPr="15655A78">
        <w:rPr>
          <w:b/>
          <w:bCs/>
        </w:rPr>
        <w:t xml:space="preserve"> </w:t>
      </w:r>
      <w:r w:rsidR="003E5330" w:rsidRPr="15655A78">
        <w:t>–</w:t>
      </w:r>
      <w:r w:rsidR="00EB3D4D">
        <w:t xml:space="preserve"> </w:t>
      </w:r>
      <w:r w:rsidR="00927206">
        <w:t xml:space="preserve">employment services </w:t>
      </w:r>
      <w:r w:rsidR="003E5330" w:rsidRPr="15655A78">
        <w:t xml:space="preserve">for a broad range of cohorts not in </w:t>
      </w:r>
      <w:r w:rsidR="00EB3D4D">
        <w:t>employment</w:t>
      </w:r>
      <w:r w:rsidR="003E5330" w:rsidRPr="15655A78">
        <w:t xml:space="preserve">, not just people with </w:t>
      </w:r>
      <w:r w:rsidR="14BFEA65" w:rsidRPr="15655A78">
        <w:t>disability</w:t>
      </w:r>
    </w:p>
    <w:p w14:paraId="3B51A1D4" w14:textId="42A486E3" w:rsidR="00ED3B8C" w:rsidRPr="00085BB7" w:rsidRDefault="00844ED1" w:rsidP="009F3CE2">
      <w:pPr>
        <w:rPr>
          <w:b/>
          <w:bCs/>
        </w:rPr>
      </w:pPr>
      <w:r w:rsidRPr="00726D9F">
        <w:rPr>
          <w:b/>
          <w:bCs/>
        </w:rPr>
        <w:t>Open employment</w:t>
      </w:r>
      <w:r w:rsidR="00790FDB">
        <w:rPr>
          <w:b/>
          <w:bCs/>
        </w:rPr>
        <w:t xml:space="preserve"> </w:t>
      </w:r>
      <w:r w:rsidR="003E5330" w:rsidRPr="003E5330">
        <w:t>–</w:t>
      </w:r>
      <w:r w:rsidR="00790FDB" w:rsidRPr="003E5330">
        <w:t xml:space="preserve"> </w:t>
      </w:r>
      <w:r w:rsidR="003E5330" w:rsidRPr="003E5330">
        <w:t xml:space="preserve">employment in </w:t>
      </w:r>
      <w:r w:rsidR="003E5330">
        <w:t>the mainstream labour market and not in sheltered or supported employment settings</w:t>
      </w:r>
    </w:p>
    <w:p w14:paraId="0D2DB05E" w14:textId="3C8D6CAF" w:rsidR="00ED3B8C" w:rsidRPr="00726D9F" w:rsidRDefault="003273A2" w:rsidP="009F3CE2">
      <w:r w:rsidRPr="00726D9F">
        <w:rPr>
          <w:b/>
          <w:bCs/>
        </w:rPr>
        <w:t>Specialist employment services</w:t>
      </w:r>
      <w:r w:rsidR="00790FDB">
        <w:rPr>
          <w:b/>
          <w:bCs/>
        </w:rPr>
        <w:t xml:space="preserve"> </w:t>
      </w:r>
      <w:r w:rsidR="003E5330">
        <w:t xml:space="preserve">– employment services </w:t>
      </w:r>
      <w:r w:rsidR="00927206">
        <w:t>for</w:t>
      </w:r>
      <w:r w:rsidR="003E5330">
        <w:t xml:space="preserve"> people with disability</w:t>
      </w:r>
    </w:p>
    <w:p w14:paraId="7E35AC55" w14:textId="61DF02F3" w:rsidR="003273A2" w:rsidRPr="0002516D" w:rsidRDefault="003273A2" w:rsidP="009F3CE2">
      <w:r w:rsidRPr="00726D9F">
        <w:rPr>
          <w:b/>
          <w:bCs/>
        </w:rPr>
        <w:t>Supported employment</w:t>
      </w:r>
      <w:r w:rsidR="00790FDB">
        <w:rPr>
          <w:b/>
          <w:bCs/>
        </w:rPr>
        <w:t xml:space="preserve"> </w:t>
      </w:r>
      <w:r w:rsidR="0002516D">
        <w:t xml:space="preserve">– in Australia supported employment means employment in ADEs. Elsewhere, </w:t>
      </w:r>
      <w:r w:rsidR="00E34768">
        <w:t>it refers to employment support</w:t>
      </w:r>
      <w:r w:rsidR="006D0D8F">
        <w:t xml:space="preserve"> </w:t>
      </w:r>
      <w:r w:rsidR="00FD2DA2">
        <w:t>for people with high support needs</w:t>
      </w:r>
      <w:r w:rsidR="003068BC">
        <w:t xml:space="preserve">, </w:t>
      </w:r>
      <w:r w:rsidR="00E34768">
        <w:t>tailored to individual needs</w:t>
      </w:r>
      <w:r w:rsidR="003068BC">
        <w:t xml:space="preserve"> and with significant ongoing support.</w:t>
      </w:r>
    </w:p>
    <w:p w14:paraId="350123DB" w14:textId="77777777" w:rsidR="00E21549" w:rsidRPr="00726D9F" w:rsidRDefault="00E21549" w:rsidP="009F3CE2">
      <w:pPr>
        <w:rPr>
          <w:rFonts w:eastAsiaTheme="majorEastAsia"/>
          <w:color w:val="65328F" w:themeColor="accent1"/>
        </w:rPr>
      </w:pPr>
      <w:r w:rsidRPr="00726D9F">
        <w:br w:type="page"/>
      </w:r>
    </w:p>
    <w:p w14:paraId="3008A84A" w14:textId="3376EECB" w:rsidR="00ED3B8C" w:rsidRPr="002E21C7" w:rsidRDefault="00E42730" w:rsidP="002E21C7">
      <w:pPr>
        <w:pStyle w:val="Heading1"/>
        <w:rPr>
          <w:rFonts w:asciiTheme="minorHAnsi" w:hAnsiTheme="minorHAnsi"/>
          <w:bCs/>
          <w:color w:val="000000" w:themeColor="text1"/>
          <w:sz w:val="24"/>
          <w:szCs w:val="24"/>
        </w:rPr>
      </w:pPr>
      <w:bookmarkStart w:id="7" w:name="_Toc226902101"/>
      <w:bookmarkStart w:id="8" w:name="_Toc232075425"/>
      <w:bookmarkStart w:id="9" w:name="_Toc223984032"/>
      <w:r w:rsidRPr="00277455">
        <w:lastRenderedPageBreak/>
        <w:t>Executive s</w:t>
      </w:r>
      <w:r w:rsidR="0004015B" w:rsidRPr="00277455">
        <w:t>ummary</w:t>
      </w:r>
      <w:bookmarkEnd w:id="4"/>
      <w:bookmarkEnd w:id="7"/>
      <w:bookmarkEnd w:id="8"/>
      <w:r w:rsidR="00E21549" w:rsidRPr="00726D9F">
        <w:rPr>
          <w:rFonts w:asciiTheme="minorHAnsi" w:hAnsiTheme="minorHAnsi" w:cs="Poppins"/>
          <w:sz w:val="24"/>
          <w:szCs w:val="24"/>
        </w:rPr>
        <w:t xml:space="preserve"> </w:t>
      </w:r>
      <w:bookmarkEnd w:id="9"/>
    </w:p>
    <w:p w14:paraId="01009D31" w14:textId="16A3816B" w:rsidR="6AEA515C" w:rsidRDefault="6AEA515C" w:rsidP="002E21C7">
      <w:pPr>
        <w:pStyle w:val="Heading2"/>
      </w:pPr>
      <w:bookmarkStart w:id="10" w:name="_Toc223984033"/>
      <w:bookmarkStart w:id="11" w:name="_Toc226902102"/>
      <w:bookmarkStart w:id="12" w:name="_Toc232075426"/>
      <w:r w:rsidRPr="2C74DE28">
        <w:t>Background and context</w:t>
      </w:r>
      <w:bookmarkEnd w:id="10"/>
      <w:bookmarkEnd w:id="11"/>
      <w:bookmarkEnd w:id="12"/>
    </w:p>
    <w:p w14:paraId="4FDAD466" w14:textId="6AD5AA1C" w:rsidR="00085C03" w:rsidRDefault="00085C03" w:rsidP="009F3CE2">
      <w:pPr>
        <w:rPr>
          <w:rFonts w:cs="Arial"/>
        </w:rPr>
      </w:pPr>
      <w:r w:rsidRPr="6F4BF92F">
        <w:t>Despite ongoin</w:t>
      </w:r>
      <w:r w:rsidR="0F8A7F65" w:rsidRPr="6F4BF92F">
        <w:t xml:space="preserve">g reforms across Australia’s disability employment landscape, many people with disability continue to face barriers accessing and sustaining meaningful, paid work </w:t>
      </w:r>
      <w:r w:rsidR="0F8A7F65" w:rsidRPr="6F4BF92F">
        <w:rPr>
          <w:rFonts w:cs="Arial"/>
        </w:rPr>
        <w:t xml:space="preserve">in the mainstream labour market (i.e. outside supported employment settings). </w:t>
      </w:r>
    </w:p>
    <w:p w14:paraId="4773D529" w14:textId="5A8F5FCA" w:rsidR="00BF56F5" w:rsidRPr="00085C03" w:rsidRDefault="0F8A7F65" w:rsidP="009F3CE2">
      <w:pPr>
        <w:rPr>
          <w:color w:val="000000"/>
        </w:rPr>
      </w:pPr>
      <w:r w:rsidRPr="6F4BF92F">
        <w:t>Over the past few decades, both mainstream and specialist employment services for people with disability have largely focused on the supply side</w:t>
      </w:r>
      <w:r w:rsidR="0055193B">
        <w:t xml:space="preserve"> – </w:t>
      </w:r>
      <w:r w:rsidRPr="6F4BF92F">
        <w:t xml:space="preserve">that is, people seeking employment. In contrast, the demand side (employers) has received far less attention. Partnering with employers to create sustainable job opportunities is critical to increasing employment for people with disability. However, research consistently shows a gap between employers’ stated intentions to hire and their actual hiring, retention and progression practices. </w:t>
      </w:r>
      <w:r w:rsidR="00466062">
        <w:t>P</w:t>
      </w:r>
      <w:r w:rsidR="00085C03" w:rsidRPr="00085C03">
        <w:t xml:space="preserve">olicymakers, parliamentarians, and researchers </w:t>
      </w:r>
      <w:r w:rsidR="00713F32">
        <w:t xml:space="preserve">are </w:t>
      </w:r>
      <w:r w:rsidR="00085C03" w:rsidRPr="00085C03">
        <w:t>increasingly recognis</w:t>
      </w:r>
      <w:r w:rsidR="00713F32">
        <w:t>ing</w:t>
      </w:r>
      <w:r w:rsidR="00085C03" w:rsidRPr="00085C03">
        <w:t xml:space="preserve"> the importance of </w:t>
      </w:r>
      <w:r w:rsidR="00BF56F5" w:rsidRPr="2C74DE28">
        <w:t>e</w:t>
      </w:r>
      <w:r w:rsidR="4AC317DF" w:rsidRPr="2C74DE28">
        <w:t>ngaging employers</w:t>
      </w:r>
      <w:r w:rsidR="00BF56F5" w:rsidRPr="7C6D170B">
        <w:t xml:space="preserve"> in </w:t>
      </w:r>
      <w:r w:rsidR="00085C03" w:rsidRPr="00085C03">
        <w:t>employment servic</w:t>
      </w:r>
      <w:r w:rsidR="00BF56F5" w:rsidRPr="7C6D170B">
        <w:t>es</w:t>
      </w:r>
      <w:r w:rsidR="00085C03" w:rsidRPr="00085C03">
        <w:t xml:space="preserve">. </w:t>
      </w:r>
      <w:r w:rsidR="00BF56F5" w:rsidRPr="00085C03">
        <w:t xml:space="preserve">Employer engagement refers to </w:t>
      </w:r>
      <w:r w:rsidR="00BF56F5" w:rsidRPr="7C6D170B">
        <w:t xml:space="preserve">both employer activities </w:t>
      </w:r>
      <w:r w:rsidR="006D70D8" w:rsidRPr="7C6D170B">
        <w:t xml:space="preserve">such as </w:t>
      </w:r>
      <w:r w:rsidR="00BF56F5" w:rsidRPr="7C6D170B">
        <w:t>hiring from employment services</w:t>
      </w:r>
      <w:r w:rsidR="006D70D8" w:rsidRPr="7C6D170B">
        <w:t xml:space="preserve">, </w:t>
      </w:r>
      <w:r w:rsidR="001211E2">
        <w:t>and</w:t>
      </w:r>
      <w:r w:rsidR="5DD98AE7" w:rsidRPr="2C74DE28">
        <w:t xml:space="preserve"> also, crucially,</w:t>
      </w:r>
      <w:r w:rsidR="00BF56F5" w:rsidRPr="7C6D170B">
        <w:t xml:space="preserve"> </w:t>
      </w:r>
      <w:r w:rsidR="00BF56F5" w:rsidRPr="00085C03">
        <w:t xml:space="preserve">the actions and strategies </w:t>
      </w:r>
      <w:r w:rsidR="00466062">
        <w:t xml:space="preserve">of </w:t>
      </w:r>
      <w:r w:rsidR="00BF56F5" w:rsidRPr="00085C03">
        <w:t>employment service providers to build relationships with employers</w:t>
      </w:r>
      <w:r w:rsidR="006D70D8" w:rsidRPr="7C6D170B">
        <w:t xml:space="preserve">. </w:t>
      </w:r>
    </w:p>
    <w:p w14:paraId="267C330D" w14:textId="5EEE8D03" w:rsidR="00D863BA" w:rsidRPr="00085C03" w:rsidRDefault="00085C03" w:rsidP="009F3CE2">
      <w:pPr>
        <w:rPr>
          <w:color w:val="000000"/>
        </w:rPr>
      </w:pPr>
      <w:r w:rsidRPr="00085C03">
        <w:t>Yet</w:t>
      </w:r>
      <w:r w:rsidR="00D863BA" w:rsidRPr="7C6D170B">
        <w:t>,</w:t>
      </w:r>
      <w:r w:rsidRPr="00085C03">
        <w:t xml:space="preserve"> engagement practices vary widely across providers</w:t>
      </w:r>
      <w:r w:rsidR="006D70D8" w:rsidRPr="7C6D170B">
        <w:t xml:space="preserve"> and programs</w:t>
      </w:r>
      <w:r w:rsidRPr="00085C03">
        <w:t xml:space="preserve">, and there is limited clarity </w:t>
      </w:r>
      <w:r w:rsidR="00D863BA" w:rsidRPr="7C6D170B">
        <w:t>on</w:t>
      </w:r>
      <w:r w:rsidRPr="00085C03">
        <w:t xml:space="preserve"> which approaches are </w:t>
      </w:r>
      <w:r w:rsidR="00D863BA" w:rsidRPr="00085C03">
        <w:t xml:space="preserve">most effective in supporting </w:t>
      </w:r>
      <w:r w:rsidR="002137C0">
        <w:t>people with disability to enter, remain and progress in</w:t>
      </w:r>
      <w:r w:rsidR="00D863BA" w:rsidRPr="00085C03">
        <w:t xml:space="preserve"> mainstream employment.</w:t>
      </w:r>
    </w:p>
    <w:p w14:paraId="716BF3FF" w14:textId="57012E4B" w:rsidR="36DBF95D" w:rsidRDefault="36DBF95D" w:rsidP="00A86917">
      <w:pPr>
        <w:pStyle w:val="Heading2"/>
      </w:pPr>
      <w:bookmarkStart w:id="13" w:name="_Toc223984034"/>
      <w:bookmarkStart w:id="14" w:name="_Toc226902103"/>
      <w:bookmarkStart w:id="15" w:name="_Toc232075427"/>
      <w:r w:rsidRPr="2C74DE28">
        <w:t>Aims, purpose and audience</w:t>
      </w:r>
      <w:bookmarkEnd w:id="13"/>
      <w:bookmarkEnd w:id="14"/>
      <w:bookmarkEnd w:id="15"/>
    </w:p>
    <w:p w14:paraId="42433409" w14:textId="6CCCCB10" w:rsidR="16A4A58C" w:rsidRDefault="16A4A58C" w:rsidP="009F3CE2">
      <w:r w:rsidRPr="2C74DE28">
        <w:t>This synthesis was undertaken to identify what effective employer engagement looks like and how it can improve employment and retention outcomes for people with disabilit</w:t>
      </w:r>
      <w:r w:rsidR="00F5412D">
        <w:t>y</w:t>
      </w:r>
      <w:r w:rsidRPr="2C74DE28">
        <w:t>. It explores three key research questions:</w:t>
      </w:r>
    </w:p>
    <w:p w14:paraId="06F7508E" w14:textId="77777777" w:rsidR="16A4A58C" w:rsidRDefault="16A4A58C" w:rsidP="00A86917">
      <w:pPr>
        <w:pStyle w:val="ListNumber"/>
      </w:pPr>
      <w:r w:rsidRPr="2C74DE28">
        <w:t>Which employer engagement practices lead to better hiring and retention outcomes in the mainstream labour market?</w:t>
      </w:r>
    </w:p>
    <w:p w14:paraId="04441F7B" w14:textId="77777777" w:rsidR="16A4A58C" w:rsidRDefault="16A4A58C" w:rsidP="00A86917">
      <w:pPr>
        <w:pStyle w:val="ListNumber"/>
      </w:pPr>
      <w:r w:rsidRPr="2C74DE28">
        <w:t>What activities and ingredients make employer engagement effective, and how can these be enacted by a diverse employment services workforce?</w:t>
      </w:r>
    </w:p>
    <w:p w14:paraId="01A95771" w14:textId="6C8CD83B" w:rsidR="16A4A58C" w:rsidRDefault="16A4A58C" w:rsidP="00A86917">
      <w:pPr>
        <w:pStyle w:val="ListNumber"/>
      </w:pPr>
      <w:r w:rsidRPr="2C74DE28">
        <w:t>How, if at all, do effective practices differ for specific groups of jobseekers with disability, such as people with mental health conditions, neurodivergence, or intellectual disability?</w:t>
      </w:r>
    </w:p>
    <w:p w14:paraId="3FFD4D1C" w14:textId="4F7719EC" w:rsidR="007A0958" w:rsidRDefault="16A4A58C" w:rsidP="009F3CE2">
      <w:r w:rsidRPr="2C74DE28">
        <w:lastRenderedPageBreak/>
        <w:t>To answer these questions, th</w:t>
      </w:r>
      <w:r w:rsidR="009F673F">
        <w:t xml:space="preserve">is report </w:t>
      </w:r>
      <w:r w:rsidRPr="2C74DE28">
        <w:t>synthesises Australian and international evidence, including practice</w:t>
      </w:r>
      <w:r w:rsidRPr="2C74DE28">
        <w:rPr>
          <w:rFonts w:ascii="Cambria Math" w:hAnsi="Cambria Math" w:cs="Cambria Math"/>
        </w:rPr>
        <w:t>‑</w:t>
      </w:r>
      <w:r w:rsidRPr="2C74DE28">
        <w:t>based academic research, grey literature, and emerging practice insights. While the focus is on improving employment outcomes for people with disability, the synthesis also considers broader employer engagement evidence where it offers transferable insights. The evidence was examined across the employment cycle</w:t>
      </w:r>
      <w:r w:rsidR="0055193B">
        <w:t xml:space="preserve"> – </w:t>
      </w:r>
      <w:r w:rsidRPr="2C74DE28">
        <w:t>from recruitment and selection through to retention, job redesign, and progression</w:t>
      </w:r>
      <w:r w:rsidR="0055193B">
        <w:t xml:space="preserve"> – </w:t>
      </w:r>
      <w:r w:rsidRPr="2C74DE28">
        <w:t>to identify what practices were used, how they were delivered, and under what conditions they were effective.</w:t>
      </w:r>
    </w:p>
    <w:p w14:paraId="738E8A8A" w14:textId="1B4D0626" w:rsidR="007A0958" w:rsidRPr="00726D9F" w:rsidRDefault="007A0958" w:rsidP="009F3CE2">
      <w:r w:rsidRPr="6F4BF92F">
        <w:t>The primary audience for this synthesis is organisations that deliver employment services</w:t>
      </w:r>
      <w:r w:rsidR="0055193B">
        <w:t xml:space="preserve"> – </w:t>
      </w:r>
      <w:r w:rsidRPr="6F4BF92F">
        <w:t xml:space="preserve">both disability and mainstream providers. This includes employer-facing staff, frontline employment consultants or </w:t>
      </w:r>
      <w:r w:rsidR="002906AB" w:rsidRPr="6F4BF92F">
        <w:t>advis</w:t>
      </w:r>
      <w:r w:rsidRPr="6F4BF92F">
        <w:t>ors, job coaches, as well as managers and leaders of disability employment services. The findings are also relevant to policymakers and parliamentarians designing employment policies and programs, tendering services and to employers and employer representative organisations seeking to strengthen their inclusive employment practices.</w:t>
      </w:r>
    </w:p>
    <w:p w14:paraId="0A9F7BF6" w14:textId="7E49BE24" w:rsidR="50765744" w:rsidRDefault="50765744" w:rsidP="009F3CE2">
      <w:r w:rsidRPr="6F4BF92F">
        <w:t xml:space="preserve">The evidence synthesis involved </w:t>
      </w:r>
      <w:r w:rsidR="003F5089" w:rsidRPr="6F4BF92F">
        <w:t>targeted online searches</w:t>
      </w:r>
      <w:r w:rsidRPr="6F4BF92F">
        <w:t>, seeking resources from global networks of practitioners and providers</w:t>
      </w:r>
      <w:r w:rsidR="48CF21AA" w:rsidRPr="6F4BF92F">
        <w:t xml:space="preserve">, and searches of </w:t>
      </w:r>
      <w:r w:rsidR="00737AAF" w:rsidRPr="6F4BF92F">
        <w:t xml:space="preserve">academic </w:t>
      </w:r>
      <w:r w:rsidR="48CF21AA" w:rsidRPr="6F4BF92F">
        <w:t xml:space="preserve">databases. All materials were loaded into Zotero referencing software and </w:t>
      </w:r>
      <w:r w:rsidRPr="6F4BF92F">
        <w:t>analysed in N</w:t>
      </w:r>
      <w:r w:rsidR="489D0BFA" w:rsidRPr="6F4BF92F">
        <w:t>V</w:t>
      </w:r>
      <w:r w:rsidRPr="6F4BF92F">
        <w:t xml:space="preserve">ivo software. </w:t>
      </w:r>
    </w:p>
    <w:p w14:paraId="5AC9EFDB" w14:textId="7EE88278" w:rsidR="00FF6BD1" w:rsidRPr="00726D9F" w:rsidRDefault="00FF6BD1" w:rsidP="009F3CE2">
      <w:pPr>
        <w:rPr>
          <w:color w:val="000000"/>
        </w:rPr>
      </w:pPr>
      <w:r w:rsidRPr="2C74DE28">
        <w:t xml:space="preserve">The </w:t>
      </w:r>
      <w:r w:rsidR="1C331656" w:rsidRPr="2C74DE28">
        <w:t xml:space="preserve">resulting </w:t>
      </w:r>
      <w:r w:rsidRPr="2C74DE28">
        <w:t>report provides:</w:t>
      </w:r>
    </w:p>
    <w:p w14:paraId="10037975" w14:textId="3216C021" w:rsidR="00FF6BD1" w:rsidRPr="00726D9F" w:rsidRDefault="00A86917" w:rsidP="005B1DE5">
      <w:pPr>
        <w:pStyle w:val="ListBullet"/>
      </w:pPr>
      <w:r>
        <w:t>e</w:t>
      </w:r>
      <w:r w:rsidR="00FF6BD1" w:rsidRPr="00726D9F">
        <w:t>vidence-informed insights into what works</w:t>
      </w:r>
    </w:p>
    <w:p w14:paraId="70572942" w14:textId="716E17B3" w:rsidR="00FF6BD1" w:rsidRPr="00726D9F" w:rsidRDefault="00A86917" w:rsidP="005B1DE5">
      <w:pPr>
        <w:pStyle w:val="ListBullet"/>
      </w:pPr>
      <w:r>
        <w:t>p</w:t>
      </w:r>
      <w:r w:rsidR="00FF6BD1" w:rsidRPr="00726D9F">
        <w:t xml:space="preserve">ractical guidance </w:t>
      </w:r>
      <w:r w:rsidR="00132BB7">
        <w:t xml:space="preserve">for providers </w:t>
      </w:r>
      <w:r w:rsidR="00FF6BD1" w:rsidRPr="00726D9F">
        <w:t>on effective employer engagement activities</w:t>
      </w:r>
    </w:p>
    <w:p w14:paraId="5AD6CC2D" w14:textId="5CEC3169" w:rsidR="00FF6BD1" w:rsidRPr="009F3CE2" w:rsidRDefault="00A86917" w:rsidP="005B1DE5">
      <w:pPr>
        <w:pStyle w:val="ListBullet"/>
        <w:rPr>
          <w:color w:val="000000"/>
        </w:rPr>
      </w:pPr>
      <w:r>
        <w:t>a</w:t>
      </w:r>
      <w:r w:rsidR="1FDF25BE" w:rsidRPr="00726D9F">
        <w:t>nalysis of the intensity of engagement required</w:t>
      </w:r>
    </w:p>
    <w:p w14:paraId="7D63B648" w14:textId="4A1C8767" w:rsidR="00FF6BD1" w:rsidRPr="00726D9F" w:rsidRDefault="00A86917" w:rsidP="005B1DE5">
      <w:pPr>
        <w:pStyle w:val="ListBullet"/>
      </w:pPr>
      <w:r>
        <w:t>c</w:t>
      </w:r>
      <w:r w:rsidR="00FF6BD1" w:rsidRPr="00726D9F">
        <w:t>onsideration of differences in practice across disability cohorts</w:t>
      </w:r>
      <w:r w:rsidR="00132BB7">
        <w:t xml:space="preserve"> and transferability across domains</w:t>
      </w:r>
      <w:r>
        <w:t>.</w:t>
      </w:r>
    </w:p>
    <w:p w14:paraId="2CD5C642" w14:textId="2E2C9A40" w:rsidR="00DD0681" w:rsidRDefault="00695153" w:rsidP="00A86917">
      <w:pPr>
        <w:pStyle w:val="Heading2"/>
      </w:pPr>
      <w:bookmarkStart w:id="16" w:name="_Toc201660918"/>
      <w:bookmarkStart w:id="17" w:name="_Toc223984035"/>
      <w:bookmarkStart w:id="18" w:name="_Toc226902104"/>
      <w:bookmarkStart w:id="19" w:name="_Toc232075428"/>
      <w:r w:rsidRPr="00726D9F">
        <w:t>Key points</w:t>
      </w:r>
      <w:bookmarkEnd w:id="16"/>
      <w:bookmarkEnd w:id="17"/>
      <w:bookmarkEnd w:id="18"/>
      <w:bookmarkEnd w:id="19"/>
    </w:p>
    <w:p w14:paraId="62327718" w14:textId="64BD727A" w:rsidR="00821F97" w:rsidRDefault="2996DC34" w:rsidP="009F3CE2">
      <w:r w:rsidRPr="2C74DE28">
        <w:t>The</w:t>
      </w:r>
      <w:r w:rsidR="00821F97">
        <w:t xml:space="preserve"> synthesis</w:t>
      </w:r>
      <w:r w:rsidRPr="2C74DE28">
        <w:t xml:space="preserve"> revealed</w:t>
      </w:r>
      <w:r w:rsidR="00821F97" w:rsidRPr="3EC139BD">
        <w:t xml:space="preserve"> that there</w:t>
      </w:r>
      <w:r w:rsidR="00821F97" w:rsidRPr="00726D9F">
        <w:t xml:space="preserve"> exists relatively little peer-</w:t>
      </w:r>
      <w:r w:rsidR="00E72A7F">
        <w:t xml:space="preserve">reviewed </w:t>
      </w:r>
      <w:r w:rsidR="00821F97" w:rsidRPr="00726D9F">
        <w:t>evidence on the topic of employ</w:t>
      </w:r>
      <w:r w:rsidR="00E72A7F">
        <w:t>er</w:t>
      </w:r>
      <w:r w:rsidR="00821F97" w:rsidRPr="00726D9F">
        <w:t xml:space="preserve"> engagement </w:t>
      </w:r>
      <w:r w:rsidR="00821F97" w:rsidRPr="3EC139BD">
        <w:t>with</w:t>
      </w:r>
      <w:r w:rsidR="00821F97" w:rsidRPr="00726D9F">
        <w:t xml:space="preserve"> employment </w:t>
      </w:r>
      <w:r w:rsidR="00821F97" w:rsidRPr="3EC139BD">
        <w:t>services</w:t>
      </w:r>
      <w:r w:rsidR="00821F97" w:rsidRPr="00726D9F">
        <w:t xml:space="preserve"> or employment support programs</w:t>
      </w:r>
      <w:r w:rsidR="00821F97" w:rsidRPr="3EC139BD">
        <w:t>,</w:t>
      </w:r>
      <w:r w:rsidR="00821F97" w:rsidRPr="00726D9F">
        <w:t xml:space="preserve"> including with a </w:t>
      </w:r>
      <w:r w:rsidR="005C6AB8">
        <w:t xml:space="preserve">specific </w:t>
      </w:r>
      <w:r w:rsidR="00821F97" w:rsidRPr="00726D9F">
        <w:t>focus on people with disability.</w:t>
      </w:r>
      <w:r w:rsidR="00821F97" w:rsidRPr="7C63870D">
        <w:t xml:space="preserve"> Much of the available material is </w:t>
      </w:r>
      <w:r w:rsidR="00821F97" w:rsidRPr="5400FC2E">
        <w:t>of a</w:t>
      </w:r>
      <w:r w:rsidR="00821F97" w:rsidRPr="7C63870D">
        <w:t xml:space="preserve"> </w:t>
      </w:r>
      <w:r w:rsidR="748A989B" w:rsidRPr="2C74DE28">
        <w:t xml:space="preserve">high-level </w:t>
      </w:r>
      <w:r w:rsidR="00821F97" w:rsidRPr="7C63870D">
        <w:t>strategic</w:t>
      </w:r>
      <w:r w:rsidR="00821F97" w:rsidRPr="5400FC2E">
        <w:t xml:space="preserve"> nature</w:t>
      </w:r>
      <w:r w:rsidR="00821F97" w:rsidRPr="7C63870D">
        <w:t xml:space="preserve">, </w:t>
      </w:r>
      <w:r w:rsidR="00821F97" w:rsidRPr="3FD4DD2F">
        <w:t>focusing on policies or organisational intent</w:t>
      </w:r>
      <w:r w:rsidR="5C2528D7" w:rsidRPr="2C74DE28">
        <w:t>, acknowledg</w:t>
      </w:r>
      <w:r w:rsidR="2E0DD7A1" w:rsidRPr="2C74DE28">
        <w:t>ing</w:t>
      </w:r>
      <w:r w:rsidR="5C2528D7" w:rsidRPr="2C74DE28">
        <w:t xml:space="preserve"> the importance of employer engagement but stop</w:t>
      </w:r>
      <w:r w:rsidR="74CB322E" w:rsidRPr="2C74DE28">
        <w:t>ping</w:t>
      </w:r>
      <w:r w:rsidR="5C2528D7" w:rsidRPr="2C74DE28">
        <w:t xml:space="preserve"> short of detailing specific practices </w:t>
      </w:r>
      <w:r w:rsidR="5C2528D7" w:rsidRPr="2C74DE28">
        <w:lastRenderedPageBreak/>
        <w:t>required to achieve this.</w:t>
      </w:r>
    </w:p>
    <w:tbl>
      <w:tblPr>
        <w:tblStyle w:val="CIETable"/>
        <w:tblW w:w="5000" w:type="pct"/>
        <w:shd w:val="clear" w:color="auto" w:fill="FFFFFF" w:themeFill="background1"/>
        <w:tblLook w:val="04A0" w:firstRow="1" w:lastRow="0" w:firstColumn="1" w:lastColumn="0" w:noHBand="0" w:noVBand="1"/>
      </w:tblPr>
      <w:tblGrid>
        <w:gridCol w:w="9628"/>
      </w:tblGrid>
      <w:tr w:rsidR="002B5D4C" w:rsidRPr="00F65C66" w14:paraId="4E1443D4" w14:textId="77777777" w:rsidTr="00F568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FFFFFF" w:themeFill="background1"/>
          </w:tcPr>
          <w:p w14:paraId="3E8E9174" w14:textId="77777777" w:rsidR="002B5D4C" w:rsidRPr="00531EA5" w:rsidRDefault="002B5D4C" w:rsidP="005B1DE5">
            <w:pPr>
              <w:pStyle w:val="TableBullet"/>
              <w:rPr>
                <w:b w:val="0"/>
                <w:bCs/>
                <w:color w:val="000000" w:themeColor="text1"/>
              </w:rPr>
            </w:pPr>
            <w:bookmarkStart w:id="20" w:name="_Toc201660919"/>
            <w:bookmarkStart w:id="21" w:name="_Toc223984036"/>
            <w:bookmarkStart w:id="22" w:name="_Toc226902105"/>
            <w:r w:rsidRPr="00531EA5">
              <w:rPr>
                <w:b w:val="0"/>
                <w:bCs/>
                <w:color w:val="000000" w:themeColor="text1"/>
              </w:rPr>
              <w:t>Effective employer engagement that leads to the hiring and retention of people with disability is based on building relationships and not transactions such as job brokering and vacancy filling.</w:t>
            </w:r>
          </w:p>
          <w:p w14:paraId="7E6EF783" w14:textId="77777777" w:rsidR="002B5D4C" w:rsidRPr="00531EA5" w:rsidRDefault="002B5D4C" w:rsidP="005B1DE5">
            <w:pPr>
              <w:pStyle w:val="TableBullet"/>
              <w:rPr>
                <w:b w:val="0"/>
                <w:bCs/>
                <w:color w:val="000000" w:themeColor="text1"/>
              </w:rPr>
            </w:pPr>
            <w:r w:rsidRPr="00531EA5">
              <w:rPr>
                <w:b w:val="0"/>
                <w:bCs/>
                <w:color w:val="000000" w:themeColor="text1"/>
              </w:rPr>
              <w:t xml:space="preserve">Service provider activities are most effective when they align with the strategic intentions of organisations. </w:t>
            </w:r>
          </w:p>
          <w:p w14:paraId="021A5DC5" w14:textId="77777777" w:rsidR="002B5D4C" w:rsidRPr="00531EA5" w:rsidRDefault="002B5D4C" w:rsidP="005B1DE5">
            <w:pPr>
              <w:pStyle w:val="TableBullet"/>
              <w:rPr>
                <w:b w:val="0"/>
                <w:bCs/>
                <w:color w:val="000000" w:themeColor="text1"/>
              </w:rPr>
            </w:pPr>
            <w:r w:rsidRPr="00531EA5">
              <w:rPr>
                <w:b w:val="0"/>
                <w:bCs/>
                <w:color w:val="000000" w:themeColor="text1"/>
              </w:rPr>
              <w:t>Retention outcomes depend heavily on providers’ post-placement engagement with employers.</w:t>
            </w:r>
          </w:p>
          <w:p w14:paraId="488C07BD" w14:textId="77777777" w:rsidR="002B5D4C" w:rsidRPr="00531EA5" w:rsidRDefault="002B5D4C" w:rsidP="005B1DE5">
            <w:pPr>
              <w:pStyle w:val="TableBullet"/>
              <w:rPr>
                <w:b w:val="0"/>
                <w:bCs/>
                <w:color w:val="000000" w:themeColor="text1"/>
              </w:rPr>
            </w:pPr>
            <w:r w:rsidRPr="00531EA5">
              <w:rPr>
                <w:b w:val="0"/>
                <w:bCs/>
                <w:color w:val="000000" w:themeColor="text1"/>
              </w:rPr>
              <w:t>Higher intensity engagement is often required during:</w:t>
            </w:r>
          </w:p>
          <w:p w14:paraId="3F11A7D8" w14:textId="77777777" w:rsidR="002B5D4C" w:rsidRPr="00531EA5" w:rsidRDefault="002B5D4C" w:rsidP="00520F83">
            <w:pPr>
              <w:pStyle w:val="ListParagraph"/>
              <w:numPr>
                <w:ilvl w:val="1"/>
                <w:numId w:val="20"/>
              </w:numPr>
              <w:ind w:left="851"/>
              <w:rPr>
                <w:bCs/>
                <w:color w:val="000000" w:themeColor="text1"/>
              </w:rPr>
            </w:pPr>
            <w:r w:rsidRPr="00531EA5">
              <w:rPr>
                <w:bCs/>
                <w:color w:val="000000" w:themeColor="text1"/>
              </w:rPr>
              <w:t>The initial development of employer relationships</w:t>
            </w:r>
          </w:p>
          <w:p w14:paraId="2360CD35" w14:textId="77777777" w:rsidR="002B5D4C" w:rsidRPr="00531EA5" w:rsidRDefault="002B5D4C" w:rsidP="00520F83">
            <w:pPr>
              <w:pStyle w:val="ListParagraph"/>
              <w:numPr>
                <w:ilvl w:val="1"/>
                <w:numId w:val="20"/>
              </w:numPr>
              <w:ind w:left="851"/>
              <w:rPr>
                <w:bCs/>
                <w:color w:val="000000" w:themeColor="text1"/>
              </w:rPr>
            </w:pPr>
            <w:r w:rsidRPr="00531EA5">
              <w:rPr>
                <w:bCs/>
                <w:color w:val="000000" w:themeColor="text1"/>
              </w:rPr>
              <w:t>Early post-placement period.</w:t>
            </w:r>
          </w:p>
          <w:p w14:paraId="53AD2585" w14:textId="77777777" w:rsidR="002B5D4C" w:rsidRPr="00531EA5" w:rsidRDefault="002B5D4C" w:rsidP="005B1DE5">
            <w:pPr>
              <w:pStyle w:val="TableBullet"/>
              <w:rPr>
                <w:b w:val="0"/>
                <w:bCs/>
                <w:color w:val="000000" w:themeColor="text1"/>
              </w:rPr>
            </w:pPr>
            <w:r w:rsidRPr="00531EA5">
              <w:rPr>
                <w:b w:val="0"/>
                <w:bCs/>
                <w:color w:val="000000" w:themeColor="text1"/>
              </w:rPr>
              <w:t>Effective engagement reduces employer uncertainty and perceived risk.</w:t>
            </w:r>
          </w:p>
          <w:p w14:paraId="34855328" w14:textId="77777777" w:rsidR="002B5D4C" w:rsidRPr="00531EA5" w:rsidRDefault="002B5D4C" w:rsidP="005B1DE5">
            <w:pPr>
              <w:pStyle w:val="TableBullet"/>
              <w:rPr>
                <w:b w:val="0"/>
                <w:bCs/>
                <w:color w:val="000000" w:themeColor="text1"/>
              </w:rPr>
            </w:pPr>
            <w:r w:rsidRPr="00531EA5">
              <w:rPr>
                <w:b w:val="0"/>
                <w:bCs/>
                <w:color w:val="000000" w:themeColor="text1"/>
              </w:rPr>
              <w:t xml:space="preserve">A one-size-fits-all approach to employer engagement is unlikely to </w:t>
            </w:r>
            <w:proofErr w:type="spellStart"/>
            <w:r w:rsidRPr="00531EA5">
              <w:rPr>
                <w:b w:val="0"/>
                <w:bCs/>
                <w:color w:val="000000" w:themeColor="text1"/>
              </w:rPr>
              <w:t>maximise</w:t>
            </w:r>
            <w:proofErr w:type="spellEnd"/>
            <w:r w:rsidRPr="00531EA5">
              <w:rPr>
                <w:b w:val="0"/>
                <w:bCs/>
                <w:color w:val="000000" w:themeColor="text1"/>
              </w:rPr>
              <w:t xml:space="preserve"> retention outcomes.</w:t>
            </w:r>
          </w:p>
          <w:p w14:paraId="1B23F900" w14:textId="13930C84" w:rsidR="002B5D4C" w:rsidRPr="005B1DE5" w:rsidRDefault="002B5D4C" w:rsidP="005B1DE5">
            <w:pPr>
              <w:pStyle w:val="TableBullet"/>
            </w:pPr>
            <w:r w:rsidRPr="00531EA5">
              <w:rPr>
                <w:b w:val="0"/>
                <w:bCs/>
                <w:color w:val="000000" w:themeColor="text1"/>
              </w:rPr>
              <w:t>Practices need to be adapted for specific disability cohorts, particularly where ongoing workplace support is</w:t>
            </w:r>
            <w:r w:rsidRPr="00531EA5">
              <w:rPr>
                <w:color w:val="000000" w:themeColor="text1"/>
              </w:rPr>
              <w:t xml:space="preserve"> </w:t>
            </w:r>
            <w:r w:rsidRPr="005B1DE5">
              <w:t>required.</w:t>
            </w:r>
          </w:p>
        </w:tc>
      </w:tr>
    </w:tbl>
    <w:p w14:paraId="1C40D16D" w14:textId="58E9E252" w:rsidR="002B2CD8" w:rsidRPr="00726D9F" w:rsidRDefault="00D36213" w:rsidP="001865CD">
      <w:pPr>
        <w:pStyle w:val="Heading2"/>
      </w:pPr>
      <w:bookmarkStart w:id="23" w:name="_Toc232075429"/>
      <w:r w:rsidRPr="70BCFA52">
        <w:t>Key findings</w:t>
      </w:r>
      <w:bookmarkEnd w:id="20"/>
      <w:bookmarkEnd w:id="21"/>
      <w:bookmarkEnd w:id="22"/>
      <w:bookmarkEnd w:id="23"/>
    </w:p>
    <w:p w14:paraId="17D4A81E" w14:textId="092901A4" w:rsidR="368DB5AF" w:rsidRDefault="1AD29B66" w:rsidP="005B1DE5">
      <w:pPr>
        <w:pStyle w:val="ListBullet"/>
        <w:numPr>
          <w:ilvl w:val="0"/>
          <w:numId w:val="0"/>
        </w:numPr>
      </w:pPr>
      <w:r w:rsidRPr="35C3F573">
        <w:t xml:space="preserve">The evidence highlights that many of the </w:t>
      </w:r>
      <w:r w:rsidR="21AAECF3" w:rsidRPr="35C3F573">
        <w:t xml:space="preserve">elements contained </w:t>
      </w:r>
      <w:r w:rsidR="17A37648" w:rsidRPr="35C3F573">
        <w:t>with</w:t>
      </w:r>
      <w:r w:rsidR="5B956207" w:rsidRPr="35C3F573">
        <w:t>in</w:t>
      </w:r>
      <w:r w:rsidR="21AAECF3" w:rsidRPr="35C3F573">
        <w:t xml:space="preserve"> a coherent package of support for employers align with </w:t>
      </w:r>
      <w:r w:rsidR="7D2F9892" w:rsidRPr="35C3F573">
        <w:t xml:space="preserve">established </w:t>
      </w:r>
      <w:r w:rsidR="5B956207" w:rsidRPr="35C3F573">
        <w:t>good</w:t>
      </w:r>
      <w:r w:rsidR="21AAECF3" w:rsidRPr="35C3F573">
        <w:t xml:space="preserve"> practices </w:t>
      </w:r>
      <w:r w:rsidR="42263DED" w:rsidRPr="35C3F573">
        <w:t>i</w:t>
      </w:r>
      <w:r w:rsidR="5B956207" w:rsidRPr="35C3F573">
        <w:t>n</w:t>
      </w:r>
      <w:r w:rsidR="21AAECF3" w:rsidRPr="35C3F573">
        <w:t xml:space="preserve"> human resource management. This is </w:t>
      </w:r>
      <w:r w:rsidR="49C7C7AF" w:rsidRPr="35C3F573">
        <w:t>signific</w:t>
      </w:r>
      <w:r w:rsidR="5B956207" w:rsidRPr="35C3F573">
        <w:t>ant</w:t>
      </w:r>
      <w:r w:rsidR="21AAECF3" w:rsidRPr="35C3F573">
        <w:t xml:space="preserve"> because it </w:t>
      </w:r>
      <w:r w:rsidR="2C3AB939" w:rsidRPr="35C3F573">
        <w:t>refram</w:t>
      </w:r>
      <w:r w:rsidR="2A4547FA" w:rsidRPr="35C3F573">
        <w:t>es</w:t>
      </w:r>
      <w:r w:rsidR="65CC8694" w:rsidRPr="35C3F573">
        <w:t xml:space="preserve"> employer servicing </w:t>
      </w:r>
      <w:r w:rsidR="14E19527" w:rsidRPr="35C3F573">
        <w:t xml:space="preserve">as </w:t>
      </w:r>
      <w:r w:rsidR="006E22C1">
        <w:t xml:space="preserve">being </w:t>
      </w:r>
      <w:r w:rsidR="14E19527" w:rsidRPr="35C3F573">
        <w:t xml:space="preserve">more than </w:t>
      </w:r>
      <w:r w:rsidR="006E22C1">
        <w:t xml:space="preserve">merely </w:t>
      </w:r>
      <w:r w:rsidR="14E19527" w:rsidRPr="35C3F573">
        <w:t>compliance-driven – it illustrates how employment services can</w:t>
      </w:r>
      <w:r w:rsidR="65CC8694" w:rsidRPr="35C3F573">
        <w:t xml:space="preserve"> assist organisations </w:t>
      </w:r>
      <w:r w:rsidR="37BB8D13" w:rsidRPr="35C3F573">
        <w:t>to address core</w:t>
      </w:r>
      <w:r w:rsidR="65CC8694" w:rsidRPr="35C3F573">
        <w:t xml:space="preserve"> </w:t>
      </w:r>
      <w:r w:rsidR="28986F08" w:rsidRPr="35C3F573">
        <w:t>people</w:t>
      </w:r>
      <w:r w:rsidR="078DFAFF" w:rsidRPr="35C3F573">
        <w:t>-related</w:t>
      </w:r>
      <w:r w:rsidR="28986F08" w:rsidRPr="35C3F573">
        <w:t xml:space="preserve"> challenges</w:t>
      </w:r>
      <w:r w:rsidR="65CC8694" w:rsidRPr="35C3F573">
        <w:t xml:space="preserve">. </w:t>
      </w:r>
      <w:r w:rsidR="5A51FC2E" w:rsidRPr="35C3F573">
        <w:t xml:space="preserve">In </w:t>
      </w:r>
      <w:r w:rsidR="001D4BF4">
        <w:t xml:space="preserve">so </w:t>
      </w:r>
      <w:r w:rsidR="5A51FC2E" w:rsidRPr="35C3F573">
        <w:t>doing</w:t>
      </w:r>
      <w:r w:rsidR="001D4BF4">
        <w:t>,</w:t>
      </w:r>
      <w:r w:rsidR="5A51FC2E" w:rsidRPr="35C3F573">
        <w:t xml:space="preserve"> it points to a necessary inversion </w:t>
      </w:r>
      <w:r w:rsidR="28986F08" w:rsidRPr="35C3F573">
        <w:t xml:space="preserve">of </w:t>
      </w:r>
      <w:r w:rsidR="0C88B7BE" w:rsidRPr="35C3F573">
        <w:t xml:space="preserve">how </w:t>
      </w:r>
      <w:r w:rsidR="21AAECF3" w:rsidRPr="35C3F573">
        <w:t xml:space="preserve">employment services </w:t>
      </w:r>
      <w:r w:rsidR="6975199C" w:rsidRPr="35C3F573">
        <w:t xml:space="preserve">have traditionally been conceived, shifting from matching jobseekers to vacancies toward supporting employers through the full </w:t>
      </w:r>
      <w:r w:rsidR="003E71C2">
        <w:t xml:space="preserve">employee </w:t>
      </w:r>
      <w:r w:rsidR="6975199C" w:rsidRPr="35C3F573">
        <w:t xml:space="preserve">lifecycle. </w:t>
      </w:r>
    </w:p>
    <w:p w14:paraId="7CAFEFB9" w14:textId="384B6248" w:rsidR="0BE92ADC" w:rsidRDefault="3676E258" w:rsidP="00472FD7">
      <w:r w:rsidRPr="696BF868">
        <w:t xml:space="preserve">Building on this reframing, the evidence synthesis </w:t>
      </w:r>
      <w:r w:rsidR="099CB0DF" w:rsidRPr="696BF868">
        <w:t>identified</w:t>
      </w:r>
      <w:r w:rsidRPr="696BF868">
        <w:t xml:space="preserve"> three interconnected layers that together explain how employer engagement functions in practice and what this means for employment service providers. First</w:t>
      </w:r>
      <w:r w:rsidR="6619D3F7" w:rsidRPr="696BF868">
        <w:t>ly</w:t>
      </w:r>
      <w:r w:rsidRPr="696BF868">
        <w:t xml:space="preserve">, </w:t>
      </w:r>
      <w:r w:rsidR="2342AFA9" w:rsidRPr="696BF868">
        <w:t>five</w:t>
      </w:r>
      <w:r w:rsidRPr="696BF868">
        <w:t xml:space="preserve"> core themes emerged as </w:t>
      </w:r>
      <w:r w:rsidR="6A14912E" w:rsidRPr="696BF868">
        <w:t>empirical patterns across the evidence base</w:t>
      </w:r>
      <w:r w:rsidR="00EC7B5B">
        <w:t xml:space="preserve">. </w:t>
      </w:r>
      <w:r w:rsidR="6A14912E" w:rsidRPr="696BF868">
        <w:t>These themes reflect recurring practices, gaps, and behaviours obser</w:t>
      </w:r>
      <w:r w:rsidR="0785F32B" w:rsidRPr="696BF868">
        <w:t>ved across industries, organisational sizes, and employment support contexts.</w:t>
      </w:r>
      <w:r w:rsidR="14724697" w:rsidRPr="696BF868">
        <w:t xml:space="preserve"> The themes are: </w:t>
      </w:r>
    </w:p>
    <w:p w14:paraId="579FA082" w14:textId="6C502B97" w:rsidR="005C1D88" w:rsidRPr="00286672" w:rsidRDefault="005C1D88" w:rsidP="005B1DE5">
      <w:pPr>
        <w:pStyle w:val="ListBullet"/>
      </w:pPr>
      <w:r w:rsidRPr="00286672">
        <w:t>Relational brokerage and employer capability-building</w:t>
      </w:r>
      <w:r w:rsidR="00472FD7">
        <w:t>.</w:t>
      </w:r>
      <w:r w:rsidRPr="00286672">
        <w:t xml:space="preserve"> </w:t>
      </w:r>
    </w:p>
    <w:p w14:paraId="21DD8254" w14:textId="16C913D4" w:rsidR="005C1D88" w:rsidRPr="00286672" w:rsidRDefault="005C1D88" w:rsidP="00EC6F89">
      <w:pPr>
        <w:pStyle w:val="ListBullet"/>
      </w:pPr>
      <w:r w:rsidRPr="00286672">
        <w:lastRenderedPageBreak/>
        <w:t xml:space="preserve">Inclusion </w:t>
      </w:r>
      <w:r w:rsidR="00EC6F89">
        <w:t>across the whole employment journey: the importance</w:t>
      </w:r>
      <w:r w:rsidR="00927206">
        <w:t xml:space="preserve"> of </w:t>
      </w:r>
      <w:r w:rsidRPr="00286672">
        <w:t>flexibility and adjustments</w:t>
      </w:r>
      <w:r w:rsidR="00472FD7">
        <w:t>.</w:t>
      </w:r>
      <w:r w:rsidR="00927206">
        <w:t xml:space="preserve"> </w:t>
      </w:r>
    </w:p>
    <w:p w14:paraId="49DDA7F5" w14:textId="6B2EAAB5" w:rsidR="005C1D88" w:rsidRPr="00286672" w:rsidRDefault="005C1D88" w:rsidP="005B1DE5">
      <w:pPr>
        <w:pStyle w:val="ListBullet"/>
      </w:pPr>
      <w:r w:rsidRPr="00286672">
        <w:t>Retention as a foundation for career progression</w:t>
      </w:r>
      <w:r w:rsidR="00C703AB">
        <w:t>.</w:t>
      </w:r>
      <w:r w:rsidRPr="00286672">
        <w:t xml:space="preserve"> </w:t>
      </w:r>
    </w:p>
    <w:p w14:paraId="57813ADE" w14:textId="7857C3D5" w:rsidR="005C1D88" w:rsidRPr="00286672" w:rsidRDefault="005C1D88" w:rsidP="005B1DE5">
      <w:pPr>
        <w:pStyle w:val="ListBullet"/>
      </w:pPr>
      <w:r w:rsidRPr="00286672">
        <w:t>Governance and organisational embedding</w:t>
      </w:r>
      <w:r w:rsidR="00C703AB">
        <w:t>.</w:t>
      </w:r>
      <w:r w:rsidRPr="00286672">
        <w:t xml:space="preserve"> </w:t>
      </w:r>
    </w:p>
    <w:p w14:paraId="6D974458" w14:textId="3EAF3306" w:rsidR="003E71C2" w:rsidRPr="003E71C2" w:rsidRDefault="005C1D88" w:rsidP="005B1DE5">
      <w:pPr>
        <w:pStyle w:val="ListBullet"/>
      </w:pPr>
      <w:r w:rsidRPr="6F4BF92F">
        <w:t xml:space="preserve">Employer engagement practices relevant to specific disability </w:t>
      </w:r>
      <w:r w:rsidR="006F3F91">
        <w:t>cohorts</w:t>
      </w:r>
      <w:r w:rsidR="00C703AB">
        <w:t>.</w:t>
      </w:r>
    </w:p>
    <w:p w14:paraId="5CB75388" w14:textId="4C51BABA" w:rsidR="35C3F573" w:rsidRDefault="442F652A" w:rsidP="00C703AB">
      <w:r w:rsidRPr="15655A78">
        <w:t>Second</w:t>
      </w:r>
      <w:r w:rsidR="00EC7B5B" w:rsidRPr="15655A78">
        <w:t>ly</w:t>
      </w:r>
      <w:r w:rsidRPr="15655A78">
        <w:t xml:space="preserve">, these patterns are shaped by </w:t>
      </w:r>
      <w:r w:rsidR="0EFF5074" w:rsidRPr="15655A78">
        <w:t>three</w:t>
      </w:r>
      <w:r w:rsidRPr="15655A78">
        <w:t xml:space="preserve"> enabling and moderating factors</w:t>
      </w:r>
      <w:r w:rsidR="0055193B">
        <w:t xml:space="preserve"> – </w:t>
      </w:r>
      <w:r w:rsidR="0A6AACA1" w:rsidRPr="15655A78">
        <w:t xml:space="preserve">contextual conditions that influence whether, when, and how employer engagement practices work. These factors do not constitute practices in </w:t>
      </w:r>
      <w:r w:rsidR="7D13CB4F" w:rsidRPr="15655A78">
        <w:t>themselves</w:t>
      </w:r>
      <w:r w:rsidR="0A6AACA1" w:rsidRPr="15655A78">
        <w:t xml:space="preserve">; rather, they help </w:t>
      </w:r>
      <w:r w:rsidR="004F21CB" w:rsidRPr="15655A78">
        <w:t xml:space="preserve">to </w:t>
      </w:r>
      <w:r w:rsidR="0A6AACA1" w:rsidRPr="15655A78">
        <w:t>explain why similar practices produce different outcomes in different organisational environments</w:t>
      </w:r>
      <w:r w:rsidR="004F21CB" w:rsidRPr="15655A78">
        <w:t xml:space="preserve"> and support contexts</w:t>
      </w:r>
      <w:r w:rsidR="0A6AACA1" w:rsidRPr="15655A78">
        <w:t xml:space="preserve">. </w:t>
      </w:r>
      <w:r w:rsidR="61B5F7BA" w:rsidRPr="15655A78">
        <w:t>T</w:t>
      </w:r>
      <w:r w:rsidR="0A6AACA1" w:rsidRPr="15655A78">
        <w:t xml:space="preserve">ogether, they </w:t>
      </w:r>
      <w:r w:rsidR="2DECE947" w:rsidRPr="15655A78">
        <w:t>highlight</w:t>
      </w:r>
      <w:r w:rsidR="2343F032" w:rsidRPr="15655A78">
        <w:t xml:space="preserve"> the </w:t>
      </w:r>
      <w:r w:rsidR="534568CB" w:rsidRPr="15655A78">
        <w:t xml:space="preserve">structural and relational conditions that </w:t>
      </w:r>
      <w:r w:rsidR="1114BF02" w:rsidRPr="15655A78">
        <w:t xml:space="preserve">support or hinder </w:t>
      </w:r>
      <w:r w:rsidR="534568CB" w:rsidRPr="15655A78">
        <w:t xml:space="preserve">effective employer engagement. </w:t>
      </w:r>
      <w:r w:rsidR="0FD605CF" w:rsidRPr="15655A78">
        <w:t xml:space="preserve">The enabling and moderating factors are: </w:t>
      </w:r>
    </w:p>
    <w:p w14:paraId="28A2DC1D" w14:textId="4559F0D7" w:rsidR="0FD605CF" w:rsidRPr="00C9585D" w:rsidRDefault="0FD605CF" w:rsidP="005B1DE5">
      <w:pPr>
        <w:pStyle w:val="ListBullet"/>
      </w:pPr>
      <w:r w:rsidRPr="00C9585D">
        <w:t xml:space="preserve">Intensity and resourcing of </w:t>
      </w:r>
      <w:r w:rsidR="00766F49" w:rsidRPr="00C9585D">
        <w:t xml:space="preserve">employer engagement </w:t>
      </w:r>
      <w:r w:rsidRPr="00C9585D">
        <w:t>work</w:t>
      </w:r>
      <w:r w:rsidR="00C97EE7">
        <w:t>.</w:t>
      </w:r>
      <w:r w:rsidRPr="00C9585D">
        <w:t xml:space="preserve"> </w:t>
      </w:r>
    </w:p>
    <w:p w14:paraId="4E4B8E98" w14:textId="26793B5A" w:rsidR="0FD605CF" w:rsidRPr="00C9585D" w:rsidRDefault="00766F49" w:rsidP="005B1DE5">
      <w:pPr>
        <w:pStyle w:val="ListBullet"/>
      </w:pPr>
      <w:r w:rsidRPr="00C9585D">
        <w:t>Provider-employer r</w:t>
      </w:r>
      <w:r w:rsidR="0FD605CF" w:rsidRPr="00C9585D">
        <w:t>elationship maturity and co-production</w:t>
      </w:r>
      <w:r w:rsidR="00C97EE7">
        <w:t>.</w:t>
      </w:r>
    </w:p>
    <w:p w14:paraId="6956D436" w14:textId="13E6BDF8" w:rsidR="0FD605CF" w:rsidRPr="00C9585D" w:rsidRDefault="00C9585D" w:rsidP="005B1DE5">
      <w:pPr>
        <w:pStyle w:val="ListBullet"/>
      </w:pPr>
      <w:r w:rsidRPr="00C9585D">
        <w:t>System</w:t>
      </w:r>
      <w:r w:rsidR="0FD605CF" w:rsidRPr="00C9585D">
        <w:t xml:space="preserve"> alignment </w:t>
      </w:r>
      <w:r w:rsidRPr="00C9585D">
        <w:t xml:space="preserve">and scaling of employer engagement </w:t>
      </w:r>
      <w:r w:rsidR="7D227B80" w:rsidRPr="4E482F58">
        <w:t>activities</w:t>
      </w:r>
      <w:r w:rsidR="00C97EE7">
        <w:t>.</w:t>
      </w:r>
    </w:p>
    <w:p w14:paraId="47CBF899" w14:textId="015855AC" w:rsidR="00A37F22" w:rsidRDefault="219D6403" w:rsidP="005B1DE5">
      <w:pPr>
        <w:pStyle w:val="ListBullet"/>
        <w:numPr>
          <w:ilvl w:val="0"/>
          <w:numId w:val="0"/>
        </w:numPr>
      </w:pPr>
      <w:r w:rsidRPr="696BF868">
        <w:t>Finally, when synthesised, these themes and enable</w:t>
      </w:r>
      <w:r w:rsidR="00766F49">
        <w:t>r</w:t>
      </w:r>
      <w:r w:rsidRPr="696BF868">
        <w:t xml:space="preserve">s point to a series of implications for employment service providers. These implications operate as the applied, practice-focused layer of the </w:t>
      </w:r>
      <w:r w:rsidR="273B38C0" w:rsidRPr="696BF868">
        <w:t>synthesis</w:t>
      </w:r>
      <w:r w:rsidRPr="696BF868">
        <w:t>. They highlight not only what providers can do differently</w:t>
      </w:r>
      <w:r w:rsidR="005DC346" w:rsidRPr="696BF868">
        <w:t>, but how actions can be organised and sequenced across the HR</w:t>
      </w:r>
      <w:r w:rsidR="00A37F22">
        <w:t xml:space="preserve"> </w:t>
      </w:r>
      <w:r w:rsidR="005DC346" w:rsidRPr="696BF868">
        <w:t>cycle</w:t>
      </w:r>
      <w:r w:rsidR="246DDBDC" w:rsidRPr="696BF868">
        <w:t xml:space="preserve"> – from employer readiness to sustainment and progression –</w:t>
      </w:r>
      <w:r w:rsidR="00A37F22">
        <w:t xml:space="preserve"> in order</w:t>
      </w:r>
      <w:r w:rsidR="246DDBDC" w:rsidRPr="696BF868">
        <w:t xml:space="preserve"> to improve hiring, adjustments, retention, and long-term inclusion outcomes for people with disability. </w:t>
      </w:r>
      <w:r w:rsidR="66402F84" w:rsidRPr="696BF868">
        <w:t xml:space="preserve">The implications for practitioners are: </w:t>
      </w:r>
    </w:p>
    <w:p w14:paraId="742B1831" w14:textId="10F40327" w:rsidR="66402F84" w:rsidRPr="000460BA" w:rsidRDefault="66402F84" w:rsidP="005B1DE5">
      <w:pPr>
        <w:pStyle w:val="ListBullet"/>
      </w:pPr>
      <w:r w:rsidRPr="000460BA">
        <w:t>Employer-facing diagnosis and segmentation</w:t>
      </w:r>
      <w:r w:rsidR="004235E6">
        <w:t>.</w:t>
      </w:r>
      <w:r w:rsidRPr="000460BA">
        <w:t xml:space="preserve"> </w:t>
      </w:r>
    </w:p>
    <w:p w14:paraId="1C9E790A" w14:textId="7C29AA82" w:rsidR="66402F84" w:rsidRPr="000460BA" w:rsidRDefault="66402F84" w:rsidP="005B1DE5">
      <w:pPr>
        <w:pStyle w:val="ListBullet"/>
      </w:pPr>
      <w:r w:rsidRPr="000460BA">
        <w:t xml:space="preserve">A </w:t>
      </w:r>
      <w:r w:rsidR="00735C93">
        <w:t xml:space="preserve">menu of </w:t>
      </w:r>
      <w:r w:rsidRPr="000460BA">
        <w:t xml:space="preserve">employer supports across the </w:t>
      </w:r>
      <w:r w:rsidR="009E3E31">
        <w:t>whole employment journey</w:t>
      </w:r>
      <w:r w:rsidR="004235E6">
        <w:t>.</w:t>
      </w:r>
    </w:p>
    <w:p w14:paraId="18804F6D" w14:textId="657F3808" w:rsidR="66402F84" w:rsidRPr="000460BA" w:rsidRDefault="66402F84" w:rsidP="005B1DE5">
      <w:pPr>
        <w:pStyle w:val="ListBullet"/>
      </w:pPr>
      <w:r w:rsidRPr="000460BA">
        <w:t>Sustainment infrastructure (post-hire support, supervisor capability, progression planning)</w:t>
      </w:r>
      <w:r w:rsidR="004235E6">
        <w:t>.</w:t>
      </w:r>
      <w:r w:rsidRPr="000460BA">
        <w:t xml:space="preserve"> </w:t>
      </w:r>
    </w:p>
    <w:p w14:paraId="0D62D04E" w14:textId="7B2B6126" w:rsidR="0BE92ADC" w:rsidRDefault="00927206" w:rsidP="00273151">
      <w:pPr>
        <w:pStyle w:val="ListBullet"/>
      </w:pPr>
      <w:r>
        <w:t>The potential for translation of existing resources into practical actions</w:t>
      </w:r>
      <w:r w:rsidR="004235E6">
        <w:t>.</w:t>
      </w:r>
      <w:r w:rsidR="00523C30">
        <w:br w:type="page"/>
      </w:r>
    </w:p>
    <w:tbl>
      <w:tblPr>
        <w:tblStyle w:val="CIETable"/>
        <w:tblW w:w="0" w:type="auto"/>
        <w:tblLook w:val="04A0" w:firstRow="1" w:lastRow="0" w:firstColumn="1" w:lastColumn="0" w:noHBand="0" w:noVBand="1"/>
      </w:tblPr>
      <w:tblGrid>
        <w:gridCol w:w="9628"/>
      </w:tblGrid>
      <w:tr w:rsidR="00096E89" w14:paraId="2FD1E776" w14:textId="77777777" w:rsidTr="00096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5FB96B8" w14:textId="33C49642" w:rsidR="00096E89" w:rsidRPr="004A36EE" w:rsidRDefault="00096E89" w:rsidP="00096E89">
            <w:pPr>
              <w:pStyle w:val="TableHeading"/>
            </w:pPr>
            <w:r>
              <w:lastRenderedPageBreak/>
              <w:t>Actions for providers:</w:t>
            </w:r>
          </w:p>
        </w:tc>
      </w:tr>
      <w:tr w:rsidR="004A36EE" w14:paraId="0B764317" w14:textId="77777777" w:rsidTr="00096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309ECCF" w14:textId="3C0B4541" w:rsidR="004A36EE" w:rsidRPr="005B1DE5" w:rsidRDefault="004A36EE" w:rsidP="005B1DE5">
            <w:pPr>
              <w:pStyle w:val="TableBullet"/>
            </w:pPr>
            <w:r w:rsidRPr="005B1DE5">
              <w:t>Work with employers across the whole employment journey, not just when there's a job to fill.</w:t>
            </w:r>
          </w:p>
          <w:p w14:paraId="4ECE90C6" w14:textId="18D16DF6" w:rsidR="004A36EE" w:rsidRPr="005B1DE5" w:rsidRDefault="004A36EE" w:rsidP="005B1DE5">
            <w:pPr>
              <w:pStyle w:val="TableBullet"/>
            </w:pPr>
            <w:r w:rsidRPr="005B1DE5">
              <w:t xml:space="preserve">Focus on building relationships, making practical adjustments, and keeping people included at every stage – this is what makes jobs last. </w:t>
            </w:r>
          </w:p>
          <w:p w14:paraId="6594D205" w14:textId="35742366" w:rsidR="004A36EE" w:rsidRPr="005B1DE5" w:rsidRDefault="004A36EE" w:rsidP="005B1DE5">
            <w:pPr>
              <w:pStyle w:val="TableBullet"/>
            </w:pPr>
            <w:r w:rsidRPr="005B1DE5">
              <w:t>Be willing to adjust how much support and what kind of support you offer based on where the employer is at, their organisation, and what's happening around them.</w:t>
            </w:r>
          </w:p>
          <w:p w14:paraId="3FAA8327" w14:textId="756E4CDE" w:rsidR="004A36EE" w:rsidRPr="005B1DE5" w:rsidRDefault="004A36EE" w:rsidP="005B1DE5">
            <w:pPr>
              <w:pStyle w:val="TableBullet"/>
            </w:pPr>
            <w:r w:rsidRPr="005B1DE5">
              <w:t>Build employer confidence and capability over time, matching your approach to what they actually need.</w:t>
            </w:r>
          </w:p>
        </w:tc>
      </w:tr>
    </w:tbl>
    <w:p w14:paraId="161BFA23" w14:textId="77777777" w:rsidR="00557292" w:rsidRPr="00726D9F" w:rsidRDefault="00557292" w:rsidP="009F3CE2">
      <w:pPr>
        <w:rPr>
          <w:rFonts w:eastAsiaTheme="majorEastAsia"/>
          <w:color w:val="65328F" w:themeColor="accent1"/>
        </w:rPr>
      </w:pPr>
      <w:bookmarkStart w:id="24" w:name="_Toc201660920"/>
      <w:r w:rsidRPr="564DC5B2">
        <w:br w:type="page"/>
      </w:r>
    </w:p>
    <w:p w14:paraId="294F6818" w14:textId="77777777" w:rsidR="00086269" w:rsidRPr="00726D9F" w:rsidRDefault="00315A2E" w:rsidP="00A62BBB">
      <w:pPr>
        <w:pStyle w:val="Heading1"/>
      </w:pPr>
      <w:bookmarkStart w:id="25" w:name="_Toc223984038"/>
      <w:bookmarkStart w:id="26" w:name="_Toc226902107"/>
      <w:bookmarkStart w:id="27" w:name="_Toc232075430"/>
      <w:r w:rsidRPr="00726D9F">
        <w:lastRenderedPageBreak/>
        <w:t>Introduction</w:t>
      </w:r>
      <w:bookmarkEnd w:id="24"/>
      <w:bookmarkEnd w:id="25"/>
      <w:bookmarkEnd w:id="26"/>
      <w:bookmarkEnd w:id="27"/>
    </w:p>
    <w:p w14:paraId="77F2F62D" w14:textId="406564F7" w:rsidR="00C437A7" w:rsidRPr="00726D9F" w:rsidRDefault="00C437A7" w:rsidP="00A62BBB">
      <w:pPr>
        <w:pStyle w:val="Heading2"/>
      </w:pPr>
      <w:bookmarkStart w:id="28" w:name="_Toc223984039"/>
      <w:bookmarkStart w:id="29" w:name="_Toc226902108"/>
      <w:bookmarkStart w:id="30" w:name="_Toc232075431"/>
      <w:r w:rsidRPr="00726D9F">
        <w:t>Background and context</w:t>
      </w:r>
      <w:bookmarkEnd w:id="28"/>
      <w:bookmarkEnd w:id="29"/>
      <w:bookmarkEnd w:id="30"/>
    </w:p>
    <w:p w14:paraId="4E69D833" w14:textId="1928CE5E" w:rsidR="00EA6594" w:rsidRDefault="000E32DF" w:rsidP="009F3CE2">
      <w:pPr>
        <w:rPr>
          <w:rFonts w:cs="Arial"/>
        </w:rPr>
      </w:pPr>
      <w:r w:rsidRPr="292152CD">
        <w:t xml:space="preserve">Despite ongoing reforms across Australia’s disability employment landscape, many people with disability continue to face barriers </w:t>
      </w:r>
      <w:r w:rsidR="00E13206" w:rsidRPr="292152CD">
        <w:t xml:space="preserve">in </w:t>
      </w:r>
      <w:r w:rsidRPr="292152CD">
        <w:t xml:space="preserve">accessing and sustaining meaningful, paid work </w:t>
      </w:r>
      <w:r w:rsidRPr="292152CD">
        <w:rPr>
          <w:rFonts w:cs="Arial"/>
        </w:rPr>
        <w:t>in the mainstream labour market (i.e. outside support</w:t>
      </w:r>
      <w:r w:rsidR="00E13206" w:rsidRPr="292152CD">
        <w:rPr>
          <w:rFonts w:cs="Arial"/>
        </w:rPr>
        <w:t>ed</w:t>
      </w:r>
      <w:r w:rsidRPr="292152CD">
        <w:rPr>
          <w:rFonts w:cs="Arial"/>
        </w:rPr>
        <w:t xml:space="preserve"> </w:t>
      </w:r>
      <w:r w:rsidR="001D68E8">
        <w:rPr>
          <w:rFonts w:cs="Arial"/>
        </w:rPr>
        <w:t xml:space="preserve">or sheltered </w:t>
      </w:r>
      <w:r w:rsidRPr="292152CD">
        <w:rPr>
          <w:rFonts w:cs="Arial"/>
        </w:rPr>
        <w:t>employment settings</w:t>
      </w:r>
      <w:r w:rsidR="00720551" w:rsidRPr="292152CD">
        <w:rPr>
          <w:rFonts w:cs="Arial"/>
        </w:rPr>
        <w:t xml:space="preserve"> such as Australian Disability </w:t>
      </w:r>
      <w:proofErr w:type="gramStart"/>
      <w:r w:rsidR="00720551" w:rsidRPr="292152CD">
        <w:rPr>
          <w:rFonts w:cs="Arial"/>
        </w:rPr>
        <w:t>Enterprises</w:t>
      </w:r>
      <w:r w:rsidRPr="292152CD">
        <w:rPr>
          <w:rFonts w:cs="Arial"/>
        </w:rPr>
        <w:t>)</w:t>
      </w:r>
      <w:bookmarkEnd w:id="1"/>
      <w:bookmarkEnd w:id="2"/>
      <w:r w:rsidR="00A576FD">
        <w:rPr>
          <w:rFonts w:cs="Arial"/>
          <w:noProof/>
        </w:rPr>
        <w:t>(</w:t>
      </w:r>
      <w:proofErr w:type="gramEnd"/>
      <w:r w:rsidR="00A576FD">
        <w:rPr>
          <w:rFonts w:cs="Arial"/>
          <w:noProof/>
        </w:rPr>
        <w:t>Burke et al., 2013; Ingold et al., 2023)</w:t>
      </w:r>
      <w:r w:rsidR="00EA6594" w:rsidRPr="292152CD">
        <w:rPr>
          <w:rFonts w:cs="Arial"/>
        </w:rPr>
        <w:t xml:space="preserve">. </w:t>
      </w:r>
      <w:r w:rsidR="00EA6594" w:rsidRPr="292152CD">
        <w:rPr>
          <w:rFonts w:cs="Open Sans"/>
          <w:color w:val="060F11"/>
        </w:rPr>
        <w:t xml:space="preserve">Partnering with employers to create sustainable job opportunities for people with disability is crucial </w:t>
      </w:r>
      <w:r w:rsidR="00EA6594">
        <w:rPr>
          <w:rFonts w:cs="Open Sans"/>
          <w:color w:val="060F11"/>
        </w:rPr>
        <w:t>to</w:t>
      </w:r>
      <w:r w:rsidR="00EA6594" w:rsidRPr="292152CD">
        <w:rPr>
          <w:rFonts w:cs="Open Sans"/>
          <w:color w:val="060F11"/>
        </w:rPr>
        <w:t xml:space="preserve"> increas</w:t>
      </w:r>
      <w:r w:rsidR="00EA6594">
        <w:rPr>
          <w:rFonts w:cs="Open Sans"/>
          <w:color w:val="060F11"/>
        </w:rPr>
        <w:t>e</w:t>
      </w:r>
      <w:r w:rsidR="00EA6594" w:rsidRPr="292152CD">
        <w:rPr>
          <w:rFonts w:cs="Open Sans"/>
          <w:color w:val="060F11"/>
        </w:rPr>
        <w:t xml:space="preserve"> the number of disabled employees. However, </w:t>
      </w:r>
      <w:r w:rsidR="00EA6594" w:rsidRPr="292152CD">
        <w:rPr>
          <w:rFonts w:cs="Arial"/>
        </w:rPr>
        <w:t>a persistent gap remains between employers’ stated intentions of employing people with disability and the reality of their hiring and retention practices.</w:t>
      </w:r>
    </w:p>
    <w:p w14:paraId="00CD340D" w14:textId="2A80B540" w:rsidR="00EA6594" w:rsidRPr="00726D9F" w:rsidRDefault="00EA6594" w:rsidP="009F3CE2">
      <w:pPr>
        <w:rPr>
          <w:rFonts w:cs="Open Sans"/>
          <w:color w:val="060F11"/>
        </w:rPr>
      </w:pPr>
      <w:r w:rsidRPr="20E37FE5">
        <w:t xml:space="preserve">The design and delivery of employment services for people </w:t>
      </w:r>
      <w:r>
        <w:t xml:space="preserve">with </w:t>
      </w:r>
      <w:r w:rsidRPr="20E37FE5">
        <w:t>disability (whether mainstream or specialist) have consistently focused on the supply-side (i.e. candidates) to the neglect of the demand-side (employers). Policymakers and parliamentarians increasingly acknowledg</w:t>
      </w:r>
      <w:r>
        <w:t>e</w:t>
      </w:r>
      <w:r w:rsidRPr="20E37FE5">
        <w:t xml:space="preserve"> the need for more active and informed employer engagement within employment services</w:t>
      </w:r>
      <w:r w:rsidR="00B01EEB">
        <w:t xml:space="preserve"> </w:t>
      </w:r>
      <w:r w:rsidR="00A576FD">
        <w:rPr>
          <w:noProof/>
        </w:rPr>
        <w:t>(Habeck et al., 2007)</w:t>
      </w:r>
      <w:r w:rsidRPr="20E37FE5">
        <w:t xml:space="preserve">. </w:t>
      </w:r>
      <w:r w:rsidRPr="20E37FE5">
        <w:rPr>
          <w:rFonts w:cs="Open Sans"/>
          <w:color w:val="060F11"/>
        </w:rPr>
        <w:t>As part of Inclusive Employment Australia</w:t>
      </w:r>
      <w:r w:rsidR="0055193B">
        <w:rPr>
          <w:rFonts w:cs="Open Sans"/>
          <w:color w:val="060F11"/>
        </w:rPr>
        <w:t xml:space="preserve"> – </w:t>
      </w:r>
      <w:r w:rsidRPr="20E37FE5">
        <w:rPr>
          <w:rFonts w:cs="Open Sans"/>
          <w:color w:val="060F11"/>
        </w:rPr>
        <w:t>introduced on 1 November 2025 to replace Disability Employment Services (DES)</w:t>
      </w:r>
      <w:r w:rsidR="0055193B">
        <w:rPr>
          <w:rFonts w:cs="Open Sans"/>
          <w:color w:val="060F11"/>
        </w:rPr>
        <w:t xml:space="preserve"> – </w:t>
      </w:r>
      <w:r w:rsidRPr="20E37FE5">
        <w:rPr>
          <w:rFonts w:cs="Open Sans"/>
          <w:color w:val="060F11"/>
        </w:rPr>
        <w:t>employers are expected to have access to expert guidance from service providers on recruitment and workplace practices</w:t>
      </w:r>
      <w:r w:rsidR="004C1EB1">
        <w:rPr>
          <w:rFonts w:cs="Open Sans"/>
          <w:color w:val="060F11"/>
        </w:rPr>
        <w:t xml:space="preserve"> </w:t>
      </w:r>
      <w:r w:rsidR="00A576FD">
        <w:rPr>
          <w:rFonts w:cs="Open Sans"/>
          <w:noProof/>
          <w:color w:val="060F11"/>
        </w:rPr>
        <w:t>(Department of Social Services, 2026)</w:t>
      </w:r>
      <w:r w:rsidRPr="20E37FE5">
        <w:rPr>
          <w:rFonts w:cs="Open Sans"/>
          <w:color w:val="060F11"/>
        </w:rPr>
        <w:t>. Providers are expected to work with employers to:</w:t>
      </w:r>
    </w:p>
    <w:p w14:paraId="6EBE17BB" w14:textId="77777777" w:rsidR="00EA6594" w:rsidRPr="00D4190E" w:rsidRDefault="00EA6594" w:rsidP="005B1DE5">
      <w:pPr>
        <w:pStyle w:val="ListBullet"/>
      </w:pPr>
      <w:r w:rsidRPr="00D4190E">
        <w:t>identify their business needs</w:t>
      </w:r>
    </w:p>
    <w:p w14:paraId="484EA72D" w14:textId="77777777" w:rsidR="00EA6594" w:rsidRPr="00D4190E" w:rsidRDefault="00EA6594" w:rsidP="005B1DE5">
      <w:pPr>
        <w:pStyle w:val="ListBullet"/>
      </w:pPr>
      <w:r w:rsidRPr="00D4190E">
        <w:t>find suitable candidates</w:t>
      </w:r>
    </w:p>
    <w:p w14:paraId="129B3791" w14:textId="77777777" w:rsidR="00EA6594" w:rsidRPr="00D4190E" w:rsidRDefault="00EA6594" w:rsidP="005B1DE5">
      <w:pPr>
        <w:pStyle w:val="ListBullet"/>
      </w:pPr>
      <w:r w:rsidRPr="00D4190E">
        <w:t>access training</w:t>
      </w:r>
    </w:p>
    <w:p w14:paraId="53BC7584" w14:textId="77777777" w:rsidR="00EA6594" w:rsidRPr="00D4190E" w:rsidRDefault="00EA6594" w:rsidP="005B1DE5">
      <w:pPr>
        <w:pStyle w:val="ListBullet"/>
      </w:pPr>
      <w:r w:rsidRPr="00D4190E">
        <w:t>make workplace adjustments, job customisation and tailoring</w:t>
      </w:r>
    </w:p>
    <w:p w14:paraId="487584D9" w14:textId="77777777" w:rsidR="00EA6594" w:rsidRPr="00D4190E" w:rsidRDefault="00EA6594" w:rsidP="005B1DE5">
      <w:pPr>
        <w:pStyle w:val="ListBullet"/>
      </w:pPr>
      <w:r w:rsidRPr="00D4190E">
        <w:t>provide safe and productive workplaces</w:t>
      </w:r>
    </w:p>
    <w:p w14:paraId="48D873E3" w14:textId="77777777" w:rsidR="00EA6594" w:rsidRPr="00D4190E" w:rsidRDefault="00EA6594" w:rsidP="005B1DE5">
      <w:pPr>
        <w:pStyle w:val="ListBullet"/>
      </w:pPr>
      <w:r w:rsidRPr="00D4190E">
        <w:t>retain employees with disability.</w:t>
      </w:r>
    </w:p>
    <w:p w14:paraId="529542B4" w14:textId="3E630E67" w:rsidR="00EA6594" w:rsidRPr="00726D9F" w:rsidRDefault="00EA6594" w:rsidP="009F3CE2">
      <w:r w:rsidRPr="00726D9F">
        <w:t>In addition, employers may be eligible for a new wage subsidy program.</w:t>
      </w:r>
    </w:p>
    <w:p w14:paraId="2AFC858C" w14:textId="0730D1B4" w:rsidR="00EA6594" w:rsidRDefault="00EA6594" w:rsidP="009F3CE2">
      <w:r w:rsidRPr="1F9D6AAF">
        <w:t>The government’s increasing expectation is that employment service providers should adopt more effective, evidence</w:t>
      </w:r>
      <w:r w:rsidRPr="1F9D6AAF">
        <w:rPr>
          <w:rFonts w:ascii="Cambria Math" w:hAnsi="Cambria Math" w:cs="Cambria Math"/>
        </w:rPr>
        <w:t>‑</w:t>
      </w:r>
      <w:r w:rsidRPr="1F9D6AAF">
        <w:t>informed approaches to engaging employers, in order to enable people with disability to access quality and meaningful employment.</w:t>
      </w:r>
      <w:r w:rsidRPr="1F9D6AAF">
        <w:rPr>
          <w:rFonts w:cs="Arial"/>
        </w:rPr>
        <w:t xml:space="preserve"> However, engagement activities and practices are </w:t>
      </w:r>
      <w:r>
        <w:rPr>
          <w:rFonts w:cs="Arial"/>
        </w:rPr>
        <w:t>u</w:t>
      </w:r>
      <w:r w:rsidRPr="1F9D6AAF">
        <w:rPr>
          <w:rFonts w:cs="Arial"/>
        </w:rPr>
        <w:t>neven, varying considerably across providers, and there is limited clarity about which practices are most effective</w:t>
      </w:r>
      <w:r w:rsidRPr="1F9D6AAF">
        <w:t xml:space="preserve"> in supporting the recruitment, retention, and </w:t>
      </w:r>
      <w:r w:rsidRPr="1F9D6AAF">
        <w:lastRenderedPageBreak/>
        <w:t>progression of people with disability in mainstream employment</w:t>
      </w:r>
      <w:r w:rsidR="00F30F22">
        <w:t xml:space="preserve"> </w:t>
      </w:r>
      <w:r w:rsidR="00A576FD">
        <w:rPr>
          <w:noProof/>
        </w:rPr>
        <w:t>(Bosman et al., 2025)</w:t>
      </w:r>
      <w:r w:rsidRPr="1F9D6AAF">
        <w:t xml:space="preserve">. </w:t>
      </w:r>
    </w:p>
    <w:p w14:paraId="71376B5E" w14:textId="41F18AFC" w:rsidR="00EA6594" w:rsidRDefault="00EA6594" w:rsidP="009F3CE2">
      <w:r w:rsidRPr="79104FA4">
        <w:t>Existing research has highlighted two interconnected aspects of employer engagement</w:t>
      </w:r>
      <w:r w:rsidR="006D7A35">
        <w:rPr>
          <w:rFonts w:eastAsiaTheme="minorEastAsia" w:cstheme="minorBidi"/>
        </w:rPr>
        <w:t xml:space="preserve"> </w:t>
      </w:r>
      <w:r w:rsidR="00A576FD">
        <w:rPr>
          <w:rFonts w:eastAsiaTheme="minorEastAsia" w:cstheme="minorBidi"/>
          <w:noProof/>
        </w:rPr>
        <w:t>(Bosman et al., 2025; Department of Employment and Workplace Relations, 2024; Ingold et al., 2023)</w:t>
      </w:r>
      <w:r w:rsidRPr="79104FA4">
        <w:t xml:space="preserve">: </w:t>
      </w:r>
    </w:p>
    <w:p w14:paraId="648A66E1" w14:textId="0B1E8827" w:rsidR="00EA6594" w:rsidRPr="00632BC6" w:rsidRDefault="00EA6594" w:rsidP="005B1DE5">
      <w:pPr>
        <w:pStyle w:val="ListBullet"/>
      </w:pPr>
      <w:r w:rsidRPr="00632BC6">
        <w:t xml:space="preserve">Employers’ involvement with employment services (e.g. through hiring of people with disability), and </w:t>
      </w:r>
    </w:p>
    <w:p w14:paraId="67AC7C37" w14:textId="667764FA" w:rsidR="00EA6594" w:rsidRPr="00632BC6" w:rsidRDefault="00EA6594" w:rsidP="005B1DE5">
      <w:pPr>
        <w:pStyle w:val="ListBullet"/>
      </w:pPr>
      <w:r w:rsidRPr="00632BC6">
        <w:t xml:space="preserve">Providers’ efforts to engage and support employers in adopting inclusive practices. </w:t>
      </w:r>
    </w:p>
    <w:p w14:paraId="082BEA9D" w14:textId="68C153D6" w:rsidR="00EA6594" w:rsidRPr="00F03C93" w:rsidRDefault="00EA6594" w:rsidP="009F3CE2">
      <w:r w:rsidRPr="00F03C93">
        <w:t xml:space="preserve">In this rapid evidence synthesis, employer engagement refers to the actions and strategies </w:t>
      </w:r>
      <w:r>
        <w:t xml:space="preserve">specifically </w:t>
      </w:r>
      <w:r w:rsidRPr="00F03C93">
        <w:t>used by employment service providers to build and maintain relationships with employers, understand their workforce needs, and create opportunities for hiring, retaining, and progressing people with disability. These activities range from responding to employers’ existing vacancies to develop</w:t>
      </w:r>
      <w:r>
        <w:t>ing</w:t>
      </w:r>
      <w:r w:rsidRPr="00F03C93">
        <w:t xml:space="preserve"> long</w:t>
      </w:r>
      <w:r w:rsidRPr="00F03C93">
        <w:rPr>
          <w:rFonts w:ascii="Cambria Math" w:hAnsi="Cambria Math" w:cs="Cambria Math"/>
        </w:rPr>
        <w:t>‑</w:t>
      </w:r>
      <w:r w:rsidRPr="00F03C93">
        <w:t xml:space="preserve">term partnerships that support inclusive workforce practices. They also span multiple stages of the HR cycle, including recruitment and attraction, job matching and selection, and ongoing support to retain and progress employees with disability in mainstream employment. </w:t>
      </w:r>
    </w:p>
    <w:p w14:paraId="235F055D" w14:textId="5698EFA6" w:rsidR="00EA6594" w:rsidRPr="00726D9F" w:rsidRDefault="00EA6594" w:rsidP="00C77149">
      <w:pPr>
        <w:pStyle w:val="Heading2"/>
      </w:pPr>
      <w:bookmarkStart w:id="31" w:name="_Toc223984040"/>
      <w:bookmarkStart w:id="32" w:name="_Toc226902109"/>
      <w:bookmarkStart w:id="33" w:name="_Toc232075432"/>
      <w:r w:rsidRPr="2C74DE28">
        <w:t>Aims, purpose and audience</w:t>
      </w:r>
      <w:bookmarkEnd w:id="31"/>
      <w:bookmarkEnd w:id="32"/>
      <w:bookmarkEnd w:id="33"/>
    </w:p>
    <w:p w14:paraId="2A4342A9" w14:textId="6140E195" w:rsidR="00EA6594" w:rsidRPr="00726D9F" w:rsidRDefault="00EA6594" w:rsidP="009F3CE2">
      <w:r w:rsidRPr="00726D9F">
        <w:t xml:space="preserve">This </w:t>
      </w:r>
      <w:r>
        <w:t>evidence synthesis</w:t>
      </w:r>
      <w:r w:rsidRPr="00726D9F">
        <w:t xml:space="preserve"> </w:t>
      </w:r>
      <w:r>
        <w:t>identifies</w:t>
      </w:r>
      <w:r w:rsidRPr="00726D9F">
        <w:t xml:space="preserve"> effective ways in which organisations delivering employment services </w:t>
      </w:r>
      <w:r>
        <w:t>can</w:t>
      </w:r>
      <w:r w:rsidRPr="00726D9F">
        <w:t xml:space="preserve"> engage employers to improve job opportunities, retention, and progression for people with disability. </w:t>
      </w:r>
    </w:p>
    <w:p w14:paraId="4C189139" w14:textId="21B4848B" w:rsidR="00EA6594" w:rsidRPr="00726D9F" w:rsidRDefault="00EA6594" w:rsidP="009F3CE2">
      <w:r w:rsidRPr="2C74DE28">
        <w:t>The synthesis answers three key research questions:</w:t>
      </w:r>
    </w:p>
    <w:p w14:paraId="0AA3C2D0" w14:textId="168F8709" w:rsidR="00EA6594" w:rsidRPr="00726D9F" w:rsidRDefault="00EA6594" w:rsidP="00520F83">
      <w:pPr>
        <w:pStyle w:val="ListNumber"/>
        <w:numPr>
          <w:ilvl w:val="0"/>
          <w:numId w:val="21"/>
        </w:numPr>
      </w:pPr>
      <w:r w:rsidRPr="2C74DE28">
        <w:t>Which employer engagement practices lead to better hiring and retention outcomes in the mainstream labour market?</w:t>
      </w:r>
    </w:p>
    <w:p w14:paraId="018D1E98" w14:textId="03C9C1B5" w:rsidR="00EA6594" w:rsidRPr="00726D9F" w:rsidRDefault="00EA6594" w:rsidP="00C77149">
      <w:pPr>
        <w:pStyle w:val="ListNumber"/>
      </w:pPr>
      <w:r w:rsidRPr="2C74DE28">
        <w:t>What activities and ingredients make employer engagement effective, and how can these be enacted by a diverse employment services workforce?</w:t>
      </w:r>
    </w:p>
    <w:p w14:paraId="419D470C" w14:textId="519A272A" w:rsidR="00EA6594" w:rsidRPr="00726D9F" w:rsidRDefault="00EA6594" w:rsidP="00C77149">
      <w:pPr>
        <w:pStyle w:val="ListNumber"/>
      </w:pPr>
      <w:r w:rsidRPr="665C1DFA">
        <w:t>How, if at all, do effective practices differ for specific groups of jobseekers with disability, such as people with mental health conditions, neurodivergence, or intellectual disability?</w:t>
      </w:r>
    </w:p>
    <w:p w14:paraId="677A92BB" w14:textId="6AB31B46" w:rsidR="00EA6594" w:rsidRPr="00726D9F" w:rsidRDefault="00EA6594" w:rsidP="009F3CE2">
      <w:r w:rsidRPr="3EFB1E93">
        <w:t>To answer these questions, the synthesis brings together practice</w:t>
      </w:r>
      <w:r w:rsidR="008D3816">
        <w:rPr>
          <w:rFonts w:ascii="Cambria Math" w:hAnsi="Cambria Math" w:cs="Cambria Math"/>
        </w:rPr>
        <w:t>-</w:t>
      </w:r>
      <w:r w:rsidRPr="3EFB1E93">
        <w:t xml:space="preserve">based academic and peer-reviewed research. While the focus is on improving employment outcomes for people with disability, the synthesis also considers broader employer engagement evidence where it offers transferable insights. </w:t>
      </w:r>
      <w:r w:rsidRPr="3EFB1E93">
        <w:lastRenderedPageBreak/>
        <w:t>Evidence was examined across the employment cycle</w:t>
      </w:r>
      <w:r w:rsidR="0055193B">
        <w:t xml:space="preserve"> – </w:t>
      </w:r>
      <w:r w:rsidRPr="3EFB1E93">
        <w:t>from recruitment and selection, through onboarding to retention, job redesign, and progression including return to work following absence</w:t>
      </w:r>
      <w:r w:rsidR="0055193B">
        <w:t xml:space="preserve"> – </w:t>
      </w:r>
      <w:r w:rsidRPr="3EFB1E93">
        <w:t xml:space="preserve">to identify what practices were used, how they were delivered, and under what conditions they were effective. </w:t>
      </w:r>
    </w:p>
    <w:p w14:paraId="716116E6" w14:textId="4A2EFB5C" w:rsidR="00EA6594" w:rsidRPr="00726D9F" w:rsidRDefault="00EA6594" w:rsidP="009F3CE2">
      <w:r w:rsidRPr="3EFB1E93">
        <w:t>The primary audience for this synthesis is organisations that deliver employment services</w:t>
      </w:r>
      <w:r w:rsidR="0055193B">
        <w:t xml:space="preserve"> – </w:t>
      </w:r>
      <w:r w:rsidRPr="3EFB1E93">
        <w:t>both disability and mainstream providers. This includes employer-facing staff, frontline employment consultants or advisors, job coaches, as well as managers and leaders of disability employment services. The findings are also relevant to policymakers and parliamentarians at all spatial levels who design employment policies and programs, tendering services and to employers and employer representative organisations seeking to strengthen their inclusive employment practices.</w:t>
      </w:r>
    </w:p>
    <w:p w14:paraId="33FD521A" w14:textId="4B2E4B62" w:rsidR="00EA6594" w:rsidRPr="00277455" w:rsidRDefault="00EA6594" w:rsidP="009F3CE2">
      <w:pPr>
        <w:pStyle w:val="Heading1"/>
      </w:pPr>
      <w:bookmarkStart w:id="34" w:name="_Toc223984041"/>
      <w:bookmarkStart w:id="35" w:name="_Toc226902110"/>
      <w:bookmarkStart w:id="36" w:name="_Toc232075433"/>
      <w:r w:rsidRPr="00277455">
        <w:t>Methodology</w:t>
      </w:r>
      <w:bookmarkEnd w:id="34"/>
      <w:bookmarkEnd w:id="35"/>
      <w:bookmarkEnd w:id="36"/>
    </w:p>
    <w:p w14:paraId="68406298" w14:textId="77777777" w:rsidR="00CB29B8" w:rsidRPr="00CB29B8" w:rsidRDefault="00CB29B8" w:rsidP="00446B3C">
      <w:r w:rsidRPr="00CB29B8">
        <w:t>The report used a rapid evidence synthesis to bring together research, grey literature, and practice-based resources about employer engagement and disability employment. Conducted across four iterative stages, it drew on structured academic database searches, targeted searches of key organisational and industry websites and direct engagement with practitioner networks. The review applied broad inclusion criteria to reflect the emerging and heterogeneous nature of the evidence base. It included peer-reviewed and grey literature, policy documents, evaluations, provider resources, submissions, and unpublished materials, while excluding material focused primarily on supported or sheltered employment, which fell outside the review’s focus on employer engagement in the mainstream labour market. Materials were then screened and analysed by the research team to identify the most relevant themes, practices, and insights for improving employment outcomes for people with disability. Evidence was assessed for both relevance and rigour using the Australian Education Research Organisation (AERO, 2022) Standards of Evidence.</w:t>
      </w:r>
    </w:p>
    <w:p w14:paraId="091348B3" w14:textId="4CA78526" w:rsidR="00CB29B8" w:rsidRPr="00CB29B8" w:rsidRDefault="00CB29B8" w:rsidP="00446B3C">
      <w:r w:rsidRPr="00CB29B8">
        <w:t xml:space="preserve">A key limitation is that the synthesis is shaped by the availability of documented evidence. Effective practices that are unpublished, commercially sensitive, or embedded within organisational processes are less likely to be captured, meaning the review may under-represent the extent of good practice across the sector. Full methodological details, including search strings and the PRISMA figure, are provided in the </w:t>
      </w:r>
      <w:r w:rsidR="00527256">
        <w:t>Appendix to this document</w:t>
      </w:r>
      <w:r w:rsidR="00484063">
        <w:t xml:space="preserve"> (</w:t>
      </w:r>
      <w:r w:rsidR="00821EAE" w:rsidRPr="00726D9F">
        <w:t>Donmanige</w:t>
      </w:r>
      <w:r w:rsidR="00821EAE">
        <w:t xml:space="preserve"> et al</w:t>
      </w:r>
      <w:r w:rsidRPr="00CB29B8">
        <w:t>.</w:t>
      </w:r>
      <w:r w:rsidR="004E3861">
        <w:t>, 2026).</w:t>
      </w:r>
    </w:p>
    <w:p w14:paraId="79DD0E4F" w14:textId="0D13CB7F" w:rsidR="00EA6594" w:rsidRPr="007D2C1C" w:rsidRDefault="00EA6594" w:rsidP="008D3816">
      <w:pPr>
        <w:pStyle w:val="Heading1"/>
      </w:pPr>
      <w:bookmarkStart w:id="37" w:name="_Toc201660923"/>
      <w:bookmarkStart w:id="38" w:name="_Toc223984047"/>
      <w:bookmarkStart w:id="39" w:name="_Toc226902116"/>
      <w:bookmarkStart w:id="40" w:name="_Toc232075434"/>
      <w:r w:rsidRPr="00277455">
        <w:lastRenderedPageBreak/>
        <w:t>Findings</w:t>
      </w:r>
      <w:bookmarkEnd w:id="37"/>
      <w:bookmarkEnd w:id="38"/>
      <w:bookmarkEnd w:id="39"/>
      <w:bookmarkEnd w:id="40"/>
    </w:p>
    <w:p w14:paraId="12D13C56" w14:textId="21165722" w:rsidR="00EA6594" w:rsidRDefault="00EA6594" w:rsidP="009F3CE2">
      <w:r w:rsidRPr="00726D9F">
        <w:t>This section presents the key findings from the evidence synthesis</w:t>
      </w:r>
      <w:r>
        <w:t xml:space="preserve"> – firstly </w:t>
      </w:r>
      <w:r w:rsidRPr="00726D9F">
        <w:t>structured around the three research questions</w:t>
      </w:r>
      <w:r>
        <w:t xml:space="preserve"> and then themes, enabling and moderating factors and finally implications for practice.</w:t>
      </w:r>
    </w:p>
    <w:p w14:paraId="1B582767" w14:textId="5ED4C553" w:rsidR="00EA6594" w:rsidRPr="00726D9F" w:rsidRDefault="00EA6594" w:rsidP="009F3CE2">
      <w:r w:rsidRPr="00726D9F">
        <w:t xml:space="preserve">A visual overview of the themes and associated sub-themes is presented in </w:t>
      </w:r>
      <w:r w:rsidRPr="005A645F">
        <w:rPr>
          <w:b/>
          <w:bCs/>
        </w:rPr>
        <w:t>Figure 1</w:t>
      </w:r>
      <w:r w:rsidRPr="00726D9F">
        <w:t xml:space="preserve">. </w:t>
      </w:r>
    </w:p>
    <w:p w14:paraId="318A59B8" w14:textId="6BF142A6" w:rsidR="00EA6594" w:rsidRPr="00726D9F" w:rsidRDefault="00EA6594" w:rsidP="008D3816">
      <w:pPr>
        <w:pStyle w:val="Heading2"/>
      </w:pPr>
      <w:bookmarkStart w:id="41" w:name="_Toc226902117"/>
      <w:bookmarkStart w:id="42" w:name="_Toc232075435"/>
      <w:r>
        <w:t xml:space="preserve">RQ1. </w:t>
      </w:r>
      <w:r w:rsidRPr="00726D9F">
        <w:t xml:space="preserve">Which </w:t>
      </w:r>
      <w:r w:rsidRPr="008D3816">
        <w:t>employer</w:t>
      </w:r>
      <w:r w:rsidRPr="00726D9F">
        <w:t xml:space="preserve"> engagement practices lead to better hiring and retention outcomes in the mainstream labour market?</w:t>
      </w:r>
      <w:bookmarkEnd w:id="41"/>
      <w:bookmarkEnd w:id="42"/>
    </w:p>
    <w:p w14:paraId="7905CF48" w14:textId="1F2C8FFD" w:rsidR="00EA6594" w:rsidRDefault="00EA6594" w:rsidP="009F3CE2">
      <w:r w:rsidRPr="665C1DFA">
        <w:t>The materials reviewed revealed that employer engagement is a core component of disability employment support and refers to the strategies used to build and sustain relationships with businesses to create, maintain, and improve job opportunities for people with disability</w:t>
      </w:r>
      <w:r w:rsidR="0006627A">
        <w:t xml:space="preserve"> </w:t>
      </w:r>
      <w:r w:rsidR="00A576FD">
        <w:rPr>
          <w:noProof/>
        </w:rPr>
        <w:t>(European Commission, 2024; Ingold &amp; Stuart, 2014; Murphy et al., 2024; Van Berkel, 2021)</w:t>
      </w:r>
      <w:r w:rsidRPr="665C1DFA">
        <w:t>. Engagement activities varied widely</w:t>
      </w:r>
      <w:r w:rsidR="0055193B">
        <w:t xml:space="preserve"> – </w:t>
      </w:r>
      <w:r w:rsidRPr="665C1DFA">
        <w:t>from short</w:t>
      </w:r>
      <w:r w:rsidRPr="665C1DFA">
        <w:rPr>
          <w:rFonts w:ascii="Cambria Math" w:hAnsi="Cambria Math" w:cs="Cambria Math"/>
        </w:rPr>
        <w:t>‑</w:t>
      </w:r>
      <w:r w:rsidRPr="665C1DFA">
        <w:t>term, vacancy</w:t>
      </w:r>
      <w:r w:rsidRPr="665C1DFA">
        <w:rPr>
          <w:rFonts w:ascii="Cambria Math" w:hAnsi="Cambria Math" w:cs="Cambria Math"/>
        </w:rPr>
        <w:t>‑</w:t>
      </w:r>
      <w:r w:rsidRPr="665C1DFA">
        <w:t>driven interactions to long</w:t>
      </w:r>
      <w:r w:rsidRPr="665C1DFA">
        <w:rPr>
          <w:rFonts w:ascii="Cambria Math" w:hAnsi="Cambria Math" w:cs="Cambria Math"/>
        </w:rPr>
        <w:t>‑</w:t>
      </w:r>
      <w:r w:rsidRPr="665C1DFA">
        <w:t>term partnerships that focus on understanding employer needs and shaping inclusive workforce practices</w:t>
      </w:r>
      <w:r w:rsidR="00DD5FB1">
        <w:t xml:space="preserve"> </w:t>
      </w:r>
      <w:r w:rsidR="00A576FD">
        <w:rPr>
          <w:noProof/>
        </w:rPr>
        <w:t>(Enehaug et al., 2022; Hyggen &amp; Vedeler, 2021; Ingold et al., 2023)</w:t>
      </w:r>
      <w:r w:rsidRPr="665C1DFA">
        <w:t xml:space="preserve">. </w:t>
      </w:r>
      <w:r>
        <w:t>The most e</w:t>
      </w:r>
      <w:r w:rsidRPr="665C1DFA">
        <w:t xml:space="preserve">ffective approaches are those tailored to individual jobseekers with disability and/or designed to strengthen employers’ broader awareness of labour market context and </w:t>
      </w:r>
      <w:r>
        <w:t xml:space="preserve">the </w:t>
      </w:r>
      <w:r w:rsidRPr="665C1DFA">
        <w:t>supply</w:t>
      </w:r>
      <w:r>
        <w:t xml:space="preserve"> side (candidates)</w:t>
      </w:r>
      <w:r w:rsidRPr="665C1DFA">
        <w:t>.</w:t>
      </w:r>
    </w:p>
    <w:p w14:paraId="3BE7F23C" w14:textId="30EC16D6" w:rsidR="00EA6594" w:rsidRPr="007F2DC9" w:rsidRDefault="00EA6594" w:rsidP="009F3CE2">
      <w:r w:rsidRPr="4E252CB5">
        <w:t>Effective employer engagement practices that led to improved hiring and retention outcomes were:</w:t>
      </w:r>
    </w:p>
    <w:p w14:paraId="6A111FC2" w14:textId="7FD8163D" w:rsidR="00EA6594" w:rsidRPr="008D3816" w:rsidRDefault="00EA6594" w:rsidP="00520F83">
      <w:pPr>
        <w:pStyle w:val="ListNumber"/>
        <w:numPr>
          <w:ilvl w:val="0"/>
          <w:numId w:val="22"/>
        </w:numPr>
        <w:rPr>
          <w:color w:val="000000"/>
        </w:rPr>
      </w:pPr>
      <w:r w:rsidRPr="665C1DFA">
        <w:t>Long-term relationship management with employers</w:t>
      </w:r>
      <w:r w:rsidR="00A57113">
        <w:t>.</w:t>
      </w:r>
    </w:p>
    <w:p w14:paraId="25C1B2F3" w14:textId="6687B92E" w:rsidR="00EA6594" w:rsidRDefault="00EA6594" w:rsidP="008D3816">
      <w:pPr>
        <w:pStyle w:val="ListNumber"/>
      </w:pPr>
      <w:r w:rsidRPr="665C1DFA">
        <w:t>Practices to build trust and reduce employer uncertainty</w:t>
      </w:r>
      <w:r w:rsidR="00A57113">
        <w:t>.</w:t>
      </w:r>
    </w:p>
    <w:p w14:paraId="6019DBC4" w14:textId="61932F3A" w:rsidR="00EA6594" w:rsidRPr="009F3CE2" w:rsidRDefault="00EA6594" w:rsidP="008D3816">
      <w:pPr>
        <w:pStyle w:val="ListNumber"/>
        <w:rPr>
          <w:color w:val="000000"/>
        </w:rPr>
      </w:pPr>
      <w:r w:rsidRPr="665C1DFA">
        <w:t>Demand-led and business-informed approaches</w:t>
      </w:r>
      <w:r w:rsidR="00A57113">
        <w:t>.</w:t>
      </w:r>
    </w:p>
    <w:p w14:paraId="4D4F9CA6" w14:textId="709D675C" w:rsidR="00EA6594" w:rsidRDefault="00EA6594" w:rsidP="008D3816">
      <w:pPr>
        <w:pStyle w:val="ListNumber"/>
      </w:pPr>
      <w:r w:rsidRPr="665C1DFA">
        <w:t>Proactive vacancy identification</w:t>
      </w:r>
      <w:r w:rsidR="00A57113">
        <w:t>.</w:t>
      </w:r>
    </w:p>
    <w:p w14:paraId="1DAA88D8" w14:textId="743000D8" w:rsidR="00EA6594" w:rsidRDefault="00EA6594" w:rsidP="008D3816">
      <w:pPr>
        <w:pStyle w:val="ListNumber"/>
      </w:pPr>
      <w:r w:rsidRPr="665C1DFA">
        <w:t>Understanding employer workforce needs</w:t>
      </w:r>
      <w:r w:rsidR="00A57113">
        <w:t>.</w:t>
      </w:r>
    </w:p>
    <w:p w14:paraId="45CA2BEC" w14:textId="7DEFD0F3" w:rsidR="00EA6594" w:rsidRDefault="00EA6594" w:rsidP="008D3816">
      <w:pPr>
        <w:pStyle w:val="ListNumber"/>
      </w:pPr>
      <w:r w:rsidRPr="665C1DFA">
        <w:t>Aligning candidates to business priorities</w:t>
      </w:r>
      <w:r w:rsidR="00A57113">
        <w:t>.</w:t>
      </w:r>
    </w:p>
    <w:p w14:paraId="243BC1F9" w14:textId="3E3B2463" w:rsidR="00EA6594" w:rsidRPr="00726D9F" w:rsidRDefault="00EA6594" w:rsidP="008D3816">
      <w:pPr>
        <w:pStyle w:val="ListNumber"/>
      </w:pPr>
      <w:r w:rsidRPr="00726D9F">
        <w:t>Repeat business relationships</w:t>
      </w:r>
      <w:r w:rsidR="00A57113">
        <w:t>.</w:t>
      </w:r>
    </w:p>
    <w:p w14:paraId="7AE79A28" w14:textId="092A7E47" w:rsidR="00EA6594" w:rsidRPr="00726D9F" w:rsidRDefault="00EA6594" w:rsidP="008D3816">
      <w:pPr>
        <w:pStyle w:val="ListNumber"/>
      </w:pPr>
      <w:r w:rsidRPr="665C1DFA">
        <w:t>Dedicated account managers</w:t>
      </w:r>
      <w:r w:rsidR="00A57113">
        <w:t>.</w:t>
      </w:r>
    </w:p>
    <w:p w14:paraId="3F51C6D6" w14:textId="014D2FAC" w:rsidR="00EA6594" w:rsidRPr="00726D9F" w:rsidRDefault="00EA6594" w:rsidP="008D3816">
      <w:pPr>
        <w:pStyle w:val="ListNumber"/>
      </w:pPr>
      <w:r w:rsidRPr="665C1DFA">
        <w:t>Commercial understanding rather than compliance-driven placement</w:t>
      </w:r>
      <w:r w:rsidR="00A57113">
        <w:t>.</w:t>
      </w:r>
    </w:p>
    <w:p w14:paraId="76944C40" w14:textId="7A9355BD" w:rsidR="00EA6594" w:rsidRPr="009F3CE2" w:rsidRDefault="00EA6594" w:rsidP="008D3816">
      <w:pPr>
        <w:pStyle w:val="ListNumber"/>
        <w:rPr>
          <w:color w:val="000000"/>
        </w:rPr>
      </w:pPr>
      <w:r w:rsidRPr="665C1DFA">
        <w:lastRenderedPageBreak/>
        <w:t>Structured follow-up (e.g., two weeks, six weeks, three months)</w:t>
      </w:r>
      <w:r w:rsidR="00A57113">
        <w:t>.</w:t>
      </w:r>
    </w:p>
    <w:p w14:paraId="323E3600" w14:textId="7436EF9D" w:rsidR="00EA6594" w:rsidRPr="009F3CE2" w:rsidRDefault="00EA6594" w:rsidP="008D3816">
      <w:pPr>
        <w:pStyle w:val="ListNumber"/>
        <w:rPr>
          <w:color w:val="000000"/>
        </w:rPr>
      </w:pPr>
      <w:r w:rsidRPr="665C1DFA">
        <w:t>On-site visits</w:t>
      </w:r>
      <w:r w:rsidR="00A57113">
        <w:t>.</w:t>
      </w:r>
      <w:r w:rsidRPr="665C1DFA">
        <w:t xml:space="preserve"> </w:t>
      </w:r>
    </w:p>
    <w:p w14:paraId="17AA767E" w14:textId="6AD7CF41" w:rsidR="00EA6594" w:rsidRPr="00726D9F" w:rsidRDefault="00EA6594" w:rsidP="008D3816">
      <w:pPr>
        <w:pStyle w:val="ListNumber"/>
      </w:pPr>
      <w:r w:rsidRPr="00726D9F">
        <w:t>Rapid response to emerging issues</w:t>
      </w:r>
      <w:r w:rsidR="00A57113">
        <w:t>.</w:t>
      </w:r>
    </w:p>
    <w:p w14:paraId="0190871C" w14:textId="3D61C538" w:rsidR="00EA6594" w:rsidRPr="009F3CE2" w:rsidRDefault="00EA6594" w:rsidP="008D3816">
      <w:pPr>
        <w:pStyle w:val="ListNumber"/>
        <w:rPr>
          <w:color w:val="000000"/>
        </w:rPr>
      </w:pPr>
      <w:r w:rsidRPr="4E252CB5">
        <w:t>Supervisor coaching</w:t>
      </w:r>
      <w:r w:rsidR="00A57113">
        <w:t>.</w:t>
      </w:r>
    </w:p>
    <w:p w14:paraId="209BEDA7" w14:textId="30B0B196" w:rsidR="00EA6594" w:rsidRPr="00726D9F" w:rsidRDefault="00EA6594" w:rsidP="009F3CE2">
      <w:pPr>
        <w:rPr>
          <w:color w:val="000000"/>
        </w:rPr>
      </w:pPr>
      <w:r w:rsidRPr="665C1DFA">
        <w:t xml:space="preserve">Retention is strongly associated with proactive early support </w:t>
      </w:r>
      <w:r>
        <w:t>from</w:t>
      </w:r>
      <w:r w:rsidRPr="665C1DFA">
        <w:t xml:space="preserve"> both service providers and employers. This includes:</w:t>
      </w:r>
    </w:p>
    <w:p w14:paraId="0DE658F5" w14:textId="01CBCEAE" w:rsidR="00EA6594" w:rsidRPr="008D3816" w:rsidRDefault="00EA6594" w:rsidP="005B1DE5">
      <w:pPr>
        <w:pStyle w:val="ListBullet"/>
      </w:pPr>
      <w:r w:rsidRPr="008D3816">
        <w:t>Role customisation and job carving where appropriate</w:t>
      </w:r>
      <w:r w:rsidR="008D3816">
        <w:t>.</w:t>
      </w:r>
    </w:p>
    <w:p w14:paraId="58EF591D" w14:textId="02C4A2D6" w:rsidR="00EA6594" w:rsidRPr="008D3816" w:rsidRDefault="00EA6594" w:rsidP="005B1DE5">
      <w:pPr>
        <w:pStyle w:val="ListBullet"/>
      </w:pPr>
      <w:r w:rsidRPr="008D3816">
        <w:t>Active support to supervisors and frontline managers</w:t>
      </w:r>
      <w:r w:rsidR="008D3816">
        <w:t>.</w:t>
      </w:r>
    </w:p>
    <w:p w14:paraId="713A8A85" w14:textId="4CA79302" w:rsidR="00EA6594" w:rsidRPr="008D3816" w:rsidRDefault="00EA6594" w:rsidP="005B1DE5">
      <w:pPr>
        <w:pStyle w:val="ListBullet"/>
      </w:pPr>
      <w:r w:rsidRPr="008D3816">
        <w:t>Structured and ongoing post-placement follow-up</w:t>
      </w:r>
      <w:r w:rsidR="008D3816">
        <w:t>.</w:t>
      </w:r>
    </w:p>
    <w:p w14:paraId="6F297924" w14:textId="6EFF0B81" w:rsidR="00EA6594" w:rsidRDefault="00EA6594" w:rsidP="009F3CE2">
      <w:r w:rsidRPr="2703D91F">
        <w:t>Retention outcomes are strongest where employer engagement extends beyond placement into workplace integration and problem-solving support.</w:t>
      </w:r>
    </w:p>
    <w:p w14:paraId="3B00CF31" w14:textId="77777777" w:rsidR="000A6B59" w:rsidRDefault="000A6B59" w:rsidP="009F3CE2"/>
    <w:tbl>
      <w:tblPr>
        <w:tblStyle w:val="CIETable"/>
        <w:tblW w:w="0" w:type="auto"/>
        <w:tblLook w:val="04A0" w:firstRow="1" w:lastRow="0" w:firstColumn="1" w:lastColumn="0" w:noHBand="0" w:noVBand="1"/>
      </w:tblPr>
      <w:tblGrid>
        <w:gridCol w:w="9628"/>
      </w:tblGrid>
      <w:tr w:rsidR="00096E89" w14:paraId="18550B4C" w14:textId="77777777" w:rsidTr="00096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ABDA44E" w14:textId="5CB1DA2E" w:rsidR="00096E89" w:rsidRPr="00096E89" w:rsidRDefault="00096E89" w:rsidP="00096E89">
            <w:pPr>
              <w:pStyle w:val="TableHeading"/>
            </w:pPr>
            <w:r w:rsidRPr="007B2C96">
              <w:t>How can providers strengthen employer engagement?</w:t>
            </w:r>
          </w:p>
        </w:tc>
      </w:tr>
      <w:tr w:rsidR="00D353B2" w14:paraId="1D8CE2F7" w14:textId="77777777" w:rsidTr="00096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6FC09C9" w14:textId="77F9DC87" w:rsidR="007B2C96" w:rsidRPr="005B1DE5" w:rsidRDefault="007B2C96" w:rsidP="005B1DE5">
            <w:pPr>
              <w:pStyle w:val="TableBullet"/>
            </w:pPr>
            <w:r w:rsidRPr="005B1DE5">
              <w:t>Build and maintain structured, long-term employer relationships through dedicated account management, regular contact, and a consistent single point of contact.</w:t>
            </w:r>
          </w:p>
          <w:p w14:paraId="4E103DA2" w14:textId="331002C3" w:rsidR="007B2C96" w:rsidRPr="005B1DE5" w:rsidRDefault="007B2C96" w:rsidP="005B1DE5">
            <w:pPr>
              <w:pStyle w:val="TableBullet"/>
            </w:pPr>
            <w:r w:rsidRPr="005B1DE5">
              <w:t>Reduce employer uncertainty by offering tailored advice, clear information about candidates' strengths, and practical guidance on adjustments.</w:t>
            </w:r>
          </w:p>
          <w:p w14:paraId="601952FB" w14:textId="0F952B85" w:rsidR="007B2C96" w:rsidRPr="005B1DE5" w:rsidRDefault="007B2C96" w:rsidP="005B1DE5">
            <w:pPr>
              <w:pStyle w:val="TableBullet"/>
            </w:pPr>
            <w:r w:rsidRPr="005B1DE5">
              <w:t>Reach out proactively to understand what employers need, spot upcoming opportunities, and design roles or entry points that suit the candidate.</w:t>
            </w:r>
          </w:p>
          <w:p w14:paraId="46914CF0" w14:textId="6AB8A532" w:rsidR="007B2C96" w:rsidRPr="005B1DE5" w:rsidRDefault="007B2C96" w:rsidP="005B1DE5">
            <w:pPr>
              <w:pStyle w:val="TableBullet"/>
            </w:pPr>
            <w:r w:rsidRPr="005B1DE5">
              <w:t>Provide structured post-placement support - schedule follow-ups, solve problems quickly, and coach supervisors.</w:t>
            </w:r>
          </w:p>
          <w:p w14:paraId="0FD29AE4" w14:textId="0ADAFF7C" w:rsidR="00D353B2" w:rsidRPr="005B1DE5" w:rsidRDefault="007B2C96" w:rsidP="005B1DE5">
            <w:pPr>
              <w:pStyle w:val="TableBullet"/>
            </w:pPr>
            <w:r w:rsidRPr="005B1DE5">
              <w:t>Help people settle in by resolving issues early and adjusting duties or the role itself where needed.</w:t>
            </w:r>
          </w:p>
        </w:tc>
      </w:tr>
    </w:tbl>
    <w:p w14:paraId="5940DF94" w14:textId="77777777" w:rsidR="00787700" w:rsidRDefault="00787700" w:rsidP="009F3CE2">
      <w:pPr>
        <w:sectPr w:rsidR="00787700" w:rsidSect="0041348F">
          <w:pgSz w:w="11906" w:h="16838" w:code="9"/>
          <w:pgMar w:top="1134" w:right="1134" w:bottom="1134" w:left="1134" w:header="454" w:footer="0" w:gutter="0"/>
          <w:cols w:space="708"/>
          <w:docGrid w:linePitch="360"/>
        </w:sectPr>
      </w:pPr>
    </w:p>
    <w:p w14:paraId="53FC9ED2" w14:textId="60CE3BD5" w:rsidR="00EA6594" w:rsidRPr="00726D9F" w:rsidRDefault="00EC0B3B" w:rsidP="000D7808">
      <w:pPr>
        <w:pStyle w:val="FigureCaption"/>
      </w:pPr>
      <w:r>
        <w:rPr>
          <w:noProof/>
        </w:rPr>
        <w:lastRenderedPageBreak/>
        <w:drawing>
          <wp:anchor distT="0" distB="0" distL="114300" distR="114300" simplePos="0" relativeHeight="251658240" behindDoc="0" locked="0" layoutInCell="1" allowOverlap="1" wp14:anchorId="1B01315D" wp14:editId="66162284">
            <wp:simplePos x="0" y="0"/>
            <wp:positionH relativeFrom="column">
              <wp:posOffset>-635</wp:posOffset>
            </wp:positionH>
            <wp:positionV relativeFrom="paragraph">
              <wp:posOffset>330200</wp:posOffset>
            </wp:positionV>
            <wp:extent cx="8978265" cy="5201920"/>
            <wp:effectExtent l="0" t="0" r="635" b="5080"/>
            <wp:wrapSquare wrapText="bothSides"/>
            <wp:docPr id="9795798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79888" name="Picture 979579888"/>
                    <pic:cNvPicPr/>
                  </pic:nvPicPr>
                  <pic:blipFill rotWithShape="1">
                    <a:blip r:embed="rId17">
                      <a:extLst>
                        <a:ext uri="{28A0092B-C50C-407E-A947-70E740481C1C}">
                          <a14:useLocalDpi xmlns:a14="http://schemas.microsoft.com/office/drawing/2010/main" val="0"/>
                        </a:ext>
                      </a:extLst>
                    </a:blip>
                    <a:srcRect l="6775" t="4667" r="5799" b="5283"/>
                    <a:stretch>
                      <a:fillRect/>
                    </a:stretch>
                  </pic:blipFill>
                  <pic:spPr bwMode="auto">
                    <a:xfrm>
                      <a:off x="0" y="0"/>
                      <a:ext cx="8978265" cy="5201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6594" w:rsidRPr="00726D9F">
        <w:t>Figure 1</w:t>
      </w:r>
      <w:r w:rsidR="000D7808">
        <w:t>.</w:t>
      </w:r>
      <w:r w:rsidR="00EA6594" w:rsidRPr="00726D9F">
        <w:t xml:space="preserve"> Relational brokerage &amp; employer capability-building (beyond one-off contact)</w:t>
      </w:r>
    </w:p>
    <w:p w14:paraId="73D6FB60" w14:textId="77F08293" w:rsidR="00EA6594" w:rsidRPr="00726D9F" w:rsidRDefault="00EA6594" w:rsidP="009F3CE2"/>
    <w:p w14:paraId="0AE15C8F" w14:textId="77777777" w:rsidR="00EA6594" w:rsidRPr="00726D9F" w:rsidRDefault="00EA6594" w:rsidP="009F3CE2">
      <w:pPr>
        <w:sectPr w:rsidR="00EA6594" w:rsidRPr="00726D9F" w:rsidSect="00787700">
          <w:pgSz w:w="16838" w:h="11906" w:orient="landscape" w:code="9"/>
          <w:pgMar w:top="1134" w:right="1134" w:bottom="1134" w:left="1134" w:header="454" w:footer="0" w:gutter="0"/>
          <w:cols w:space="708"/>
          <w:docGrid w:linePitch="360"/>
        </w:sectPr>
      </w:pPr>
    </w:p>
    <w:p w14:paraId="258A8AEF" w14:textId="605F8226" w:rsidR="00EA6594" w:rsidRPr="00767057" w:rsidRDefault="00EA6594" w:rsidP="001F69EC">
      <w:pPr>
        <w:pStyle w:val="Heading2"/>
      </w:pPr>
      <w:bookmarkStart w:id="43" w:name="_Toc226902118"/>
      <w:bookmarkStart w:id="44" w:name="_Toc232075436"/>
      <w:r>
        <w:lastRenderedPageBreak/>
        <w:t xml:space="preserve">RQ2. </w:t>
      </w:r>
      <w:r w:rsidRPr="00767057">
        <w:t>What activities and ingredients make employer engagement effective, and how can these be enacted by a diverse employment services workforce?</w:t>
      </w:r>
      <w:bookmarkEnd w:id="43"/>
      <w:bookmarkEnd w:id="44"/>
    </w:p>
    <w:p w14:paraId="5CCBDB94" w14:textId="77777777" w:rsidR="00EA6594" w:rsidRPr="002C5500" w:rsidRDefault="00EA6594" w:rsidP="009F3CE2">
      <w:pPr>
        <w:rPr>
          <w:b/>
          <w:bCs/>
          <w:kern w:val="2"/>
          <w:lang w:eastAsia="en-AU"/>
          <w14:ligatures w14:val="standardContextual"/>
        </w:rPr>
      </w:pPr>
      <w:r w:rsidRPr="002C5500">
        <w:rPr>
          <w:b/>
          <w:bCs/>
        </w:rPr>
        <w:t>What are the key ingredients that make employer engagement work?</w:t>
      </w:r>
    </w:p>
    <w:p w14:paraId="38FC2E15" w14:textId="1FDA1E05" w:rsidR="00EA6594" w:rsidRPr="00C37033" w:rsidRDefault="00EA6594" w:rsidP="00520F83">
      <w:pPr>
        <w:pStyle w:val="ListNumber"/>
        <w:numPr>
          <w:ilvl w:val="0"/>
          <w:numId w:val="23"/>
        </w:numPr>
      </w:pPr>
      <w:r w:rsidRPr="00C37033">
        <w:t>Dedicated employer relationship roles</w:t>
      </w:r>
      <w:r w:rsidR="00A57113">
        <w:t>.</w:t>
      </w:r>
      <w:r>
        <w:t xml:space="preserve"> </w:t>
      </w:r>
    </w:p>
    <w:p w14:paraId="3D809BD8" w14:textId="0DBE6309" w:rsidR="00EA6594" w:rsidRPr="00C37033" w:rsidRDefault="00EA6594" w:rsidP="00E2754F">
      <w:pPr>
        <w:pStyle w:val="ListNumber"/>
      </w:pPr>
      <w:r w:rsidRPr="3EFB1E93">
        <w:t>Staff who come across as credible to business</w:t>
      </w:r>
      <w:r w:rsidR="0055193B">
        <w:t xml:space="preserve"> – </w:t>
      </w:r>
      <w:r w:rsidRPr="3EFB1E93">
        <w:t>they understand how employers think and speak their language</w:t>
      </w:r>
      <w:r w:rsidR="00A57113">
        <w:t>.</w:t>
      </w:r>
    </w:p>
    <w:p w14:paraId="09E77A80" w14:textId="5BEA131B" w:rsidR="00EA6594" w:rsidRPr="00C37033" w:rsidRDefault="00EA6594" w:rsidP="00E2754F">
      <w:pPr>
        <w:pStyle w:val="ListNumber"/>
      </w:pPr>
      <w:r w:rsidRPr="00C37033">
        <w:t>Good knowledge of local labour markets and industries</w:t>
      </w:r>
      <w:r w:rsidR="00A57113">
        <w:t>.</w:t>
      </w:r>
    </w:p>
    <w:p w14:paraId="1053297D" w14:textId="3DEBCD8C" w:rsidR="00EA6594" w:rsidRPr="00C37033" w:rsidRDefault="00EA6594" w:rsidP="00E2754F">
      <w:pPr>
        <w:pStyle w:val="ListNumber"/>
      </w:pPr>
      <w:r w:rsidRPr="3EFB1E93">
        <w:t>Being responsive</w:t>
      </w:r>
      <w:r w:rsidR="0055193B">
        <w:t xml:space="preserve"> – </w:t>
      </w:r>
      <w:r w:rsidRPr="3EFB1E93">
        <w:t>getting back to employers quickly and following through</w:t>
      </w:r>
      <w:r w:rsidR="00A57113">
        <w:t>.</w:t>
      </w:r>
    </w:p>
    <w:p w14:paraId="616B6199" w14:textId="1A394C6D" w:rsidR="00EA6594" w:rsidRPr="00C37033" w:rsidRDefault="00EA6594" w:rsidP="00E2754F">
      <w:pPr>
        <w:pStyle w:val="ListNumber"/>
      </w:pPr>
      <w:r w:rsidRPr="00C37033">
        <w:t>Tailoring support to each employer and each candidate, rather than using a one-size-fits-all approach</w:t>
      </w:r>
      <w:r w:rsidR="00A57113">
        <w:t>.</w:t>
      </w:r>
    </w:p>
    <w:p w14:paraId="6F8C0578" w14:textId="2335BFE6" w:rsidR="00EA6594" w:rsidRPr="00C37033" w:rsidRDefault="00EA6594" w:rsidP="00E2754F">
      <w:pPr>
        <w:pStyle w:val="ListNumber"/>
      </w:pPr>
      <w:r w:rsidRPr="00C37033">
        <w:t>Keeping the same person in contact with the employer over time</w:t>
      </w:r>
      <w:r w:rsidR="00A57113">
        <w:t>.</w:t>
      </w:r>
    </w:p>
    <w:p w14:paraId="69BAB318" w14:textId="600FAD46" w:rsidR="00EA6594" w:rsidRPr="00C37033" w:rsidRDefault="00EA6594" w:rsidP="00E2754F">
      <w:pPr>
        <w:pStyle w:val="ListNumber"/>
      </w:pPr>
      <w:r w:rsidRPr="3EFB1E93">
        <w:t>Working with both employers and candidates to figure out what flexibilities are possible</w:t>
      </w:r>
      <w:r w:rsidR="0055193B">
        <w:t xml:space="preserve"> – </w:t>
      </w:r>
      <w:r w:rsidRPr="3EFB1E93">
        <w:t>in how the job is designed, how the workplace is set up, and how work gets done day to day</w:t>
      </w:r>
      <w:r w:rsidR="00A57113">
        <w:t>.</w:t>
      </w:r>
    </w:p>
    <w:p w14:paraId="3A758C24" w14:textId="547744A6" w:rsidR="00EA6594" w:rsidRPr="00C37033" w:rsidRDefault="00EA6594" w:rsidP="00E2754F">
      <w:pPr>
        <w:pStyle w:val="ListNumber"/>
      </w:pPr>
      <w:r w:rsidRPr="00C37033">
        <w:t>Careful matching and planning adjustments before someone starts</w:t>
      </w:r>
      <w:r w:rsidR="00A57113">
        <w:t>.</w:t>
      </w:r>
    </w:p>
    <w:p w14:paraId="266A3B4B" w14:textId="7E91758F" w:rsidR="00EA6594" w:rsidRPr="00C37033" w:rsidRDefault="00EA6594" w:rsidP="00E2754F">
      <w:pPr>
        <w:pStyle w:val="ListNumber"/>
      </w:pPr>
      <w:r w:rsidRPr="00C37033">
        <w:t>Staying involved after someone is placed, not stepping away once the job starts</w:t>
      </w:r>
      <w:r w:rsidR="00A57113">
        <w:t>.</w:t>
      </w:r>
    </w:p>
    <w:p w14:paraId="228060C4" w14:textId="59B67282" w:rsidR="00EA6594" w:rsidRDefault="00EA6594" w:rsidP="009F3CE2">
      <w:r w:rsidRPr="665C1DFA">
        <w:t xml:space="preserve">Specifically, </w:t>
      </w:r>
      <w:r w:rsidRPr="1BEFFEE4">
        <w:t xml:space="preserve">the evidence outlined specific </w:t>
      </w:r>
      <w:r w:rsidRPr="665C1DFA">
        <w:rPr>
          <w:b/>
          <w:bCs/>
        </w:rPr>
        <w:t xml:space="preserve">activities </w:t>
      </w:r>
      <w:r w:rsidRPr="665C1DFA">
        <w:t xml:space="preserve">undertaken by service providers </w:t>
      </w:r>
      <w:r w:rsidRPr="1BEFFEE4">
        <w:t>across the pre-placement, placement, and post-placement stages</w:t>
      </w:r>
      <w:r w:rsidR="00276375">
        <w:rPr>
          <w:rFonts w:cs="Arial"/>
        </w:rPr>
        <w:t xml:space="preserve"> </w:t>
      </w:r>
      <w:r w:rsidR="00A576FD">
        <w:rPr>
          <w:rFonts w:cs="Arial"/>
          <w:noProof/>
        </w:rPr>
        <w:t>(Harris et al., 2017; Kersten et al., 2025; Murphy et al., 2024; Social Ventures Australia &amp; Children and Young People with Disability, n.d.)</w:t>
      </w:r>
      <w:r>
        <w:t>.</w:t>
      </w:r>
    </w:p>
    <w:p w14:paraId="07EA1B54" w14:textId="2D57E650" w:rsidR="00EA6594" w:rsidRPr="00A57113" w:rsidRDefault="00EA6594" w:rsidP="009F3CE2">
      <w:pPr>
        <w:rPr>
          <w:b/>
          <w:bCs/>
          <w:kern w:val="2"/>
          <w:lang w:eastAsia="en-AU"/>
          <w14:ligatures w14:val="standardContextual"/>
        </w:rPr>
      </w:pPr>
      <w:r w:rsidRPr="00A57113">
        <w:rPr>
          <w:b/>
          <w:bCs/>
        </w:rPr>
        <w:t>Before placement</w:t>
      </w:r>
      <w:r w:rsidR="00A57113" w:rsidRPr="00A57113">
        <w:rPr>
          <w:b/>
          <w:bCs/>
        </w:rPr>
        <w:t>:</w:t>
      </w:r>
    </w:p>
    <w:p w14:paraId="51FC20B4" w14:textId="290D40BB" w:rsidR="00EA6594" w:rsidRPr="00D8644F" w:rsidRDefault="00EA6594" w:rsidP="005B1DE5">
      <w:pPr>
        <w:pStyle w:val="ListBullet"/>
      </w:pPr>
      <w:r w:rsidRPr="00D8644F">
        <w:t>Reach out to employers and build the relationship</w:t>
      </w:r>
      <w:r w:rsidR="00A57113">
        <w:t>.</w:t>
      </w:r>
    </w:p>
    <w:p w14:paraId="507F7028" w14:textId="7C78FF2D" w:rsidR="00EA6594" w:rsidRPr="00D8644F" w:rsidRDefault="00EA6594" w:rsidP="005B1DE5">
      <w:pPr>
        <w:pStyle w:val="ListBullet"/>
      </w:pPr>
      <w:r w:rsidRPr="00D8644F">
        <w:t>Understand what the organisation needs and how it works</w:t>
      </w:r>
      <w:r w:rsidR="00A57113">
        <w:t>.</w:t>
      </w:r>
    </w:p>
    <w:p w14:paraId="43FE9568" w14:textId="48E258DC" w:rsidR="00EA6594" w:rsidRDefault="00EA6594" w:rsidP="005B1DE5">
      <w:pPr>
        <w:pStyle w:val="ListBullet"/>
      </w:pPr>
      <w:r w:rsidRPr="3EFB1E93">
        <w:t>Have an honest conversation with the employer about how ready they are to support someone with disability</w:t>
      </w:r>
      <w:r w:rsidR="00A57113">
        <w:t>.</w:t>
      </w:r>
    </w:p>
    <w:p w14:paraId="774A7946" w14:textId="2E77BEF9" w:rsidR="00EA6594" w:rsidRDefault="00EA6594" w:rsidP="005B1DE5">
      <w:pPr>
        <w:pStyle w:val="ListBullet"/>
      </w:pPr>
      <w:r w:rsidRPr="3EFB1E93">
        <w:t xml:space="preserve">Put together a simple profile for each candidate – what they need to do their best work and to stat well – and use this to set up the workplace before day one, including what adjustments the candidate will need before they </w:t>
      </w:r>
      <w:r w:rsidRPr="3EFB1E93">
        <w:lastRenderedPageBreak/>
        <w:t>start</w:t>
      </w:r>
      <w:r w:rsidR="00A57113">
        <w:t>.</w:t>
      </w:r>
    </w:p>
    <w:p w14:paraId="0768A906" w14:textId="24A49DE3" w:rsidR="00EA6594" w:rsidRPr="00A57113" w:rsidRDefault="00EA6594" w:rsidP="009F3CE2">
      <w:pPr>
        <w:rPr>
          <w:b/>
          <w:bCs/>
          <w:kern w:val="2"/>
          <w:lang w:eastAsia="en-AU"/>
          <w14:ligatures w14:val="standardContextual"/>
        </w:rPr>
      </w:pPr>
      <w:r w:rsidRPr="00A57113">
        <w:rPr>
          <w:b/>
          <w:bCs/>
        </w:rPr>
        <w:t>During placement</w:t>
      </w:r>
      <w:r w:rsidR="00A57113">
        <w:rPr>
          <w:b/>
          <w:bCs/>
        </w:rPr>
        <w:t>:</w:t>
      </w:r>
    </w:p>
    <w:p w14:paraId="1CDBA0BD" w14:textId="1D29CAA4" w:rsidR="00EA6594" w:rsidRPr="00D8644F" w:rsidRDefault="00EA6594" w:rsidP="005B1DE5">
      <w:pPr>
        <w:pStyle w:val="ListBullet"/>
      </w:pPr>
      <w:r w:rsidRPr="00D8644F">
        <w:t>Match the right candidate to the right role and prepare them for starting</w:t>
      </w:r>
      <w:r w:rsidR="00A57113">
        <w:t>.</w:t>
      </w:r>
    </w:p>
    <w:p w14:paraId="413972AD" w14:textId="674FB6D7" w:rsidR="00EA6594" w:rsidRPr="00D8644F" w:rsidRDefault="00EA6594" w:rsidP="005B1DE5">
      <w:pPr>
        <w:pStyle w:val="ListBullet"/>
      </w:pPr>
      <w:r w:rsidRPr="00D8644F">
        <w:t>Brief supervisors and frontline managers so they know what to expect and how to support the person</w:t>
      </w:r>
      <w:r w:rsidR="00A57113">
        <w:t>.</w:t>
      </w:r>
    </w:p>
    <w:p w14:paraId="304595F5" w14:textId="782637F5" w:rsidR="00EA6594" w:rsidRPr="00A57113" w:rsidRDefault="00EA6594" w:rsidP="009F3CE2">
      <w:pPr>
        <w:rPr>
          <w:b/>
          <w:bCs/>
          <w:kern w:val="2"/>
          <w:lang w:eastAsia="en-AU"/>
          <w14:ligatures w14:val="standardContextual"/>
        </w:rPr>
      </w:pPr>
      <w:r w:rsidRPr="00A57113">
        <w:rPr>
          <w:b/>
          <w:bCs/>
        </w:rPr>
        <w:t>After placement</w:t>
      </w:r>
      <w:r w:rsidR="00A57113" w:rsidRPr="00A57113">
        <w:rPr>
          <w:b/>
          <w:bCs/>
        </w:rPr>
        <w:t>:</w:t>
      </w:r>
    </w:p>
    <w:p w14:paraId="650E36D1" w14:textId="639615EB" w:rsidR="00EA6594" w:rsidRPr="00D8644F" w:rsidRDefault="00EA6594" w:rsidP="005B1DE5">
      <w:pPr>
        <w:pStyle w:val="ListBullet"/>
      </w:pPr>
      <w:r w:rsidRPr="00D8644F">
        <w:t>Stay in regular contact with the employer, especially in the early weeks</w:t>
      </w:r>
      <w:r w:rsidR="00A57113">
        <w:t>.</w:t>
      </w:r>
    </w:p>
    <w:p w14:paraId="6D59E0FD" w14:textId="0FD3D115" w:rsidR="00EA6594" w:rsidRPr="00D8644F" w:rsidRDefault="00EA6594" w:rsidP="005B1DE5">
      <w:pPr>
        <w:pStyle w:val="ListBullet"/>
      </w:pPr>
      <w:r w:rsidRPr="00D8644F">
        <w:t>Step in quickly to work through any issues if they come up</w:t>
      </w:r>
      <w:r w:rsidR="00A57113">
        <w:t>.</w:t>
      </w:r>
    </w:p>
    <w:p w14:paraId="77153240" w14:textId="315756D6" w:rsidR="00173079" w:rsidRDefault="00EA6594" w:rsidP="005B1DE5">
      <w:pPr>
        <w:pStyle w:val="ListBullet"/>
      </w:pPr>
      <w:r w:rsidRPr="00D8644F">
        <w:t>Adjust the role if needed to help the person stay and succeed</w:t>
      </w:r>
      <w:r w:rsidR="00A57113">
        <w:t>.</w:t>
      </w:r>
    </w:p>
    <w:p w14:paraId="12D3A3C5" w14:textId="77777777" w:rsidR="0044120A" w:rsidRDefault="0044120A" w:rsidP="005B1DE5">
      <w:pPr>
        <w:pStyle w:val="ListBullet"/>
        <w:numPr>
          <w:ilvl w:val="0"/>
          <w:numId w:val="0"/>
        </w:numPr>
      </w:pPr>
    </w:p>
    <w:tbl>
      <w:tblPr>
        <w:tblStyle w:val="CIETable"/>
        <w:tblW w:w="0" w:type="auto"/>
        <w:tblLook w:val="04A0" w:firstRow="1" w:lastRow="0" w:firstColumn="1" w:lastColumn="0" w:noHBand="0" w:noVBand="1"/>
      </w:tblPr>
      <w:tblGrid>
        <w:gridCol w:w="9628"/>
      </w:tblGrid>
      <w:tr w:rsidR="00CA4090" w14:paraId="0721F21B" w14:textId="77777777" w:rsidTr="00CA40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6CF4D1CF" w14:textId="5DE3CDCB" w:rsidR="00CA4090" w:rsidRPr="00CA4090" w:rsidRDefault="00CA4090" w:rsidP="00CA4090">
            <w:pPr>
              <w:pStyle w:val="TableHeading"/>
            </w:pPr>
            <w:r w:rsidRPr="00CA4090">
              <w:t xml:space="preserve">Three levels of engagement were identified: </w:t>
            </w:r>
          </w:p>
        </w:tc>
      </w:tr>
      <w:tr w:rsidR="003766EC" w14:paraId="38BAF4D0" w14:textId="77777777" w:rsidTr="00CA4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779858D" w14:textId="01DFAE6A" w:rsidR="003766EC" w:rsidRPr="005B1DE5" w:rsidRDefault="003766EC" w:rsidP="005B1DE5">
            <w:pPr>
              <w:pStyle w:val="TableBullet"/>
            </w:pPr>
            <w:r w:rsidRPr="000A6B59">
              <w:rPr>
                <w:b/>
              </w:rPr>
              <w:t>Low intensity:</w:t>
            </w:r>
            <w:r w:rsidRPr="005B1DE5">
              <w:t xml:space="preserve"> Transactional vacancy filling with limited follow-up </w:t>
            </w:r>
          </w:p>
          <w:p w14:paraId="5C052FD0" w14:textId="7D32C7C9" w:rsidR="003766EC" w:rsidRPr="005B1DE5" w:rsidRDefault="003766EC" w:rsidP="005B1DE5">
            <w:pPr>
              <w:pStyle w:val="TableBullet"/>
              <w:rPr>
                <w:b/>
                <w:bCs/>
              </w:rPr>
            </w:pPr>
            <w:r w:rsidRPr="005B1DE5">
              <w:rPr>
                <w:b/>
                <w:bCs/>
              </w:rPr>
              <w:t>Moderate intensity:</w:t>
            </w:r>
            <w:r w:rsidRPr="005B1DE5">
              <w:t xml:space="preserve"> Active matching and short-term follow-up</w:t>
            </w:r>
          </w:p>
          <w:p w14:paraId="2777C485" w14:textId="20275B77" w:rsidR="003766EC" w:rsidRPr="005B1DE5" w:rsidRDefault="003766EC" w:rsidP="005B1DE5">
            <w:pPr>
              <w:pStyle w:val="TableBullet"/>
            </w:pPr>
            <w:r w:rsidRPr="000A6B59">
              <w:rPr>
                <w:b/>
              </w:rPr>
              <w:t>High intensity:</w:t>
            </w:r>
            <w:r w:rsidRPr="005B1DE5">
              <w:t xml:space="preserve"> Strategic partnerships, on-site engagement, ongoing retention support</w:t>
            </w:r>
          </w:p>
        </w:tc>
      </w:tr>
    </w:tbl>
    <w:p w14:paraId="4A8ACE2E" w14:textId="6EC1CDAE" w:rsidR="00EA6594" w:rsidRDefault="00EA6594" w:rsidP="009F3CE2">
      <w:r w:rsidRPr="15655A78">
        <w:t>Engagement</w:t>
      </w:r>
      <w:r w:rsidRPr="15655A78">
        <w:rPr>
          <w:b/>
          <w:bCs/>
        </w:rPr>
        <w:t xml:space="preserve"> intensity</w:t>
      </w:r>
      <w:r w:rsidRPr="15655A78">
        <w:t xml:space="preserve"> matters. High-intensity engagement (regular contact, on-site visits, proactive problem-solving) is associated with stronger retention outcomes, particularly in the early months of employment</w:t>
      </w:r>
      <w:r w:rsidR="001E756F">
        <w:t xml:space="preserve"> </w:t>
      </w:r>
      <w:r w:rsidR="00A576FD">
        <w:rPr>
          <w:noProof/>
        </w:rPr>
        <w:t>(Habeck et al., 2010; Harris et al., 2017; Munsell et al., 2024; Murphy et al., 2024; Tsagaris et al., 2026)</w:t>
      </w:r>
      <w:r w:rsidRPr="15655A78">
        <w:t>.</w:t>
      </w:r>
      <w:r w:rsidRPr="003568DC">
        <w:rPr>
          <w:noProof/>
          <w:color w:val="000000"/>
        </w:rPr>
        <w:t xml:space="preserve"> </w:t>
      </w:r>
    </w:p>
    <w:p w14:paraId="7695B5E6" w14:textId="14091D87" w:rsidR="00EA6594" w:rsidRDefault="00EA6594" w:rsidP="009F3CE2">
      <w:r w:rsidRPr="665C1DFA">
        <w:t>Higher intensity activities are particularly important for effective employer engagement. These should take place in the immediate time period following placement. Higher intensity engagement is critical for cohorts requiring workplace adaptation and where employers are inexperienced in disability inclusion.</w:t>
      </w:r>
      <w:r w:rsidR="003D60CF">
        <w:br w:type="page"/>
      </w:r>
    </w:p>
    <w:tbl>
      <w:tblPr>
        <w:tblStyle w:val="CIETable"/>
        <w:tblW w:w="0" w:type="auto"/>
        <w:tblLook w:val="04A0" w:firstRow="1" w:lastRow="0" w:firstColumn="1" w:lastColumn="0" w:noHBand="0" w:noVBand="1"/>
      </w:tblPr>
      <w:tblGrid>
        <w:gridCol w:w="9628"/>
      </w:tblGrid>
      <w:tr w:rsidR="00CA5E69" w14:paraId="795AF8F3" w14:textId="77777777" w:rsidTr="00CA5E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961D5FC" w14:textId="6E5C5BEC" w:rsidR="00CA5E69" w:rsidRPr="00CA5E69" w:rsidRDefault="00CA5E69" w:rsidP="00CA5E69">
            <w:pPr>
              <w:pStyle w:val="TableHeading"/>
            </w:pPr>
            <w:r w:rsidRPr="00080461">
              <w:lastRenderedPageBreak/>
              <w:t>How can providers improve the quality and consistency of their employer engagement?</w:t>
            </w:r>
          </w:p>
        </w:tc>
      </w:tr>
      <w:tr w:rsidR="00080461" w14:paraId="437CDC0C" w14:textId="77777777" w:rsidTr="00CA5E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1E7CE5E5" w14:textId="595961D0" w:rsidR="00080461" w:rsidRPr="005B1DE5" w:rsidRDefault="00080461" w:rsidP="005B1DE5">
            <w:pPr>
              <w:pStyle w:val="TableBullet"/>
            </w:pPr>
            <w:r w:rsidRPr="005B1DE5">
              <w:t>Use dedicated employer-facing roles and team-based models so there is continuity, credibility, and someone with the right expertise to solve problems when they come up.</w:t>
            </w:r>
          </w:p>
          <w:p w14:paraId="388C3D03" w14:textId="4DD0FF67" w:rsidR="00080461" w:rsidRPr="005B1DE5" w:rsidRDefault="00080461" w:rsidP="005B1DE5">
            <w:pPr>
              <w:pStyle w:val="TableBullet"/>
            </w:pPr>
            <w:r w:rsidRPr="005B1DE5">
              <w:t>Build staff skills and industry knowledge through training, mentoring, and practical tools – such as scripts and briefing notes they can use on the job.</w:t>
            </w:r>
          </w:p>
          <w:p w14:paraId="770D661E" w14:textId="1C93FF68" w:rsidR="00080461" w:rsidRPr="005B1DE5" w:rsidRDefault="00080461" w:rsidP="005B1DE5">
            <w:pPr>
              <w:pStyle w:val="TableBullet"/>
            </w:pPr>
            <w:r w:rsidRPr="005B1DE5">
              <w:t>Reach out to employers proactively and take time to understand what each organisation needs – including where there might be room to adjust a role or create a new one.</w:t>
            </w:r>
          </w:p>
          <w:p w14:paraId="5813786B" w14:textId="1CD46433" w:rsidR="00080461" w:rsidRPr="005B1DE5" w:rsidRDefault="00080461" w:rsidP="005B1DE5">
            <w:pPr>
              <w:pStyle w:val="TableBullet"/>
            </w:pPr>
            <w:r w:rsidRPr="005B1DE5">
              <w:t>Make intensive early support part of how your service usually operates – plan follow-up contacts, get on-site early, and address issues before they escalate.</w:t>
            </w:r>
          </w:p>
          <w:p w14:paraId="4424667F" w14:textId="07C8FDFB" w:rsidR="00080461" w:rsidRPr="005B1DE5" w:rsidRDefault="00080461" w:rsidP="005B1DE5">
            <w:pPr>
              <w:pStyle w:val="TableBullet"/>
            </w:pPr>
            <w:r w:rsidRPr="005B1DE5">
              <w:t>Use consistent tools and processes across your team – such as supervisor briefings and adjustment profiles – so quality does not depend on which staff member is involved.</w:t>
            </w:r>
          </w:p>
        </w:tc>
      </w:tr>
    </w:tbl>
    <w:p w14:paraId="6BE29FC1" w14:textId="4909FA43" w:rsidR="00EA6594" w:rsidRPr="007B26F4" w:rsidRDefault="00EA6594" w:rsidP="00540A28">
      <w:pPr>
        <w:pStyle w:val="Heading2"/>
      </w:pPr>
      <w:bookmarkStart w:id="45" w:name="_Toc223984050"/>
      <w:bookmarkStart w:id="46" w:name="_Toc226902119"/>
      <w:bookmarkStart w:id="47" w:name="_Toc232075437"/>
      <w:r>
        <w:t xml:space="preserve">RQ3. </w:t>
      </w:r>
      <w:r w:rsidRPr="007B26F4">
        <w:t>How</w:t>
      </w:r>
      <w:r>
        <w:t xml:space="preserve"> </w:t>
      </w:r>
      <w:r w:rsidRPr="007B26F4">
        <w:t>do effective practices differ for specific groups of jobseekers with disability, such as people with mental health conditions, neurodivergence, or intellectual disability?</w:t>
      </w:r>
      <w:bookmarkEnd w:id="45"/>
      <w:bookmarkEnd w:id="46"/>
      <w:bookmarkEnd w:id="47"/>
    </w:p>
    <w:p w14:paraId="5F4CA0F1" w14:textId="6978C21C" w:rsidR="00EA6594" w:rsidRPr="00726D9F" w:rsidRDefault="00EA6594" w:rsidP="009F3CE2">
      <w:pPr>
        <w:rPr>
          <w:color w:val="000000"/>
        </w:rPr>
      </w:pPr>
      <w:r w:rsidRPr="665C1DFA">
        <w:t>The synthesis revealed some differences in employer engagement practices across disability cohorts</w:t>
      </w:r>
      <w:r w:rsidR="000A76D9">
        <w:t xml:space="preserve"> </w:t>
      </w:r>
      <w:r w:rsidR="00A576FD">
        <w:rPr>
          <w:noProof/>
        </w:rPr>
        <w:t>(Blajeski et al., 2023; Chan et al., 2010; Crosbie et al., 2025; De Dios Pérez et al., 2024; Luecking et al., 2006;</w:t>
      </w:r>
      <w:r w:rsidR="007C74A5">
        <w:rPr>
          <w:noProof/>
        </w:rPr>
        <w:t xml:space="preserve"> </w:t>
      </w:r>
      <w:r w:rsidR="007C74A5">
        <w:rPr>
          <w:rFonts w:eastAsiaTheme="minorEastAsia" w:cstheme="minorBidi"/>
          <w:noProof/>
        </w:rPr>
        <w:t>Raynor et al., 2018;</w:t>
      </w:r>
      <w:r w:rsidR="00A576FD">
        <w:rPr>
          <w:noProof/>
        </w:rPr>
        <w:t xml:space="preserve"> Strindlund et al., 2019)</w:t>
      </w:r>
      <w:r w:rsidRPr="665C1DFA">
        <w:t>. These are:</w:t>
      </w:r>
    </w:p>
    <w:p w14:paraId="19C73151" w14:textId="25918FB4" w:rsidR="00EA6594" w:rsidRPr="009F3CE2" w:rsidRDefault="00EA6594" w:rsidP="005B1DE5">
      <w:pPr>
        <w:pStyle w:val="ListBullet"/>
        <w:rPr>
          <w:color w:val="000000"/>
        </w:rPr>
      </w:pPr>
      <w:r w:rsidRPr="665C1DFA">
        <w:t>Psychosocial disability often requires higher post-placement intensity and supervisor coaching</w:t>
      </w:r>
      <w:r w:rsidR="000D06C4">
        <w:t>.</w:t>
      </w:r>
    </w:p>
    <w:p w14:paraId="09BBBC42" w14:textId="5C42AE40" w:rsidR="00EA6594" w:rsidRPr="009F3CE2" w:rsidRDefault="00EA6594" w:rsidP="005B1DE5">
      <w:pPr>
        <w:pStyle w:val="ListBullet"/>
        <w:rPr>
          <w:color w:val="000000"/>
        </w:rPr>
      </w:pPr>
      <w:r w:rsidRPr="665C1DFA">
        <w:t>Job carving and structured workplace supports are frequently associated with intellectual disability</w:t>
      </w:r>
      <w:r w:rsidR="000D06C4">
        <w:t>.</w:t>
      </w:r>
    </w:p>
    <w:p w14:paraId="0231DC90" w14:textId="0523C07E" w:rsidR="00EA6594" w:rsidRPr="009F3CE2" w:rsidRDefault="00EA6594" w:rsidP="005B1DE5">
      <w:pPr>
        <w:pStyle w:val="ListBullet"/>
        <w:rPr>
          <w:color w:val="000000"/>
        </w:rPr>
      </w:pPr>
      <w:r w:rsidRPr="009F3CE2">
        <w:rPr>
          <w:rFonts w:ascii="Verdana" w:eastAsia="Verdana" w:hAnsi="Verdana" w:cs="Verdana"/>
        </w:rPr>
        <w:t>P</w:t>
      </w:r>
      <w:r w:rsidRPr="665C1DFA">
        <w:t>hysical and sensory disability often centres on workplace adjustments and assistive technology</w:t>
      </w:r>
      <w:r w:rsidR="000D06C4">
        <w:t>.</w:t>
      </w:r>
    </w:p>
    <w:p w14:paraId="4DE736B6" w14:textId="19FB39B7" w:rsidR="00EA6594" w:rsidRPr="009F3CE2" w:rsidRDefault="00EA6594" w:rsidP="005B1DE5">
      <w:pPr>
        <w:pStyle w:val="ListBullet"/>
        <w:rPr>
          <w:color w:val="000000"/>
        </w:rPr>
      </w:pPr>
      <w:r w:rsidRPr="665C1DFA">
        <w:t>Neurodivergent jobseekers benefit from role clarity, structured onboarding, and employer education</w:t>
      </w:r>
      <w:r w:rsidR="006D45E9">
        <w:t>.</w:t>
      </w:r>
    </w:p>
    <w:p w14:paraId="47F6E2F8" w14:textId="3B8C73DA" w:rsidR="00EA6594" w:rsidRDefault="00EA6594" w:rsidP="009F3CE2">
      <w:r w:rsidRPr="665C1DFA">
        <w:lastRenderedPageBreak/>
        <w:t>Across these cohorts, the following practices were identified as being critical:</w:t>
      </w:r>
    </w:p>
    <w:p w14:paraId="61559D2F" w14:textId="55E1D93A" w:rsidR="00EA6594" w:rsidRPr="000D06C4" w:rsidRDefault="00EA6594" w:rsidP="005B1DE5">
      <w:pPr>
        <w:pStyle w:val="ListBullet"/>
      </w:pPr>
      <w:r w:rsidRPr="000D06C4">
        <w:t>Supervisor engagement and training</w:t>
      </w:r>
      <w:r w:rsidR="006D45E9">
        <w:t>.</w:t>
      </w:r>
    </w:p>
    <w:p w14:paraId="5E89AFBC" w14:textId="2551B1C1" w:rsidR="00EA6594" w:rsidRPr="000D06C4" w:rsidRDefault="00EA6594" w:rsidP="005B1DE5">
      <w:pPr>
        <w:pStyle w:val="ListBullet"/>
      </w:pPr>
      <w:r w:rsidRPr="000D06C4">
        <w:t>Assessing organisational safety climate for the disclosure (or sharing) of information about disability</w:t>
      </w:r>
      <w:r w:rsidR="006D45E9">
        <w:t>.</w:t>
      </w:r>
    </w:p>
    <w:p w14:paraId="2C7C0DC2" w14:textId="4A1CED7D" w:rsidR="00EA6594" w:rsidRPr="000D06C4" w:rsidRDefault="00EA6594" w:rsidP="005B1DE5">
      <w:pPr>
        <w:pStyle w:val="ListBullet"/>
      </w:pPr>
      <w:r w:rsidRPr="000D06C4">
        <w:t>Adjustments including flexible scheduling</w:t>
      </w:r>
      <w:r w:rsidR="006D45E9">
        <w:t>.</w:t>
      </w:r>
    </w:p>
    <w:p w14:paraId="20D81CFE" w14:textId="52CFACF9" w:rsidR="00EA6594" w:rsidRPr="000D06C4" w:rsidRDefault="00EA6594" w:rsidP="005B1DE5">
      <w:pPr>
        <w:pStyle w:val="ListBullet"/>
      </w:pPr>
      <w:r w:rsidRPr="000D06C4">
        <w:t>Organisational safety climate and culture</w:t>
      </w:r>
      <w:r w:rsidR="006D45E9">
        <w:t>.</w:t>
      </w:r>
    </w:p>
    <w:p w14:paraId="2E28A4B8" w14:textId="042BC120" w:rsidR="00EA6594" w:rsidRPr="000D06C4" w:rsidRDefault="00EA6594" w:rsidP="005B1DE5">
      <w:pPr>
        <w:pStyle w:val="ListBullet"/>
      </w:pPr>
      <w:r w:rsidRPr="000D06C4">
        <w:t>Ongoing communication channels between providers and managers</w:t>
      </w:r>
      <w:r w:rsidR="006D45E9">
        <w:t>.</w:t>
      </w:r>
    </w:p>
    <w:p w14:paraId="3A2AB904" w14:textId="7B92B6B1" w:rsidR="00EA6594" w:rsidRDefault="00EA6594" w:rsidP="009F3CE2">
      <w:r w:rsidRPr="35C3F573">
        <w:t>While for different cohorts of people with disability the core relational principles remain the same, the </w:t>
      </w:r>
      <w:r w:rsidRPr="35C3F573">
        <w:rPr>
          <w:b/>
          <w:bCs/>
        </w:rPr>
        <w:t xml:space="preserve">type and intensity </w:t>
      </w:r>
      <w:r w:rsidRPr="35C3F573">
        <w:t>of support differ across cohorts.</w:t>
      </w:r>
    </w:p>
    <w:p w14:paraId="40C5E548" w14:textId="77777777" w:rsidR="00561011" w:rsidRPr="00F23B80" w:rsidRDefault="00561011" w:rsidP="00F23B80">
      <w:pPr>
        <w:pStyle w:val="Heading4"/>
      </w:pPr>
      <w:r w:rsidRPr="00F23B80">
        <w:t>Intellectual disability</w:t>
      </w:r>
    </w:p>
    <w:p w14:paraId="02F9D60C" w14:textId="45933C4A" w:rsidR="00561011" w:rsidRDefault="00561011" w:rsidP="005B1DE5">
      <w:pPr>
        <w:pStyle w:val="ListBullet"/>
      </w:pPr>
      <w:r>
        <w:t>Breaking the job into clear, manageable tasks that match what the person can do well.</w:t>
      </w:r>
    </w:p>
    <w:p w14:paraId="45954A7F" w14:textId="505A3E03" w:rsidR="00561011" w:rsidRDefault="00561011" w:rsidP="005B1DE5">
      <w:pPr>
        <w:pStyle w:val="ListBullet"/>
      </w:pPr>
      <w:r>
        <w:t>A structured, supported start – not just a standard induction.</w:t>
      </w:r>
    </w:p>
    <w:p w14:paraId="17DEA2ED" w14:textId="0B57D690" w:rsidR="00561011" w:rsidRDefault="00561011" w:rsidP="005B1DE5">
      <w:pPr>
        <w:pStyle w:val="ListBullet"/>
      </w:pPr>
      <w:r>
        <w:t>A workplace buddy to help the person settle in and feel comfortable day to day.</w:t>
      </w:r>
    </w:p>
    <w:p w14:paraId="52F09356" w14:textId="77777777" w:rsidR="00615D88" w:rsidRPr="00F23B80" w:rsidRDefault="00615D88" w:rsidP="00F23B80">
      <w:pPr>
        <w:pStyle w:val="Heading4"/>
      </w:pPr>
      <w:r w:rsidRPr="00F23B80">
        <w:t>Physical or sensory disability</w:t>
      </w:r>
    </w:p>
    <w:p w14:paraId="72511C70" w14:textId="0B78E4F7" w:rsidR="00615D88" w:rsidRPr="00615D88" w:rsidRDefault="00615D88" w:rsidP="005B1DE5">
      <w:pPr>
        <w:pStyle w:val="ListBullet"/>
      </w:pPr>
      <w:r w:rsidRPr="00615D88">
        <w:t>Focusing employer conversations on what adjustments are needed and how to make them happen.</w:t>
      </w:r>
    </w:p>
    <w:p w14:paraId="2CBCD87E" w14:textId="3A9BCCCA" w:rsidR="00615D88" w:rsidRPr="00615D88" w:rsidRDefault="00615D88" w:rsidP="005B1DE5">
      <w:pPr>
        <w:pStyle w:val="ListBullet"/>
      </w:pPr>
      <w:r w:rsidRPr="00615D88">
        <w:t>Sourcing and setting up any assistive technology the person needs.</w:t>
      </w:r>
    </w:p>
    <w:p w14:paraId="3C726FC0" w14:textId="5D4CAE25" w:rsidR="00615D88" w:rsidRPr="005B1DE5" w:rsidRDefault="00615D88" w:rsidP="005B1DE5">
      <w:pPr>
        <w:pStyle w:val="ListBullet"/>
        <w:rPr>
          <w:color w:val="000000"/>
        </w:rPr>
      </w:pPr>
      <w:r w:rsidRPr="00615D88">
        <w:t>Making practical changes to the physical workspace</w:t>
      </w:r>
      <w:r w:rsidRPr="005B1DE5">
        <w:rPr>
          <w:color w:val="000000"/>
        </w:rPr>
        <w:t>.</w:t>
      </w:r>
    </w:p>
    <w:p w14:paraId="6AD595B0" w14:textId="77777777" w:rsidR="00615D88" w:rsidRPr="00F23B80" w:rsidRDefault="00615D88" w:rsidP="00F23B80">
      <w:pPr>
        <w:pStyle w:val="Heading4"/>
      </w:pPr>
      <w:r w:rsidRPr="00F23B80">
        <w:t>Neurodivergence</w:t>
      </w:r>
    </w:p>
    <w:p w14:paraId="1EDC65DE" w14:textId="2F22CC46" w:rsidR="00615D88" w:rsidRPr="00615D88" w:rsidRDefault="00615D88" w:rsidP="005B1DE5">
      <w:pPr>
        <w:pStyle w:val="ListBullet"/>
      </w:pPr>
      <w:r w:rsidRPr="00615D88">
        <w:t>Designing the role with clear expectations and boundaries from the start.</w:t>
      </w:r>
    </w:p>
    <w:p w14:paraId="083CC2E7" w14:textId="50DCEA91" w:rsidR="00615D88" w:rsidRPr="00615D88" w:rsidRDefault="00615D88" w:rsidP="005B1DE5">
      <w:pPr>
        <w:pStyle w:val="ListBullet"/>
      </w:pPr>
      <w:r w:rsidRPr="00615D88">
        <w:t>Structuring tasks so they are predictable and easy to follow.</w:t>
      </w:r>
    </w:p>
    <w:p w14:paraId="688BC954" w14:textId="1C1E2B3E" w:rsidR="00615D88" w:rsidRPr="00615D88" w:rsidRDefault="00615D88" w:rsidP="005B1DE5">
      <w:pPr>
        <w:pStyle w:val="ListBullet"/>
      </w:pPr>
      <w:r w:rsidRPr="00615D88">
        <w:t>Helping employers understand how the person communicates and what support works best for them.</w:t>
      </w:r>
    </w:p>
    <w:p w14:paraId="16197846" w14:textId="77777777" w:rsidR="00F23B80" w:rsidRPr="00F23B80" w:rsidRDefault="00F23B80" w:rsidP="00F23B80">
      <w:pPr>
        <w:pStyle w:val="Heading4"/>
      </w:pPr>
      <w:r w:rsidRPr="00F23B80">
        <w:t>Psychosocial disability</w:t>
      </w:r>
    </w:p>
    <w:p w14:paraId="6A27C036" w14:textId="5C20DF59" w:rsidR="00F23B80" w:rsidRPr="00F23B80" w:rsidRDefault="00F23B80" w:rsidP="005B1DE5">
      <w:pPr>
        <w:pStyle w:val="ListBullet"/>
      </w:pPr>
      <w:r w:rsidRPr="00F23B80">
        <w:t>Assessing whether the workplace culture is one where the person is likely to feel respected and included</w:t>
      </w:r>
      <w:r>
        <w:t>.</w:t>
      </w:r>
    </w:p>
    <w:p w14:paraId="1205CCF5" w14:textId="74255376" w:rsidR="00F23B80" w:rsidRPr="00F23B80" w:rsidRDefault="00F23B80" w:rsidP="005B1DE5">
      <w:pPr>
        <w:pStyle w:val="ListBullet"/>
      </w:pPr>
      <w:r w:rsidRPr="00F23B80">
        <w:t>Building in flexibility around hours, location, or how work gets done</w:t>
      </w:r>
      <w:r>
        <w:t>.</w:t>
      </w:r>
    </w:p>
    <w:p w14:paraId="039497B8" w14:textId="56FFD8EA" w:rsidR="00F23B80" w:rsidRPr="00F23B80" w:rsidRDefault="00F23B80" w:rsidP="005B1DE5">
      <w:pPr>
        <w:pStyle w:val="ListBullet"/>
      </w:pPr>
      <w:r w:rsidRPr="00F23B80">
        <w:t>Making sure the person feels safe to speak up if something isn't working</w:t>
      </w:r>
      <w:r>
        <w:t>.</w:t>
      </w:r>
    </w:p>
    <w:p w14:paraId="63CFBCB3" w14:textId="16AFF21B" w:rsidR="000B2F6C" w:rsidRPr="005B1DE5" w:rsidRDefault="00F23B80" w:rsidP="009F3CE2">
      <w:pPr>
        <w:pStyle w:val="ListBullet"/>
      </w:pPr>
      <w:r w:rsidRPr="00F23B80">
        <w:lastRenderedPageBreak/>
        <w:t>Having careful conversations with the candidate about if, when, and how much to disclose – and supporting them through that process</w:t>
      </w:r>
      <w:r>
        <w:t>.</w:t>
      </w:r>
    </w:p>
    <w:p w14:paraId="545B7121" w14:textId="20B64121" w:rsidR="00EA6594" w:rsidRPr="00726D9F" w:rsidRDefault="00EA6594" w:rsidP="009F3CE2">
      <w:pPr>
        <w:pStyle w:val="Heading3"/>
      </w:pPr>
      <w:bookmarkStart w:id="48" w:name="_Toc223984051"/>
      <w:bookmarkStart w:id="49" w:name="_Toc226902120"/>
      <w:bookmarkStart w:id="50" w:name="_Toc232075438"/>
      <w:r>
        <w:t>A note about s</w:t>
      </w:r>
      <w:r w:rsidRPr="10F2F486">
        <w:t>upported and sheltered employment</w:t>
      </w:r>
      <w:bookmarkEnd w:id="48"/>
      <w:bookmarkEnd w:id="49"/>
      <w:bookmarkEnd w:id="50"/>
      <w:r w:rsidRPr="10F2F486">
        <w:t xml:space="preserve"> </w:t>
      </w:r>
    </w:p>
    <w:p w14:paraId="11A91562" w14:textId="41D1C8B5" w:rsidR="00EA6594" w:rsidRPr="001B43FA" w:rsidRDefault="00EA6594" w:rsidP="009F3CE2">
      <w:r w:rsidRPr="001B43FA">
        <w:t>Practices used in supported or sheltered employment settings are structurally different from mainstream employer engagement and can distort findings if mixed together and treated as equivalent</w:t>
      </w:r>
      <w:r w:rsidR="00C33968">
        <w:rPr>
          <w:rFonts w:eastAsiaTheme="minorEastAsia" w:cstheme="minorBidi"/>
        </w:rPr>
        <w:t xml:space="preserve"> </w:t>
      </w:r>
      <w:r w:rsidR="00A576FD">
        <w:rPr>
          <w:rFonts w:eastAsiaTheme="minorEastAsia" w:cstheme="minorBidi"/>
          <w:noProof/>
        </w:rPr>
        <w:t>(Harris et al., 2017; Muenchberger et al., 2006; O'Bryan et al., 2014; Raynor et al., 2018; Tsagaris et al., 2026)</w:t>
      </w:r>
      <w:r w:rsidRPr="001B43FA">
        <w:t>. To maintain clarity between supported or sheltered employment models and open</w:t>
      </w:r>
      <w:r w:rsidRPr="001B43FA">
        <w:rPr>
          <w:rFonts w:ascii="Cambria Math" w:hAnsi="Cambria Math" w:cs="Cambria Math"/>
        </w:rPr>
        <w:t>‑</w:t>
      </w:r>
      <w:r w:rsidRPr="001B43FA">
        <w:t>labour</w:t>
      </w:r>
      <w:r w:rsidRPr="001B43FA">
        <w:rPr>
          <w:rFonts w:ascii="Cambria Math" w:hAnsi="Cambria Math" w:cs="Cambria Math"/>
        </w:rPr>
        <w:t>‑</w:t>
      </w:r>
      <w:r w:rsidRPr="001B43FA">
        <w:t xml:space="preserve">market employer engagement, providers play an important role in identifying and explicitly marking material that falls outside the mainstream scope. </w:t>
      </w:r>
      <w:r>
        <w:t>Providers should a</w:t>
      </w:r>
      <w:r w:rsidRPr="001B43FA">
        <w:t xml:space="preserve">void transferring practices from sheltered employment environments into open employment without assessing </w:t>
      </w:r>
      <w:r>
        <w:t xml:space="preserve">their </w:t>
      </w:r>
      <w:r w:rsidRPr="001B43FA">
        <w:t>relevance</w:t>
      </w:r>
      <w:r>
        <w:t xml:space="preserve"> (AERO criteria can be used)</w:t>
      </w:r>
      <w:r w:rsidRPr="001B43FA">
        <w:t xml:space="preserve">. </w:t>
      </w:r>
    </w:p>
    <w:p w14:paraId="78C6ABCD" w14:textId="4714C807" w:rsidR="00EA6594" w:rsidRPr="00726D9F" w:rsidRDefault="00EA6594" w:rsidP="009F3CE2"/>
    <w:p w14:paraId="2656B68D" w14:textId="77777777" w:rsidR="00EA6594" w:rsidRDefault="00EA6594" w:rsidP="009F3CE2">
      <w:pPr>
        <w:rPr>
          <w:rFonts w:asciiTheme="majorHAnsi" w:eastAsiaTheme="majorEastAsia" w:hAnsiTheme="majorHAnsi" w:cstheme="majorBidi"/>
          <w:color w:val="65328F" w:themeColor="accent1"/>
          <w:sz w:val="40"/>
          <w:szCs w:val="32"/>
        </w:rPr>
      </w:pPr>
      <w:bookmarkStart w:id="51" w:name="_Toc223984052"/>
      <w:r>
        <w:br w:type="page"/>
      </w:r>
    </w:p>
    <w:p w14:paraId="4C525A43" w14:textId="61D7003B" w:rsidR="00EA6594" w:rsidRPr="00726D9F" w:rsidRDefault="00EA6594" w:rsidP="00B74ABA">
      <w:pPr>
        <w:pStyle w:val="Heading1"/>
      </w:pPr>
      <w:bookmarkStart w:id="52" w:name="_Toc226902121"/>
      <w:bookmarkStart w:id="53" w:name="_Toc232075439"/>
      <w:r w:rsidRPr="00726D9F">
        <w:lastRenderedPageBreak/>
        <w:t>Themes</w:t>
      </w:r>
      <w:r>
        <w:t xml:space="preserve"> from the evidence synthesis</w:t>
      </w:r>
      <w:bookmarkEnd w:id="51"/>
      <w:bookmarkEnd w:id="52"/>
      <w:bookmarkEnd w:id="53"/>
    </w:p>
    <w:p w14:paraId="2A3A7EC3" w14:textId="5EB750E6" w:rsidR="00EA6594" w:rsidRPr="00B74ABA" w:rsidRDefault="00EA6594" w:rsidP="00B74ABA">
      <w:pPr>
        <w:rPr>
          <w:rFonts w:cs="Arial"/>
        </w:rPr>
      </w:pPr>
      <w:r w:rsidRPr="00691294">
        <w:rPr>
          <w:b/>
          <w:bCs/>
        </w:rPr>
        <w:t>Five key themes</w:t>
      </w:r>
      <w:r w:rsidRPr="00726D9F">
        <w:t xml:space="preserve"> were identified</w:t>
      </w:r>
      <w:r>
        <w:t>.</w:t>
      </w:r>
    </w:p>
    <w:p w14:paraId="68EA37FF" w14:textId="6436ED4D" w:rsidR="00EA6594" w:rsidRDefault="00EA6594" w:rsidP="00B74ABA">
      <w:pPr>
        <w:pStyle w:val="Heading2"/>
      </w:pPr>
      <w:bookmarkStart w:id="54" w:name="_Toc223984053"/>
      <w:bookmarkStart w:id="55" w:name="_Toc226902122"/>
      <w:bookmarkStart w:id="56" w:name="_Toc232075440"/>
      <w:r w:rsidRPr="00B74ABA">
        <w:t>Theme</w:t>
      </w:r>
      <w:r w:rsidRPr="00726D9F">
        <w:t xml:space="preserve"> 1: Relational brokerage and employer capability-building</w:t>
      </w:r>
      <w:bookmarkEnd w:id="54"/>
      <w:bookmarkEnd w:id="55"/>
      <w:bookmarkEnd w:id="56"/>
    </w:p>
    <w:p w14:paraId="05F8DB67" w14:textId="25C80754" w:rsidR="00EA6594" w:rsidRDefault="00EA6594" w:rsidP="00DB1CB4">
      <w:r w:rsidRPr="665C1DFA">
        <w:t>Employer engagement is frequently described as a two-way process</w:t>
      </w:r>
      <w:r w:rsidR="00446E60">
        <w:t xml:space="preserve"> </w:t>
      </w:r>
      <w:r w:rsidR="00A576FD">
        <w:rPr>
          <w:noProof/>
        </w:rPr>
        <w:t>(Borghouts &amp; Freese, 2023; Bosman et al., 2025; Ingold &amp; McGurk, 2023; Van Berkel, 2021)</w:t>
      </w:r>
      <w:r w:rsidRPr="665C1DFA">
        <w:t xml:space="preserve">. Employment service providers and practitioners act as </w:t>
      </w:r>
      <w:r w:rsidRPr="04BC6899">
        <w:t xml:space="preserve">relational </w:t>
      </w:r>
      <w:r w:rsidRPr="665C1DFA">
        <w:t>brokers between employers and candidates, helping both sides understand expectations</w:t>
      </w:r>
      <w:r w:rsidRPr="04BC6899">
        <w:t xml:space="preserve">, </w:t>
      </w:r>
      <w:r w:rsidRPr="665C1DFA">
        <w:t>requirements</w:t>
      </w:r>
      <w:r w:rsidRPr="04BC6899">
        <w:t>, and potential adjustments</w:t>
      </w:r>
      <w:r w:rsidR="008877DF">
        <w:t xml:space="preserve"> </w:t>
      </w:r>
      <w:r w:rsidR="00A576FD">
        <w:rPr>
          <w:noProof/>
        </w:rPr>
        <w:t>(Dall et al., 2023; Ingold, 2018; Khodakarami et al., 2025; Murphy et al., 2024)</w:t>
      </w:r>
      <w:r w:rsidRPr="04BC6899">
        <w:t>.</w:t>
      </w:r>
      <w:r w:rsidRPr="665C1DFA">
        <w:t xml:space="preserve"> In many cases, </w:t>
      </w:r>
      <w:r w:rsidRPr="04BC6899">
        <w:t xml:space="preserve">having </w:t>
      </w:r>
      <w:r w:rsidRPr="665C1DFA">
        <w:t xml:space="preserve">a dedicated employer account manager or </w:t>
      </w:r>
      <w:r w:rsidRPr="04BC6899">
        <w:t xml:space="preserve">a </w:t>
      </w:r>
      <w:r w:rsidRPr="665C1DFA">
        <w:t xml:space="preserve">single point of contact for employers is important in </w:t>
      </w:r>
      <w:r w:rsidRPr="00DB1CB4">
        <w:t>maintaining relationship</w:t>
      </w:r>
      <w:r w:rsidRPr="665C1DFA">
        <w:t xml:space="preserve"> continuity and to support ongoing collaboration</w:t>
      </w:r>
      <w:r w:rsidR="008D7E46">
        <w:t xml:space="preserve"> </w:t>
      </w:r>
      <w:r w:rsidR="00A576FD">
        <w:rPr>
          <w:noProof/>
        </w:rPr>
        <w:t>(European Commission, 2018; Haines et al., 2018; Murphy et al., 2024)</w:t>
      </w:r>
      <w:r w:rsidRPr="665C1DFA">
        <w:t>.</w:t>
      </w:r>
    </w:p>
    <w:p w14:paraId="254812EE" w14:textId="610776A0" w:rsidR="00EA6594" w:rsidRPr="000952E8" w:rsidRDefault="00EA6594" w:rsidP="009F3CE2">
      <w:pPr>
        <w:rPr>
          <w:color w:val="000000"/>
        </w:rPr>
      </w:pPr>
      <w:r w:rsidRPr="665C1DFA">
        <w:t>Employer engagement is primarily carried out through building and maintaining ongoing relationships with employers through employer-facing work. It also involves capability transfer</w:t>
      </w:r>
      <w:r w:rsidR="0055193B">
        <w:t xml:space="preserve"> – </w:t>
      </w:r>
      <w:r w:rsidRPr="665C1DFA">
        <w:t>i.e. helping employers build the knowledge and confidence they need to hire and support people with disability</w:t>
      </w:r>
      <w:r w:rsidR="00C9347F">
        <w:t xml:space="preserve"> </w:t>
      </w:r>
      <w:r w:rsidR="00A576FD">
        <w:rPr>
          <w:noProof/>
        </w:rPr>
        <w:t>(Bezyak et al., 2025; Reardon et al., 2025; Tamburo et al., 2019)</w:t>
      </w:r>
      <w:r w:rsidRPr="665C1DFA">
        <w:t xml:space="preserve">. </w:t>
      </w:r>
      <w:r w:rsidRPr="04BC6899">
        <w:t>This is not a one-off exchange but a continuous process of relationship-building, advice, and support.</w:t>
      </w:r>
    </w:p>
    <w:p w14:paraId="590B0801" w14:textId="47D68353" w:rsidR="00EA6594" w:rsidRPr="000952E8" w:rsidRDefault="00EA6594" w:rsidP="009F3CE2">
      <w:pPr>
        <w:rPr>
          <w:color w:val="000000"/>
        </w:rPr>
      </w:pPr>
      <w:r w:rsidRPr="665C1DFA">
        <w:t>For providers, a key part of this work involves providing tailored advice about recruitment, workplace practices, and available supports. It also means translating information</w:t>
      </w:r>
      <w:r>
        <w:t xml:space="preserve"> about programs and disabilities</w:t>
      </w:r>
      <w:r w:rsidRPr="665C1DFA">
        <w:t xml:space="preserve"> into practical business language so that </w:t>
      </w:r>
      <w:r>
        <w:t xml:space="preserve">organisations </w:t>
      </w:r>
      <w:r w:rsidRPr="665C1DFA">
        <w:t xml:space="preserve">can </w:t>
      </w:r>
      <w:r>
        <w:t>understand</w:t>
      </w:r>
      <w:r w:rsidRPr="665C1DFA">
        <w:t xml:space="preserve"> </w:t>
      </w:r>
      <w:r>
        <w:t xml:space="preserve">how </w:t>
      </w:r>
      <w:r w:rsidRPr="665C1DFA">
        <w:t>inclusive hiring aligns with their workforce needs and organisational strategies and priorities</w:t>
      </w:r>
      <w:r w:rsidR="004D1261">
        <w:t xml:space="preserve"> </w:t>
      </w:r>
      <w:r w:rsidR="00A576FD">
        <w:rPr>
          <w:noProof/>
        </w:rPr>
        <w:t>(Borghouts &amp; Freese, 2023; Van Berkel, 2021)</w:t>
      </w:r>
      <w:r w:rsidRPr="665C1DFA">
        <w:t>.</w:t>
      </w:r>
    </w:p>
    <w:p w14:paraId="603729AE" w14:textId="6FF351B6" w:rsidR="00CA5E69" w:rsidRDefault="00EA6594" w:rsidP="009F3CE2">
      <w:r w:rsidRPr="4E252CB5">
        <w:t>To support capability development, providers can offer tools, resources, and guidance to help employers to develop inclusive practices. This may include toolkits, practical guidance, and informal learning opportunities that build employer confidence over time.</w:t>
      </w:r>
      <w:r w:rsidR="00CA5E69">
        <w:br w:type="page"/>
      </w:r>
    </w:p>
    <w:p w14:paraId="6492ACB9" w14:textId="77777777" w:rsidR="00EA6594" w:rsidRDefault="00EA6594" w:rsidP="009F3CE2"/>
    <w:tbl>
      <w:tblPr>
        <w:tblStyle w:val="CIETable"/>
        <w:tblW w:w="0" w:type="auto"/>
        <w:tblLook w:val="04A0" w:firstRow="1" w:lastRow="0" w:firstColumn="1" w:lastColumn="0" w:noHBand="0" w:noVBand="1"/>
      </w:tblPr>
      <w:tblGrid>
        <w:gridCol w:w="9628"/>
      </w:tblGrid>
      <w:tr w:rsidR="00C704F0" w14:paraId="2BB80CD6" w14:textId="77777777" w:rsidTr="00C704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4F37ABB" w14:textId="0B2DAF41" w:rsidR="00C704F0" w:rsidRPr="004E6916" w:rsidRDefault="00C704F0" w:rsidP="00C704F0">
            <w:pPr>
              <w:pStyle w:val="TableHeading"/>
            </w:pPr>
            <w:r w:rsidRPr="00C704F0">
              <w:t>What providers can do:</w:t>
            </w:r>
          </w:p>
        </w:tc>
      </w:tr>
      <w:tr w:rsidR="00A90002" w14:paraId="3C485D2F" w14:textId="77777777" w:rsidTr="00C704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664249C" w14:textId="4B6EAB12" w:rsidR="00A90002" w:rsidRPr="00CA5E69" w:rsidRDefault="00A90002" w:rsidP="00096E89">
            <w:pPr>
              <w:pStyle w:val="TableText"/>
            </w:pPr>
            <w:r w:rsidRPr="00CA5E69">
              <w:t xml:space="preserve">Build structured, long-term employer relationships by: </w:t>
            </w:r>
          </w:p>
          <w:p w14:paraId="4ADD1DA8" w14:textId="44ABF761" w:rsidR="00A90002" w:rsidRPr="005B1DE5" w:rsidRDefault="00A90002" w:rsidP="005B1DE5">
            <w:pPr>
              <w:pStyle w:val="TableBullet"/>
            </w:pPr>
            <w:r w:rsidRPr="005B1DE5">
              <w:t>Having one consistent person manage the relationship – someone the employer knows and trusts.</w:t>
            </w:r>
          </w:p>
          <w:p w14:paraId="1FC79D96" w14:textId="54618150" w:rsidR="00A90002" w:rsidRPr="005B1DE5" w:rsidRDefault="00A90002" w:rsidP="005B1DE5">
            <w:pPr>
              <w:pStyle w:val="TableBullet"/>
            </w:pPr>
            <w:r w:rsidRPr="005B1DE5">
              <w:t>Keeping in regular contact in a low-key way, so the relationship stays warm without feeling like a burden.</w:t>
            </w:r>
          </w:p>
          <w:p w14:paraId="47F53804" w14:textId="1C781DAC" w:rsidR="00A90002" w:rsidRPr="00CA5E69" w:rsidRDefault="00A90002" w:rsidP="00A90002">
            <w:r w:rsidRPr="00CA5E69">
              <w:t xml:space="preserve">Act as the go-between and tailor your support to what each employer needs by: </w:t>
            </w:r>
          </w:p>
          <w:p w14:paraId="2572D7F5" w14:textId="5B68CB8D" w:rsidR="00A90002" w:rsidRPr="005B1DE5" w:rsidRDefault="00A90002" w:rsidP="005B1DE5">
            <w:pPr>
              <w:pStyle w:val="TableBullet"/>
            </w:pPr>
            <w:r w:rsidRPr="005B1DE5">
              <w:t>Setting up early conversations between employers and jobseekers so everyone knows what to expect.</w:t>
            </w:r>
          </w:p>
          <w:p w14:paraId="41D39810" w14:textId="5A31626E" w:rsidR="00A90002" w:rsidRPr="005B1DE5" w:rsidRDefault="00A90002" w:rsidP="005B1DE5">
            <w:pPr>
              <w:pStyle w:val="TableBullet"/>
            </w:pPr>
            <w:r w:rsidRPr="005B1DE5">
              <w:t>Translating what disability means in practice into plain business language – and making sure both sides are prepared for any adjustments that might be needed.</w:t>
            </w:r>
          </w:p>
          <w:p w14:paraId="6D7D7148" w14:textId="7BB2B031" w:rsidR="00A90002" w:rsidRPr="00CA5E69" w:rsidRDefault="00A90002" w:rsidP="00A90002">
            <w:r w:rsidRPr="00CA5E69">
              <w:t xml:space="preserve">Help employers grow their confidence and knowledge through: </w:t>
            </w:r>
          </w:p>
          <w:p w14:paraId="006FBE56" w14:textId="52415A29" w:rsidR="00A90002" w:rsidRPr="005B1DE5" w:rsidRDefault="00A90002" w:rsidP="005B1DE5">
            <w:pPr>
              <w:pStyle w:val="TableBullet"/>
            </w:pPr>
            <w:r w:rsidRPr="005B1DE5">
              <w:t>Coaching, informal learning, and honest conversations that build their ability to support someone well.</w:t>
            </w:r>
          </w:p>
          <w:p w14:paraId="49938B00" w14:textId="59E5A15D" w:rsidR="00A90002" w:rsidRPr="005B1DE5" w:rsidRDefault="00A90002" w:rsidP="005B1DE5">
            <w:pPr>
              <w:pStyle w:val="TableBullet"/>
            </w:pPr>
            <w:r w:rsidRPr="005B1DE5">
              <w:t>Sharing simple, practical guides and real examples that make inclusive hiring feel achievable and part of a business-as-usual approach.</w:t>
            </w:r>
          </w:p>
        </w:tc>
      </w:tr>
    </w:tbl>
    <w:p w14:paraId="59F5B515" w14:textId="1588C382" w:rsidR="00C9347F" w:rsidRDefault="007D22A8" w:rsidP="007D22A8">
      <w:pPr>
        <w:pStyle w:val="Heading3"/>
      </w:pPr>
      <w:bookmarkStart w:id="57" w:name="_Toc232075441"/>
      <w:r>
        <w:t>Scenar</w:t>
      </w:r>
      <w:r w:rsidR="006F419C">
        <w:t>io</w:t>
      </w:r>
      <w:bookmarkEnd w:id="57"/>
    </w:p>
    <w:p w14:paraId="0E354FBA" w14:textId="6214FB33" w:rsidR="00EA6594" w:rsidRDefault="00EA6594" w:rsidP="005B1DE5">
      <w:pPr>
        <w:pStyle w:val="ListBullet"/>
        <w:numPr>
          <w:ilvl w:val="0"/>
          <w:numId w:val="0"/>
        </w:numPr>
      </w:pPr>
      <w:r w:rsidRPr="665C1DFA">
        <w:t xml:space="preserve">The following scenario was developed using the thematic analysis </w:t>
      </w:r>
      <w:r>
        <w:t>for</w:t>
      </w:r>
      <w:r w:rsidRPr="665C1DFA">
        <w:t xml:space="preserve"> Theme 1. </w:t>
      </w:r>
    </w:p>
    <w:p w14:paraId="75013564" w14:textId="548AC103" w:rsidR="00BA0E7C" w:rsidRDefault="00025A53" w:rsidP="00025A53">
      <w:pPr>
        <w:pStyle w:val="Scenario"/>
      </w:pPr>
      <w:r w:rsidRPr="00025A53">
        <w:t>When a mid</w:t>
      </w:r>
      <w:r w:rsidRPr="00025A53">
        <w:rPr>
          <w:rFonts w:ascii="Cambria Math" w:hAnsi="Cambria Math" w:cs="Cambria Math"/>
        </w:rPr>
        <w:t>‑</w:t>
      </w:r>
      <w:r w:rsidRPr="00025A53">
        <w:t>sized events company, Horizon Events, expressed interest in hiring people with disability, their employer account manager from a local employment service provider began by building a relationship first, rather than immediately discussing vacancies. Early conversations focused on understanding Horizon’s culture, upcoming workforce needs, and the parts of recruitment that felt unclear or overwhelming.</w:t>
      </w:r>
    </w:p>
    <w:p w14:paraId="0CBB0873" w14:textId="4F25544C" w:rsidR="00025A53" w:rsidRDefault="00025A53" w:rsidP="00025A53">
      <w:pPr>
        <w:pStyle w:val="Scenario"/>
      </w:pPr>
      <w:r>
        <w:t>To support this learning, the company’s hiring team joined regular coaching calls through an inclusion-focused lab. These calls soon became “safe, non</w:t>
      </w:r>
      <w:r w:rsidR="008C555F">
        <w:t>-</w:t>
      </w:r>
      <w:r>
        <w:t>judgmental spaces to reflect and grow,” helping supervisors to troubleshoot challenges as they arose and easing the pressure they felt to “get it right” on their own. The coaches also shared practical tools and examples that embeds inclusive conversations and showed Horizon that progress didn’t require perfection – just openness and consistency.</w:t>
      </w:r>
    </w:p>
    <w:p w14:paraId="7E3FD59A" w14:textId="3C98C8FE" w:rsidR="00025A53" w:rsidRDefault="00025A53" w:rsidP="00025A53">
      <w:pPr>
        <w:pStyle w:val="Scenario"/>
      </w:pPr>
      <w:r>
        <w:t xml:space="preserve">As the relationship deepened, the employment service provider helped Horizon to move beyond short-term vacancy filling. Together, they mapped the company’s seasonal staffing </w:t>
      </w:r>
      <w:r>
        <w:lastRenderedPageBreak/>
        <w:t>cycles and identified opportunities to reshape processes. This led to joint recruitment planning, a streamlined group interview process, and a clearer forecast for upcoming roles – hallmarks of “true partnerships where we work together to adjust recruitment processes and remove complexity for both employers and clients.”</w:t>
      </w:r>
    </w:p>
    <w:p w14:paraId="71F26D21" w14:textId="11BFFFAA" w:rsidR="00025A53" w:rsidRDefault="00025A53" w:rsidP="00025A53">
      <w:pPr>
        <w:pStyle w:val="Scenario"/>
      </w:pPr>
      <w:r>
        <w:t>Over several months, Horizon’s confidence grew. The provider account manager acted as a steady broker between the company and jobseekers, translating disability-related information into practical business language. With each interaction – a new toolkit, a quick check-in call, a shared reflection on what worked. Through this approach, Horizon built their inclusive hiring capability.</w:t>
      </w:r>
    </w:p>
    <w:p w14:paraId="7C517250" w14:textId="1211C611" w:rsidR="00025A53" w:rsidRDefault="00025A53" w:rsidP="00025A53">
      <w:pPr>
        <w:pStyle w:val="Scenario"/>
      </w:pPr>
      <w:r>
        <w:t>By the time they launched their new recruitment round, what began as cautious interest had evolved into an ongoing collaborative partnership: a workplace genuinely ready to welcome and support people with disability.</w:t>
      </w:r>
    </w:p>
    <w:p w14:paraId="7C786A2A" w14:textId="7DBCF35C" w:rsidR="00EA6594" w:rsidRDefault="00025A53" w:rsidP="009F3CE2">
      <w:r>
        <w:t xml:space="preserve">(This scenario combines provider evidence submitted to the review team and Sparking Opportunities: Building Inclusive Work Pathways in Events </w:t>
      </w:r>
      <w:r w:rsidR="00A576FD">
        <w:rPr>
          <w:noProof/>
        </w:rPr>
        <w:t>(Social Ventures Australia, 2024a)</w:t>
      </w:r>
      <w:r>
        <w:t>)</w:t>
      </w:r>
    </w:p>
    <w:p w14:paraId="38F526BD" w14:textId="5D32962F" w:rsidR="00EA6594" w:rsidRPr="002E7E72" w:rsidRDefault="00EA6594" w:rsidP="00D15929">
      <w:pPr>
        <w:pStyle w:val="Heading2"/>
      </w:pPr>
      <w:bookmarkStart w:id="58" w:name="_Toc226902123"/>
      <w:bookmarkStart w:id="59" w:name="_Toc232075442"/>
      <w:bookmarkStart w:id="60" w:name="_Toc223984054"/>
      <w:r w:rsidRPr="00D15929">
        <w:t>Theme</w:t>
      </w:r>
      <w:r w:rsidRPr="00726D9F">
        <w:t xml:space="preserve"> 2: </w:t>
      </w:r>
      <w:r>
        <w:t>Inclusion across the whole employment journey: the importance of f</w:t>
      </w:r>
      <w:r w:rsidRPr="00726D9F">
        <w:t>lexibility and adjustments</w:t>
      </w:r>
      <w:bookmarkEnd w:id="58"/>
      <w:bookmarkEnd w:id="59"/>
      <w:r w:rsidRPr="00726D9F">
        <w:t xml:space="preserve"> </w:t>
      </w:r>
      <w:bookmarkEnd w:id="60"/>
      <w:r>
        <w:t xml:space="preserve"> </w:t>
      </w:r>
    </w:p>
    <w:p w14:paraId="0CEA489A" w14:textId="7ABE2934" w:rsidR="00EA6594" w:rsidRDefault="00EA6594" w:rsidP="009F3CE2">
      <w:r w:rsidRPr="665C1DFA">
        <w:t>Effective employer engagement extends beyond recruitment and hiring and includes practices across the entire employment cycle – this includes effectively onboarding new employees, providing workplace a</w:t>
      </w:r>
      <w:r>
        <w:t>djustments</w:t>
      </w:r>
      <w:r w:rsidRPr="665C1DFA">
        <w:t>, and designing jobs that match people’s skills and capabilities</w:t>
      </w:r>
      <w:r w:rsidR="002B2672">
        <w:t xml:space="preserve"> </w:t>
      </w:r>
      <w:r w:rsidR="00A576FD">
        <w:rPr>
          <w:noProof/>
        </w:rPr>
        <w:t>(JobAccess, 2024; Kersten et al., 2023; Luecking et al., 2006)</w:t>
      </w:r>
      <w:r w:rsidRPr="665C1DFA">
        <w:t>.</w:t>
      </w:r>
    </w:p>
    <w:p w14:paraId="580064E6" w14:textId="278382E8" w:rsidR="00EA6594" w:rsidRDefault="00EA6594" w:rsidP="009F3CE2">
      <w:pPr>
        <w:rPr>
          <w:kern w:val="2"/>
          <w:lang w:eastAsia="en-AU"/>
          <w14:ligatures w14:val="standardContextual"/>
        </w:rPr>
      </w:pPr>
      <w:r>
        <w:t>This does not mean that providers need to become full-service HR consultants. It does mean, however, that employer-facing staff need a working understanding of how organisations operate</w:t>
      </w:r>
      <w:r w:rsidR="0055193B">
        <w:t xml:space="preserve"> – </w:t>
      </w:r>
      <w:r>
        <w:t>how decisions get made, who holds influence, and where the most useful entry points are.</w:t>
      </w:r>
    </w:p>
    <w:p w14:paraId="4D02A827" w14:textId="262FC467" w:rsidR="00EA6594" w:rsidRDefault="00EA6594" w:rsidP="009F3CE2">
      <w:pPr>
        <w:rPr>
          <w:kern w:val="2"/>
          <w:lang w:eastAsia="en-AU"/>
          <w14:ligatures w14:val="standardContextual"/>
        </w:rPr>
      </w:pPr>
      <w:r>
        <w:t>In practice, identifying the right person to engage with inside an organisation is often the critical first step. Depending on the context, this might be a hiring manager, a diversity and inclusion specialist, or a senior leader with the authority to drive change. Equally important is identifying which HR process offers the most natural point of entry</w:t>
      </w:r>
      <w:r w:rsidR="0055193B">
        <w:t xml:space="preserve"> – </w:t>
      </w:r>
      <w:r>
        <w:t>and the evidence suggests that inclusive recruitment is frequently the most effective place to start.</w:t>
      </w:r>
    </w:p>
    <w:p w14:paraId="79B1F989" w14:textId="7D2E8FE6" w:rsidR="00EA6594" w:rsidRDefault="00EA6594" w:rsidP="009F3CE2">
      <w:pPr>
        <w:rPr>
          <w:kern w:val="2"/>
          <w:lang w:eastAsia="en-AU"/>
          <w14:ligatures w14:val="standardContextual"/>
        </w:rPr>
      </w:pPr>
      <w:r>
        <w:t>Accessible job advertisements, adjustments during the selection process</w:t>
      </w:r>
      <w:r w:rsidR="0055193B">
        <w:t xml:space="preserve"> – </w:t>
      </w:r>
      <w:r>
        <w:t>such as providing interview questions in advance</w:t>
      </w:r>
      <w:r w:rsidR="0055193B">
        <w:t xml:space="preserve"> – </w:t>
      </w:r>
      <w:r>
        <w:t xml:space="preserve">and inclusive assessment practices all help to reduce the barriers candidates with disability face before </w:t>
      </w:r>
      <w:r>
        <w:lastRenderedPageBreak/>
        <w:t>they are even offered a role. Once someone is hired, the focus shifts to onboarding and induction: structured, accessible processes that help new employees settle into their role, understand what is expected of them, and build confidence in their new environment from day one</w:t>
      </w:r>
      <w:r w:rsidR="00773A46">
        <w:t xml:space="preserve"> </w:t>
      </w:r>
      <w:r w:rsidR="00A576FD">
        <w:rPr>
          <w:noProof/>
        </w:rPr>
        <w:t xml:space="preserve">(Social Ventures Australia &amp; Children and Young People with Disability, n.d.; </w:t>
      </w:r>
      <w:r w:rsidR="00632E02" w:rsidRPr="00632E02">
        <w:rPr>
          <w:noProof/>
        </w:rPr>
        <w:t>Munsell et al., 2022; Scott et al., 2021; Strauser et al. 2026)</w:t>
      </w:r>
      <w:r>
        <w:t>.</w:t>
      </w:r>
      <w:r>
        <w:rPr>
          <w:rStyle w:val="EndnoteReference"/>
          <w:szCs w:val="20"/>
        </w:rPr>
        <w:t xml:space="preserve"> </w:t>
      </w:r>
    </w:p>
    <w:p w14:paraId="1586A911" w14:textId="564C0547" w:rsidR="00EA6594" w:rsidRPr="008609A1" w:rsidRDefault="00EA6594" w:rsidP="009F3CE2">
      <w:pPr>
        <w:rPr>
          <w:color w:val="000000"/>
        </w:rPr>
      </w:pPr>
      <w:r w:rsidRPr="04BC6899">
        <w:t>Workplace adjustments are a recurring feature of effective practice. These may include changes to the work environment, flexible work arrangements, or modifications to tasks and responsibilities. In some cases, job redesign or job carving is used to align roles more closely with the strengths and capabilities of employees with disability.</w:t>
      </w:r>
    </w:p>
    <w:p w14:paraId="6A10B954" w14:textId="6C38B871" w:rsidR="00EA6594" w:rsidRDefault="00EA6594" w:rsidP="009F3CE2">
      <w:r w:rsidRPr="665C1DFA">
        <w:t>Across these practices, flexibility is consistently identified as a key factor that supports sustained employment.</w:t>
      </w:r>
    </w:p>
    <w:tbl>
      <w:tblPr>
        <w:tblStyle w:val="CIETable"/>
        <w:tblW w:w="0" w:type="auto"/>
        <w:tblLook w:val="04A0" w:firstRow="1" w:lastRow="0" w:firstColumn="1" w:lastColumn="0" w:noHBand="0" w:noVBand="1"/>
      </w:tblPr>
      <w:tblGrid>
        <w:gridCol w:w="9628"/>
      </w:tblGrid>
      <w:tr w:rsidR="00080431" w14:paraId="2E282297" w14:textId="77777777" w:rsidTr="0008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8D71407" w14:textId="32FBB4C8" w:rsidR="00080431" w:rsidRPr="00080431" w:rsidRDefault="00080431" w:rsidP="00080431">
            <w:pPr>
              <w:pStyle w:val="TableHeading"/>
            </w:pPr>
            <w:r w:rsidRPr="00080431">
              <w:t xml:space="preserve">What providers can do: </w:t>
            </w:r>
          </w:p>
        </w:tc>
      </w:tr>
      <w:tr w:rsidR="002B714A" w14:paraId="7D4ECAA5" w14:textId="77777777" w:rsidTr="0008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E53D433" w14:textId="5617BBE8" w:rsidR="002B714A" w:rsidRPr="00080431" w:rsidRDefault="002B714A" w:rsidP="002B714A">
            <w:r w:rsidRPr="00080431">
              <w:t xml:space="preserve">Help employers make recruitment and starting work more accessible by: </w:t>
            </w:r>
          </w:p>
          <w:p w14:paraId="41004F6A" w14:textId="32BE8AB0" w:rsidR="002B714A" w:rsidRPr="005B1DE5" w:rsidRDefault="002B714A" w:rsidP="005B1DE5">
            <w:pPr>
              <w:pStyle w:val="TableBullet"/>
            </w:pPr>
            <w:r w:rsidRPr="005B1DE5">
              <w:t>Advising on job ads that are easy to understand and apply for, adapting how candidates are assessed, and helping design a structured, supportive start for the new employee.</w:t>
            </w:r>
          </w:p>
          <w:p w14:paraId="43F379C3" w14:textId="44A76F9A" w:rsidR="002B714A" w:rsidRPr="00C704F0" w:rsidRDefault="002B714A" w:rsidP="002B714A">
            <w:r w:rsidRPr="00C704F0">
              <w:t xml:space="preserve">Plan adjustments early and keep them working by: </w:t>
            </w:r>
          </w:p>
          <w:p w14:paraId="6E930906" w14:textId="22EEA3C3" w:rsidR="002B714A" w:rsidRPr="005B1DE5" w:rsidRDefault="002B714A" w:rsidP="005B1DE5">
            <w:pPr>
              <w:pStyle w:val="TableBullet"/>
            </w:pPr>
            <w:r w:rsidRPr="005B1DE5">
              <w:t>Having adjustment conversations before the person starts, helping the employer put changes in place, and checking in regularly to make sure they are still working.</w:t>
            </w:r>
          </w:p>
          <w:p w14:paraId="19CE2D8F" w14:textId="6C7ADBCD" w:rsidR="002B714A" w:rsidRPr="00C704F0" w:rsidRDefault="002B714A" w:rsidP="002B714A">
            <w:r w:rsidRPr="00C704F0">
              <w:t xml:space="preserve">Use job carving and role redesign where it makes sense by: </w:t>
            </w:r>
          </w:p>
          <w:p w14:paraId="1E59FD15" w14:textId="3958ADCE" w:rsidR="002B714A" w:rsidRPr="005B1DE5" w:rsidRDefault="002B714A" w:rsidP="005B1DE5">
            <w:pPr>
              <w:pStyle w:val="TableBullet"/>
            </w:pPr>
            <w:r w:rsidRPr="005B1DE5">
              <w:t>Looking at what tasks suit the candidate's strengths, then working with the employer to shape the role in a way that works for both the person and the business.</w:t>
            </w:r>
          </w:p>
        </w:tc>
      </w:tr>
    </w:tbl>
    <w:p w14:paraId="48DE0DD3" w14:textId="3CEF113A" w:rsidR="0015322A" w:rsidRPr="0015322A" w:rsidRDefault="0015322A" w:rsidP="0015322A">
      <w:pPr>
        <w:pStyle w:val="Heading3"/>
      </w:pPr>
      <w:bookmarkStart w:id="61" w:name="_Toc232075443"/>
      <w:r>
        <w:t>Scenario</w:t>
      </w:r>
      <w:bookmarkEnd w:id="61"/>
    </w:p>
    <w:p w14:paraId="1EA2C8A6" w14:textId="54AE96DA" w:rsidR="00EA6594" w:rsidRDefault="00EA6594" w:rsidP="00182B37">
      <w:r w:rsidRPr="665C1DFA">
        <w:t xml:space="preserve">The following scenario was developed using the thematic analysis </w:t>
      </w:r>
      <w:r>
        <w:t>for</w:t>
      </w:r>
      <w:r w:rsidRPr="665C1DFA">
        <w:t xml:space="preserve"> Theme 2.</w:t>
      </w:r>
    </w:p>
    <w:p w14:paraId="22BDC0AF" w14:textId="77777777" w:rsidR="0015322A" w:rsidRDefault="0015322A" w:rsidP="0015322A">
      <w:pPr>
        <w:pStyle w:val="Scenario"/>
      </w:pPr>
      <w:r>
        <w:t>When Elias expressed interest in an administrative support role at a local logistics company, the employment service approached the opportunity as a full employment</w:t>
      </w:r>
      <w:r>
        <w:rPr>
          <w:rFonts w:ascii="Cambria Math" w:hAnsi="Cambria Math" w:cs="Cambria Math"/>
        </w:rPr>
        <w:t>‑</w:t>
      </w:r>
      <w:r>
        <w:t>cycle partnership rather than as a single vacancy task. Firstly, they established the everyday operational needs of the business and the forecast workforce needs.</w:t>
      </w:r>
    </w:p>
    <w:p w14:paraId="60E831AE" w14:textId="338FC78D" w:rsidR="0015322A" w:rsidRDefault="0015322A" w:rsidP="0015322A">
      <w:pPr>
        <w:pStyle w:val="Scenario"/>
      </w:pPr>
      <w:r>
        <w:t xml:space="preserve">At the service provider, the employment advisor (who also acted as Elias’s primary </w:t>
      </w:r>
      <w:r>
        <w:lastRenderedPageBreak/>
        <w:t>employment mentor throughout the placement process) met with Elais to understand Elias’s strengths. Recognising that a traditional interview would create unnecessary communication barriers, the advisor worked with the hiring manager employed by the logistics company at the company to adjust the selection process.</w:t>
      </w:r>
    </w:p>
    <w:p w14:paraId="54C4A963" w14:textId="503CFC2A" w:rsidR="0015322A" w:rsidRDefault="0015322A" w:rsidP="00A2242D">
      <w:pPr>
        <w:pStyle w:val="Scenario"/>
        <w:ind w:left="720"/>
      </w:pPr>
      <w:r>
        <w:t>“Rather than a formal interview, [the] advisor was able to propose a more informal conversation with the company which was adapted to his needs… reducing the number of interview questions and avoiding scenario</w:t>
      </w:r>
      <w:r>
        <w:rPr>
          <w:rFonts w:ascii="Cambria Math" w:hAnsi="Cambria Math" w:cs="Cambria Math"/>
        </w:rPr>
        <w:t>‑</w:t>
      </w:r>
      <w:r>
        <w:t xml:space="preserve">based questions as [his] key challenges were around communication.” </w:t>
      </w:r>
      <w:r w:rsidR="00A576FD">
        <w:rPr>
          <w:noProof/>
        </w:rPr>
        <w:t>(Hackney Council, n.d.)</w:t>
      </w:r>
    </w:p>
    <w:p w14:paraId="17A32C09" w14:textId="77777777" w:rsidR="0015322A" w:rsidRDefault="0015322A" w:rsidP="0015322A">
      <w:pPr>
        <w:pStyle w:val="Scenario"/>
      </w:pPr>
      <w:r>
        <w:t>This adjustment allowed Elias to demonstrate his capabilities in a format that felt fair, accessible and comfortable.</w:t>
      </w:r>
    </w:p>
    <w:p w14:paraId="603232B8" w14:textId="285DAEC4" w:rsidR="0015322A" w:rsidRDefault="0015322A" w:rsidP="0015322A">
      <w:pPr>
        <w:pStyle w:val="Scenario"/>
      </w:pPr>
      <w:r>
        <w:t xml:space="preserve">Once the employer saw Elias’s potential, the advisor began </w:t>
      </w:r>
      <w:proofErr w:type="gramStart"/>
      <w:r>
        <w:t>working  the</w:t>
      </w:r>
      <w:proofErr w:type="gramEnd"/>
      <w:r>
        <w:t xml:space="preserve"> logistics company’s hiring manager to reshape the role to support long-term success. The employment advisor and hiring manager identified core tasks that aligned with Elias’s strengths and contributed genuine value to the business.</w:t>
      </w:r>
    </w:p>
    <w:p w14:paraId="615BF944" w14:textId="469A6A95" w:rsidR="0015322A" w:rsidRDefault="0015322A" w:rsidP="00A2242D">
      <w:pPr>
        <w:pStyle w:val="Scenario"/>
        <w:ind w:left="720"/>
      </w:pPr>
      <w:r>
        <w:t>“One of the key ingredients to [his] success… was that his Employment Advisor met with his prospective Manager, job carving a role that was well suited to [his] strengths… his role was tailored to tasks that highlighted his strengths such as filing, photocopying and data entry.”</w:t>
      </w:r>
      <w:r w:rsidR="00B14DA7">
        <w:t xml:space="preserve"> </w:t>
      </w:r>
      <w:r w:rsidR="00A576FD">
        <w:rPr>
          <w:noProof/>
        </w:rPr>
        <w:t>(Hackney Council, n.d.)</w:t>
      </w:r>
    </w:p>
    <w:p w14:paraId="4CBBC7C0" w14:textId="77777777" w:rsidR="0015322A" w:rsidRDefault="0015322A" w:rsidP="0015322A">
      <w:pPr>
        <w:pStyle w:val="Scenario"/>
      </w:pPr>
      <w:r>
        <w:t xml:space="preserve">Job carving ensured that the role was meaningful, productive, and sustainably matched to Elias’s skillset. Throughout this process, the advisor grounded all discussions in the principles of the social model of disability. The employer began to reflect not on what Elias needed to “fix,” but on how the organisation could remove barriers. </w:t>
      </w:r>
    </w:p>
    <w:p w14:paraId="696FA6AD" w14:textId="4782E9D2" w:rsidR="0015322A" w:rsidRDefault="0015322A" w:rsidP="00A2242D">
      <w:pPr>
        <w:pStyle w:val="Scenario"/>
        <w:ind w:left="720"/>
      </w:pPr>
      <w:r>
        <w:t>“The social model shifts the focus from what is ‘wrong’ with a person to what environments, systems, and attitudes in society create obstacles for full participation… Rather than asking, ‘How can we fix this person to fit in?’ we ask, ‘How can we change our processes, systems, or environment so everyone can participate fully?’”</w:t>
      </w:r>
      <w:r w:rsidR="004667AE">
        <w:t xml:space="preserve"> </w:t>
      </w:r>
      <w:r w:rsidR="00A576FD">
        <w:rPr>
          <w:noProof/>
        </w:rPr>
        <w:t>(See 'Everyone Wins a Balloon' Playbook 2025)</w:t>
      </w:r>
    </w:p>
    <w:p w14:paraId="7B5A38A6" w14:textId="13710B43" w:rsidR="0015322A" w:rsidRDefault="0015322A" w:rsidP="0015322A">
      <w:pPr>
        <w:pStyle w:val="Scenario"/>
      </w:pPr>
      <w:r>
        <w:t>This mindset shaped the entire employment cycle. The company developed a tailored onboarding plan, created structured task lists, and scheduled regular check</w:t>
      </w:r>
      <w:r w:rsidR="001651B3">
        <w:t>-</w:t>
      </w:r>
      <w:r>
        <w:t>ins to support Elias as he settled in. Flexibility – in the interview, the job design, and the ongoing adjustments – ensured the role was a good match and sustainable.</w:t>
      </w:r>
    </w:p>
    <w:p w14:paraId="4F3C3788" w14:textId="77777777" w:rsidR="0015322A" w:rsidRDefault="0015322A" w:rsidP="0015322A">
      <w:pPr>
        <w:pStyle w:val="Scenario"/>
      </w:pPr>
      <w:r>
        <w:t>The outcome demonstrated how effective employer engagement spans every stage of employment: inclusive attraction and recruitment; accessible selection processes; tailored onboarding; workplace adjustments; job design that amplifies strengths; and sustained, flexible support.</w:t>
      </w:r>
    </w:p>
    <w:p w14:paraId="289E0FE4" w14:textId="542B4694" w:rsidR="0015322A" w:rsidRPr="0015322A" w:rsidRDefault="0015322A" w:rsidP="0015322A">
      <w:pPr>
        <w:pStyle w:val="Scenario"/>
      </w:pPr>
      <w:r>
        <w:t>For both Elias and the employer, this collaborative, adaptive approach created a workplace where participation was possible – and success was shared.</w:t>
      </w:r>
    </w:p>
    <w:p w14:paraId="4E5CA5C2" w14:textId="0D80758E" w:rsidR="00EA6594" w:rsidRDefault="00EA6594" w:rsidP="005B1DE5">
      <w:pPr>
        <w:pStyle w:val="ListBullet"/>
        <w:numPr>
          <w:ilvl w:val="0"/>
          <w:numId w:val="0"/>
        </w:numPr>
      </w:pPr>
    </w:p>
    <w:p w14:paraId="7DA0D8B8" w14:textId="77777777" w:rsidR="002B714A" w:rsidRDefault="002B714A" w:rsidP="005964D6">
      <w:pPr>
        <w:pStyle w:val="Heading2"/>
      </w:pPr>
      <w:bookmarkStart w:id="62" w:name="_Toc223984055"/>
      <w:bookmarkStart w:id="63" w:name="_Toc226902124"/>
      <w:r>
        <w:br w:type="page"/>
      </w:r>
    </w:p>
    <w:p w14:paraId="1F4BA40B" w14:textId="3593AEAC" w:rsidR="00EA6594" w:rsidRDefault="00EA6594" w:rsidP="005964D6">
      <w:pPr>
        <w:pStyle w:val="Heading2"/>
      </w:pPr>
      <w:bookmarkStart w:id="64" w:name="_Toc232075444"/>
      <w:r w:rsidRPr="00122233">
        <w:lastRenderedPageBreak/>
        <w:t>Theme</w:t>
      </w:r>
      <w:r w:rsidRPr="295177E6">
        <w:t xml:space="preserve"> 3: Retention as a foundation for career progression</w:t>
      </w:r>
      <w:bookmarkEnd w:id="62"/>
      <w:bookmarkEnd w:id="63"/>
      <w:bookmarkEnd w:id="64"/>
      <w:r w:rsidRPr="295177E6">
        <w:t xml:space="preserve"> </w:t>
      </w:r>
    </w:p>
    <w:p w14:paraId="7C671460" w14:textId="684B9C16" w:rsidR="00EA6594" w:rsidRPr="007969E6" w:rsidRDefault="00EA6594" w:rsidP="009F3CE2">
      <w:r w:rsidRPr="04BC6899">
        <w:t xml:space="preserve">Retention should be understood not as simple job tenure but as part of a longer-term pathway that supports ongoing employment and career growth for </w:t>
      </w:r>
      <w:r>
        <w:t xml:space="preserve">the individual person with </w:t>
      </w:r>
      <w:r w:rsidRPr="04BC6899">
        <w:t>disability</w:t>
      </w:r>
      <w:r w:rsidR="006E46C1">
        <w:t xml:space="preserve"> </w:t>
      </w:r>
      <w:r w:rsidR="00A576FD">
        <w:rPr>
          <w:noProof/>
        </w:rPr>
        <w:t>(Social Ventures Australia &amp; Children and Young People with Disability, n.d.; Ulstein, 2025)</w:t>
      </w:r>
      <w:r w:rsidRPr="04BC6899">
        <w:t>. The evidence indicates that sustained employment is closely linked to structured development opportunities</w:t>
      </w:r>
      <w:r w:rsidRPr="33CB5150">
        <w:t xml:space="preserve"> </w:t>
      </w:r>
      <w:r w:rsidRPr="04BC6899">
        <w:t xml:space="preserve">(e.g., </w:t>
      </w:r>
      <w:r w:rsidRPr="665C1DFA">
        <w:t>mentoring, job shadowing, and structured learning opportunities</w:t>
      </w:r>
      <w:r w:rsidRPr="04BC6899">
        <w:t>), as well as</w:t>
      </w:r>
      <w:r w:rsidRPr="665C1DFA">
        <w:t xml:space="preserve"> </w:t>
      </w:r>
      <w:r w:rsidRPr="04BC6899">
        <w:t>internal</w:t>
      </w:r>
      <w:r w:rsidRPr="665C1DFA">
        <w:t xml:space="preserve"> mobility</w:t>
      </w:r>
      <w:r w:rsidRPr="04BC6899">
        <w:t xml:space="preserve"> through</w:t>
      </w:r>
      <w:r w:rsidRPr="665C1DFA">
        <w:t xml:space="preserve"> secondments or opportunities to move into new roles</w:t>
      </w:r>
      <w:r w:rsidR="006D46F5">
        <w:t xml:space="preserve"> </w:t>
      </w:r>
      <w:r w:rsidR="00A576FD">
        <w:rPr>
          <w:noProof/>
        </w:rPr>
        <w:t>(Munsell et al., 2024; Patel, 2026)</w:t>
      </w:r>
      <w:r w:rsidRPr="665C1DFA">
        <w:t>.</w:t>
      </w:r>
    </w:p>
    <w:p w14:paraId="3ED5BB81" w14:textId="266C5384" w:rsidR="00EA6594" w:rsidRDefault="00EA6594" w:rsidP="009F3CE2">
      <w:r w:rsidRPr="3EFB1E93">
        <w:t>Regular performance feedback and career development conversations are another important element that helps employees with disability understand expectations, identify development opportunities, and plan their next career steps</w:t>
      </w:r>
      <w:r w:rsidR="00FF4294">
        <w:t xml:space="preserve"> </w:t>
      </w:r>
      <w:r w:rsidR="00A576FD">
        <w:rPr>
          <w:noProof/>
        </w:rPr>
        <w:t>(Reardon et al., 2025)</w:t>
      </w:r>
      <w:r w:rsidRPr="3EFB1E93">
        <w:t>. Some organisations also set targets or tracked metrics related to progression and development of employees with disability, strengthening accountability and visibility</w:t>
      </w:r>
      <w:r w:rsidR="00C34D04">
        <w:t xml:space="preserve"> </w:t>
      </w:r>
      <w:r w:rsidR="00A576FD">
        <w:rPr>
          <w:noProof/>
        </w:rPr>
        <w:t>(Australian Disability Network, 2024; Te Uru Tāngata, 2021)</w:t>
      </w:r>
      <w:r w:rsidRPr="3EFB1E93">
        <w:t>. In addition, return-to-work practices and absence management processes are an important part of a broader approach to supporting employees to remain in work and accommodating periods of fluctuations and life cycle changes</w:t>
      </w:r>
      <w:r w:rsidR="005F61BE">
        <w:t xml:space="preserve"> </w:t>
      </w:r>
      <w:r w:rsidR="00A576FD">
        <w:rPr>
          <w:noProof/>
        </w:rPr>
        <w:t>(Habeck et al., 2010; JobAccess, 2024)</w:t>
      </w:r>
      <w:r w:rsidRPr="3EFB1E93">
        <w:t>.</w:t>
      </w:r>
      <w:r w:rsidR="006D7F32">
        <w:br w:type="page"/>
      </w:r>
    </w:p>
    <w:tbl>
      <w:tblPr>
        <w:tblStyle w:val="CIETable"/>
        <w:tblW w:w="0" w:type="auto"/>
        <w:tblLook w:val="04A0" w:firstRow="1" w:lastRow="0" w:firstColumn="1" w:lastColumn="0" w:noHBand="0" w:noVBand="1"/>
      </w:tblPr>
      <w:tblGrid>
        <w:gridCol w:w="9628"/>
      </w:tblGrid>
      <w:tr w:rsidR="00263661" w14:paraId="288DDCA0" w14:textId="77777777" w:rsidTr="00263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98904E7" w14:textId="5F137C32" w:rsidR="00263661" w:rsidRDefault="00263661" w:rsidP="00263661">
            <w:pPr>
              <w:pStyle w:val="TableHeading"/>
            </w:pPr>
            <w:r w:rsidRPr="00263661">
              <w:lastRenderedPageBreak/>
              <w:t>What providers can do:</w:t>
            </w:r>
          </w:p>
        </w:tc>
      </w:tr>
      <w:tr w:rsidR="00263661" w14:paraId="207F5448" w14:textId="77777777" w:rsidTr="00263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D660B84" w14:textId="3F3AA472" w:rsidR="00263661" w:rsidRDefault="00263661" w:rsidP="00263661">
            <w:r>
              <w:t xml:space="preserve">Help employers see retention as an ongoing commitment, not just keeping someone in a seat by: </w:t>
            </w:r>
          </w:p>
          <w:p w14:paraId="2ED4B0AE" w14:textId="666CE716" w:rsidR="00263661" w:rsidRPr="005B1DE5" w:rsidRDefault="00263661" w:rsidP="005B1DE5">
            <w:pPr>
              <w:pStyle w:val="TableBullet"/>
            </w:pPr>
            <w:r w:rsidRPr="005B1DE5">
              <w:t>encouraging them to support the person's growth – through skill development and opportunities to move into different roles over time.</w:t>
            </w:r>
          </w:p>
          <w:p w14:paraId="308AC201" w14:textId="264BFAC1" w:rsidR="00263661" w:rsidRDefault="00263661" w:rsidP="00263661">
            <w:r>
              <w:t xml:space="preserve">Promote real opportunities to learn and progress by: </w:t>
            </w:r>
          </w:p>
          <w:p w14:paraId="56415C15" w14:textId="4BDF78A2" w:rsidR="00263661" w:rsidRPr="005B1DE5" w:rsidRDefault="00263661" w:rsidP="005B1DE5">
            <w:pPr>
              <w:pStyle w:val="TableBullet"/>
            </w:pPr>
            <w:r w:rsidRPr="005B1DE5">
              <w:t>advocating for mentoring, job shadowing, and on-the-job learning – practical ways to build confidence and capability that does not require a formal training budget.</w:t>
            </w:r>
          </w:p>
          <w:p w14:paraId="2476628E" w14:textId="1DBF450B" w:rsidR="00263661" w:rsidRDefault="00263661" w:rsidP="00263661">
            <w:r>
              <w:t xml:space="preserve">Help supervisors have better career conversations by: </w:t>
            </w:r>
          </w:p>
          <w:p w14:paraId="6CAF9BA7" w14:textId="4DC88BE4" w:rsidR="00263661" w:rsidRPr="005B1DE5" w:rsidRDefault="00263661" w:rsidP="005B1DE5">
            <w:pPr>
              <w:pStyle w:val="TableBullet"/>
            </w:pPr>
            <w:r w:rsidRPr="005B1DE5">
              <w:t>Providing simple templates and guidance so supervisors feel equipped to have honest, supportive development discussions that work for everyone.</w:t>
            </w:r>
          </w:p>
          <w:p w14:paraId="27F34D1B" w14:textId="058515AF" w:rsidR="00263661" w:rsidRDefault="00263661" w:rsidP="00263661">
            <w:r>
              <w:t>Connect retention with how absences and health fluctuations are managed by:</w:t>
            </w:r>
          </w:p>
          <w:p w14:paraId="65559D45" w14:textId="0250A406" w:rsidR="00263661" w:rsidRPr="005B1DE5" w:rsidRDefault="00263661" w:rsidP="005B1DE5">
            <w:pPr>
              <w:pStyle w:val="TableBullet"/>
            </w:pPr>
            <w:r w:rsidRPr="005B1DE5">
              <w:t>Supporting employers to plan for gradual return to duties, keep in touch during absences, and treat dips in availability as a usual part of employing someone – not a problem to manage out.</w:t>
            </w:r>
          </w:p>
        </w:tc>
      </w:tr>
    </w:tbl>
    <w:p w14:paraId="6F4E41D0" w14:textId="186D027D" w:rsidR="00EA6594" w:rsidRDefault="005964D6" w:rsidP="00DD4E16">
      <w:pPr>
        <w:pStyle w:val="Heading3"/>
      </w:pPr>
      <w:bookmarkStart w:id="65" w:name="_Toc232075445"/>
      <w:r>
        <w:t>Scenario</w:t>
      </w:r>
      <w:bookmarkEnd w:id="65"/>
    </w:p>
    <w:p w14:paraId="041FF2E2" w14:textId="19A1CD50" w:rsidR="00EA6594" w:rsidRDefault="00EA6594" w:rsidP="00196294">
      <w:r w:rsidRPr="665C1DFA">
        <w:t xml:space="preserve">The following scenario was developed using the thematic analysis </w:t>
      </w:r>
      <w:r>
        <w:t>for</w:t>
      </w:r>
      <w:r w:rsidRPr="665C1DFA">
        <w:t xml:space="preserve"> Theme 3.</w:t>
      </w:r>
    </w:p>
    <w:p w14:paraId="15BA7318" w14:textId="77777777" w:rsidR="00DD4E16" w:rsidRDefault="00DD4E16" w:rsidP="00285880">
      <w:pPr>
        <w:pStyle w:val="Scenario"/>
      </w:pPr>
      <w:r>
        <w:t>When Mira joined a regional infrastructure company as a project support assistant, the organisation approached her employment not as a static position but as the start of a longer-term career pathway. From the outset, Mira’s supervisor structured the role to build her confidence and skills over time.</w:t>
      </w:r>
    </w:p>
    <w:p w14:paraId="2CDE251B" w14:textId="77777777" w:rsidR="00DD4E16" w:rsidRDefault="00DD4E16" w:rsidP="0070185A">
      <w:pPr>
        <w:pStyle w:val="Scenario"/>
        <w:ind w:left="720"/>
      </w:pPr>
      <w:r>
        <w:t>“The role’s supervision was set up to help learning on a day-to-day basis; one key approach was to introduce tasks gradually, thereby building confidence over time and matching tasks appropriately, making them incrementally more challenging.” (See Opening Doors to Victoria’s Big Build, Social Ventures Australia, n.d.)</w:t>
      </w:r>
    </w:p>
    <w:p w14:paraId="614237ED" w14:textId="77777777" w:rsidR="00DD4E16" w:rsidRDefault="00DD4E16" w:rsidP="00285880">
      <w:pPr>
        <w:pStyle w:val="Scenario"/>
      </w:pPr>
      <w:r>
        <w:t>This supportive, step-by-step approach ensured Mira could master core tasks before progressing to new responsibilities, fostering both independence and growth.</w:t>
      </w:r>
    </w:p>
    <w:p w14:paraId="44686500" w14:textId="77777777" w:rsidR="00DD4E16" w:rsidRDefault="00DD4E16" w:rsidP="00285880">
      <w:pPr>
        <w:pStyle w:val="Scenario"/>
      </w:pPr>
      <w:r>
        <w:t>Alongside this, the organisation focused heavily on development opportunities. Mira participated in mentoring sessions with a senior team member, shadowed colleagues in other departments, and was invited to choose from a wide range of training options.</w:t>
      </w:r>
    </w:p>
    <w:p w14:paraId="73F78C09" w14:textId="77777777" w:rsidR="00DD4E16" w:rsidRDefault="00DD4E16" w:rsidP="0070185A">
      <w:pPr>
        <w:pStyle w:val="Scenario"/>
        <w:ind w:left="720"/>
      </w:pPr>
      <w:r>
        <w:t xml:space="preserve">“Training was offered to all employees… expanding upon traditional workplace training </w:t>
      </w:r>
      <w:r>
        <w:lastRenderedPageBreak/>
        <w:t>to provide options in areas of interest… offering the opportunity for career progression within the organisation.” (See Hamilton, 2023)</w:t>
      </w:r>
    </w:p>
    <w:p w14:paraId="7AC429B4" w14:textId="77777777" w:rsidR="00DD4E16" w:rsidRDefault="00DD4E16" w:rsidP="00285880">
      <w:pPr>
        <w:pStyle w:val="Scenario"/>
      </w:pPr>
      <w:r>
        <w:t>These options allowed Mira not only to strengthen her current skills but also to explore areas she hoped to specialise in.</w:t>
      </w:r>
    </w:p>
    <w:p w14:paraId="5280E8EF" w14:textId="77777777" w:rsidR="00DD4E16" w:rsidRDefault="00DD4E16" w:rsidP="00285880">
      <w:pPr>
        <w:pStyle w:val="Scenario"/>
      </w:pPr>
      <w:r>
        <w:t>Career development conversations formed a regular part of Mira’s supervision. During these sessions, her manager helped her map out future opportunities, identify skill gaps, and prepare for roles she might transition into later. The company also tracked progression metrics across the workforce to ensure equitable development opportunities for employees with disability.</w:t>
      </w:r>
    </w:p>
    <w:p w14:paraId="3674ED1F" w14:textId="77777777" w:rsidR="00DD4E16" w:rsidRDefault="00DD4E16" w:rsidP="00285880">
      <w:pPr>
        <w:pStyle w:val="Scenario"/>
      </w:pPr>
      <w:r>
        <w:t>When Mira expressed interest in contributing to scheduling and project documentation, her supervisor arranged a short internal secondment so she could try these tasks in a supported environment. This hands-on exposure helped her build new capabilities while giving the organisation insight into how her strengths could be further utilised for the benefit of the organisation.</w:t>
      </w:r>
    </w:p>
    <w:p w14:paraId="3EB97F00" w14:textId="77777777" w:rsidR="00DD4E16" w:rsidRDefault="00DD4E16" w:rsidP="00285880">
      <w:pPr>
        <w:pStyle w:val="Scenario"/>
      </w:pPr>
      <w:r>
        <w:t>Over time, the combination of gradual skill-building, ongoing mentoring, tailored training, and structured development conversations helped Mira grow in confidence and competency. The organisation viewed her retention not simply as keeping her in the role, but as a commitment to supporting her evolving career goals.</w:t>
      </w:r>
    </w:p>
    <w:p w14:paraId="77F793BD" w14:textId="6D49FA70" w:rsidR="00DD4E16" w:rsidRDefault="00DD4E16" w:rsidP="00285880">
      <w:pPr>
        <w:pStyle w:val="Scenario"/>
      </w:pPr>
      <w:r>
        <w:t>This scenario illustrates how retaining employees with disability is fundamentally linked to career development, structured learning, internal mobility, and long-term pathways – an approach that benefits both the employee and the organisation.</w:t>
      </w:r>
    </w:p>
    <w:p w14:paraId="6E5231B4" w14:textId="489266AC" w:rsidR="00EA6594" w:rsidRDefault="00EA6594" w:rsidP="005B1DE5">
      <w:pPr>
        <w:pStyle w:val="ListBullet"/>
        <w:numPr>
          <w:ilvl w:val="0"/>
          <w:numId w:val="0"/>
        </w:numPr>
        <w:ind w:left="360"/>
      </w:pPr>
    </w:p>
    <w:p w14:paraId="3BEA6199" w14:textId="48E4CA8C" w:rsidR="00EA6594" w:rsidRDefault="00EA6594" w:rsidP="00285880">
      <w:pPr>
        <w:pStyle w:val="Heading2"/>
      </w:pPr>
      <w:bookmarkStart w:id="66" w:name="_Toc223984056"/>
      <w:bookmarkStart w:id="67" w:name="_Toc226902125"/>
      <w:bookmarkStart w:id="68" w:name="_Toc232075446"/>
      <w:r w:rsidRPr="00726D9F">
        <w:t>Theme 4: Governance and organisational embedding</w:t>
      </w:r>
      <w:bookmarkEnd w:id="66"/>
      <w:bookmarkEnd w:id="67"/>
      <w:bookmarkEnd w:id="68"/>
    </w:p>
    <w:p w14:paraId="3A633AEC" w14:textId="30C38A13" w:rsidR="00EA6594" w:rsidRPr="004015E5" w:rsidRDefault="00EA6594" w:rsidP="009F3CE2">
      <w:pPr>
        <w:rPr>
          <w:color w:val="000000"/>
        </w:rPr>
      </w:pPr>
      <w:bookmarkStart w:id="69" w:name="_Hlk226880084"/>
      <w:r w:rsidRPr="665C1DFA">
        <w:t xml:space="preserve">The effectiveness of employer engagement is dependent on whether inclusive practices are embedded within </w:t>
      </w:r>
      <w:r>
        <w:t xml:space="preserve">governance and </w:t>
      </w:r>
      <w:r w:rsidRPr="665C1DFA">
        <w:t>organisational structures and systems. Where inclusion is supported by leadership, policies, and accountability mechanisms, inclusive hiring and employment practices are more likely to be sustained</w:t>
      </w:r>
      <w:r w:rsidR="001A60DB">
        <w:t xml:space="preserve"> </w:t>
      </w:r>
      <w:r w:rsidR="00A576FD">
        <w:rPr>
          <w:noProof/>
        </w:rPr>
        <w:t>(Australian Disability Network, 2024; Breit et al., 2025)</w:t>
      </w:r>
      <w:r w:rsidRPr="665C1DFA">
        <w:t>.</w:t>
      </w:r>
    </w:p>
    <w:p w14:paraId="031B431F" w14:textId="64B5B135" w:rsidR="00EA6594" w:rsidRPr="004015E5" w:rsidRDefault="00EA6594" w:rsidP="009F3CE2">
      <w:pPr>
        <w:rPr>
          <w:color w:val="000000"/>
        </w:rPr>
      </w:pPr>
      <w:r w:rsidRPr="38A5E1E0">
        <w:t>Leadership commitment plays an important role in setting expectations and signalling that disability inclusion is a priority. In some organisations, executive sponsors or disability champions help promote inclusion and drive organisational change.</w:t>
      </w:r>
      <w:r>
        <w:t xml:space="preserve"> </w:t>
      </w:r>
      <w:r w:rsidRPr="38A5E1E0">
        <w:t>Clear roles and responsibilities also matter</w:t>
      </w:r>
      <w:r w:rsidR="0055193B">
        <w:t xml:space="preserve"> – </w:t>
      </w:r>
      <w:r w:rsidRPr="38A5E1E0">
        <w:t xml:space="preserve">inclusive practices are more effective when responsibilities are shared between HR teams, </w:t>
      </w:r>
      <w:r>
        <w:t>front</w:t>
      </w:r>
      <w:r w:rsidRPr="38A5E1E0">
        <w:t>line managers, and specialist disability or diversity staff</w:t>
      </w:r>
      <w:r>
        <w:t xml:space="preserve"> </w:t>
      </w:r>
      <w:r w:rsidR="00910F8D">
        <w:rPr>
          <w:rStyle w:val="EndnoteReference"/>
        </w:rPr>
        <w:t xml:space="preserve"> </w:t>
      </w:r>
      <w:r w:rsidR="00A576FD">
        <w:rPr>
          <w:noProof/>
        </w:rPr>
        <w:t>(Bezyak et al., 2025; International Labour Organization, n.d.)</w:t>
      </w:r>
      <w:r w:rsidRPr="38A5E1E0">
        <w:t>.</w:t>
      </w:r>
    </w:p>
    <w:bookmarkEnd w:id="69"/>
    <w:p w14:paraId="6A707553" w14:textId="77777777" w:rsidR="00EA6594" w:rsidRDefault="00EA6594" w:rsidP="009F3CE2">
      <w:r w:rsidRPr="004015E5">
        <w:lastRenderedPageBreak/>
        <w:t>Embedding inclusion in policies and procedures helps ensure that practices are applied consistently rather than relying on the goodwill of individual managers</w:t>
      </w:r>
      <w:r>
        <w:t>. Without this, inclusive practices can fall away when individuals exit the organisation</w:t>
      </w:r>
      <w:r w:rsidRPr="004015E5">
        <w:t xml:space="preserve">. </w:t>
      </w:r>
    </w:p>
    <w:p w14:paraId="47EAB68E" w14:textId="47ECBB33" w:rsidR="00EA6594" w:rsidRPr="004015E5" w:rsidRDefault="00EA6594" w:rsidP="009F3CE2">
      <w:r w:rsidRPr="004015E5">
        <w:t xml:space="preserve">Organisations may </w:t>
      </w:r>
      <w:r>
        <w:t xml:space="preserve">want to </w:t>
      </w:r>
      <w:r w:rsidRPr="004015E5">
        <w:t xml:space="preserve">track progress through accountability measures such as targets, reporting mechanisms, or </w:t>
      </w:r>
      <w:r>
        <w:t>other metrics</w:t>
      </w:r>
      <w:r w:rsidRPr="004015E5">
        <w:t>.</w:t>
      </w:r>
    </w:p>
    <w:p w14:paraId="1238FBE3" w14:textId="473E68CC" w:rsidR="006D7F32" w:rsidRDefault="00EA6594" w:rsidP="009F3CE2">
      <w:r w:rsidRPr="665C1DFA">
        <w:t>Employee networks and disability staff groups can further support inclusion by providing peer support and helping organisations identify areas for improvement.</w:t>
      </w:r>
    </w:p>
    <w:tbl>
      <w:tblPr>
        <w:tblStyle w:val="CIETable"/>
        <w:tblW w:w="0" w:type="auto"/>
        <w:tblLook w:val="04A0" w:firstRow="1" w:lastRow="0" w:firstColumn="1" w:lastColumn="0" w:noHBand="0" w:noVBand="1"/>
      </w:tblPr>
      <w:tblGrid>
        <w:gridCol w:w="9628"/>
      </w:tblGrid>
      <w:tr w:rsidR="00D7788A" w14:paraId="21A7D717" w14:textId="77777777" w:rsidTr="00D77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7C7A8E9" w14:textId="5336CADA" w:rsidR="00D7788A" w:rsidRDefault="00D7788A" w:rsidP="00D7788A">
            <w:pPr>
              <w:pStyle w:val="TableHeading"/>
            </w:pPr>
            <w:r w:rsidRPr="00D7788A">
              <w:t>What providers can do:</w:t>
            </w:r>
          </w:p>
        </w:tc>
      </w:tr>
      <w:tr w:rsidR="00D7788A" w14:paraId="14FC9DB3" w14:textId="77777777" w:rsidTr="00D77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93FE9BB" w14:textId="77777777" w:rsidR="00D7788A" w:rsidRDefault="00D7788A" w:rsidP="00D7788A">
            <w:r>
              <w:t xml:space="preserve">Encourage leaders to champion inclusion visibly and share responsibility for it across the organisation by: </w:t>
            </w:r>
          </w:p>
          <w:p w14:paraId="33F678EF" w14:textId="77777777" w:rsidR="00D7788A" w:rsidRPr="005B1DE5" w:rsidRDefault="00D7788A" w:rsidP="005B1DE5">
            <w:pPr>
              <w:pStyle w:val="TableBullet"/>
            </w:pPr>
            <w:r w:rsidRPr="005B1DE5">
              <w:t>Supporting them to be active sponsors – not just signatories – and helping clarify who is responsible for what across different teams.</w:t>
            </w:r>
          </w:p>
          <w:p w14:paraId="118A460A" w14:textId="77777777" w:rsidR="00D7788A" w:rsidRDefault="00D7788A" w:rsidP="00D7788A">
            <w:r>
              <w:t xml:space="preserve">Help employers build inclusion into their everyday systems and policies by: </w:t>
            </w:r>
          </w:p>
          <w:p w14:paraId="00AD9F9D" w14:textId="77777777" w:rsidR="00D7788A" w:rsidRPr="005B1DE5" w:rsidRDefault="00D7788A" w:rsidP="005B1DE5">
            <w:pPr>
              <w:pStyle w:val="TableBullet"/>
            </w:pPr>
            <w:r w:rsidRPr="005B1DE5">
              <w:t>Offering practical guidance on updating HR policies, adjustment processes as needed, onboarding procedures, and what supervisors are expected to do.</w:t>
            </w:r>
          </w:p>
          <w:p w14:paraId="1FD1036F" w14:textId="77777777" w:rsidR="00D7788A" w:rsidRDefault="00D7788A" w:rsidP="00D7788A">
            <w:r>
              <w:t xml:space="preserve">Strengthen accountability and keep inclusion visible internally by: </w:t>
            </w:r>
          </w:p>
          <w:p w14:paraId="307D720C" w14:textId="77777777" w:rsidR="00D7788A" w:rsidRPr="005B1DE5" w:rsidRDefault="00D7788A" w:rsidP="005B1DE5">
            <w:pPr>
              <w:pStyle w:val="TableBullet"/>
            </w:pPr>
            <w:r w:rsidRPr="005B1DE5">
              <w:t>Helping employers track how inclusion is going, share what's working across teams, and activate peer networks or staff groups to keep momentum going.</w:t>
            </w:r>
          </w:p>
          <w:p w14:paraId="578D0898" w14:textId="77777777" w:rsidR="00D7788A" w:rsidRDefault="00D7788A" w:rsidP="00D7788A">
            <w:r>
              <w:t>Help employers treat inclusion as an organisation-wide change process, not a one-off effort by:</w:t>
            </w:r>
          </w:p>
          <w:p w14:paraId="3EF34075" w14:textId="588F8353" w:rsidR="00D7788A" w:rsidRPr="005B1DE5" w:rsidRDefault="00D7788A" w:rsidP="005B1DE5">
            <w:pPr>
              <w:pStyle w:val="TableBullet"/>
            </w:pPr>
            <w:r w:rsidRPr="005B1DE5">
              <w:t>Supporting them to connect inclusive practices to their broader goals and move from ad-hoc responses to consistent, repeatable approaches.</w:t>
            </w:r>
          </w:p>
        </w:tc>
      </w:tr>
    </w:tbl>
    <w:p w14:paraId="4F48E202" w14:textId="77777777" w:rsidR="006D7F32" w:rsidRDefault="006D7F32" w:rsidP="002E6161">
      <w:pPr>
        <w:pStyle w:val="Heading3"/>
      </w:pPr>
      <w:r>
        <w:br w:type="page"/>
      </w:r>
    </w:p>
    <w:p w14:paraId="22C8016D" w14:textId="10EC2B61" w:rsidR="00EA6594" w:rsidRDefault="002E6161" w:rsidP="002E6161">
      <w:pPr>
        <w:pStyle w:val="Heading3"/>
      </w:pPr>
      <w:bookmarkStart w:id="70" w:name="_Toc232075447"/>
      <w:r>
        <w:lastRenderedPageBreak/>
        <w:t>Scenario</w:t>
      </w:r>
      <w:bookmarkEnd w:id="70"/>
    </w:p>
    <w:p w14:paraId="651CCBFE" w14:textId="17703EAD" w:rsidR="00EA6594" w:rsidRPr="0034086B" w:rsidRDefault="00EA6594" w:rsidP="009F3CE2">
      <w:pPr>
        <w:rPr>
          <w:lang w:val="en-GB" w:bidi="si-LK"/>
        </w:rPr>
      </w:pPr>
      <w:r w:rsidRPr="315873A9">
        <w:t>The following scenario was developed using the thematic analysis for Theme 4.</w:t>
      </w:r>
    </w:p>
    <w:p w14:paraId="750A0BBB" w14:textId="77777777" w:rsidR="00761A37" w:rsidRDefault="00761A37" w:rsidP="00761A37">
      <w:pPr>
        <w:pStyle w:val="Scenario"/>
      </w:pPr>
      <w:r w:rsidRPr="3EFB1E93">
        <w:t xml:space="preserve">When Amara joined a community services organisation as a trainee administration officer, the organisation viewed inclusive employment as part of its broader commitment to reflecting the diversity of the communities it served. Leaders recognised that employing people with disability strengthened both workforce inclusion and community representation. While the organisation had already taken steps to support inclusion, many of its systems were still evolving. Senior leaders had signalled that disability inclusion was important, while People and Culture and frontline managers shared responsibility for implementing practice support. </w:t>
      </w:r>
    </w:p>
    <w:p w14:paraId="1D70EE23" w14:textId="77777777" w:rsidR="00761A37" w:rsidRDefault="00761A37" w:rsidP="00761A37">
      <w:pPr>
        <w:pStyle w:val="Scenario"/>
      </w:pPr>
      <w:r w:rsidRPr="3EFB1E93">
        <w:t>Before Amara’s traineeship commenced, introduced several practical supports to help her transition into the role, including disability awareness training for her immediate team and a workplace buddy.</w:t>
      </w:r>
    </w:p>
    <w:p w14:paraId="106C6918" w14:textId="77777777" w:rsidR="00761A37" w:rsidRDefault="00761A37" w:rsidP="00761A37">
      <w:pPr>
        <w:pStyle w:val="Scenario"/>
        <w:ind w:left="720"/>
      </w:pPr>
      <w:r w:rsidRPr="665C1DFA">
        <w:t xml:space="preserve">“Before the new hire commenced the traineeship, </w:t>
      </w:r>
      <w:r>
        <w:t>[name]</w:t>
      </w:r>
      <w:r w:rsidRPr="665C1DFA">
        <w:t xml:space="preserve"> completed disability awareness training and implemented a buddy system. The pilot was used as an organisational ‘prompt’ for broader changes, helping the team adapt existing inclusive practices… Importantly, the changes have started to ripple beyond the project. </w:t>
      </w:r>
      <w:r>
        <w:t>[name]</w:t>
      </w:r>
      <w:r w:rsidRPr="665C1DFA">
        <w:t xml:space="preserve"> is developing internal guidance and sharing learnings with parent companies… to be used in future projects.” (See </w:t>
      </w:r>
      <w:r w:rsidRPr="665C1DFA">
        <w:rPr>
          <w:iCs/>
        </w:rPr>
        <w:t>Opening Doors to Victoria’s Big Build</w:t>
      </w:r>
      <w:r w:rsidRPr="665C1DFA">
        <w:t>, Social Ventures, n.d.)</w:t>
      </w:r>
    </w:p>
    <w:p w14:paraId="2A086FEC" w14:textId="77777777" w:rsidR="00761A37" w:rsidRDefault="00761A37" w:rsidP="00761A37">
      <w:pPr>
        <w:pStyle w:val="Scenario"/>
      </w:pPr>
      <w:r w:rsidRPr="3EFB1E93">
        <w:t xml:space="preserve">This meant inclusion was treated as an evolving process where small adjustment could lead to broader organisational learning over time. </w:t>
      </w:r>
    </w:p>
    <w:p w14:paraId="20BA7F09" w14:textId="77777777" w:rsidR="00761A37" w:rsidRDefault="00761A37" w:rsidP="00761A37">
      <w:pPr>
        <w:pStyle w:val="Scenario"/>
      </w:pPr>
      <w:r w:rsidRPr="04D82148">
        <w:t xml:space="preserve">At the same time, the organisation reviewed and strengthened its internal systems. </w:t>
      </w:r>
      <w:r>
        <w:t xml:space="preserve">People &amp; Culture </w:t>
      </w:r>
      <w:r w:rsidRPr="04D82148">
        <w:t xml:space="preserve">partnered with the disability inclusion </w:t>
      </w:r>
      <w:proofErr w:type="gramStart"/>
      <w:r w:rsidRPr="04D82148">
        <w:t>lead</w:t>
      </w:r>
      <w:proofErr w:type="gramEnd"/>
      <w:r w:rsidRPr="04D82148">
        <w:t xml:space="preserve"> to update recruitment policies, align onboarding processes, and make roles and responsibilities clearer across teams.</w:t>
      </w:r>
    </w:p>
    <w:p w14:paraId="2DA84EFE" w14:textId="77777777" w:rsidR="00761A37" w:rsidRDefault="00761A37" w:rsidP="0070185A">
      <w:pPr>
        <w:pStyle w:val="Scenario"/>
        <w:ind w:left="720"/>
      </w:pPr>
      <w:r w:rsidRPr="665C1DFA">
        <w:t xml:space="preserve">“Training was offered to all employees, as was the review and updating of policies and procedures including streamlining recruitment, interviewing and ‘onboarding’ processes… Not only did </w:t>
      </w:r>
      <w:r>
        <w:t xml:space="preserve">[…] </w:t>
      </w:r>
      <w:r w:rsidRPr="665C1DFA">
        <w:t>experience a reduction in staff turnover attributed to the positive training and work culture, but they also started to hit the employment targets set for the new environment.” (See Hamilton, 2023)</w:t>
      </w:r>
    </w:p>
    <w:p w14:paraId="2CEB2E22" w14:textId="77777777" w:rsidR="00761A37" w:rsidRDefault="00761A37" w:rsidP="00761A37">
      <w:pPr>
        <w:pStyle w:val="Scenario"/>
      </w:pPr>
      <w:r w:rsidRPr="04D82148">
        <w:t>This whole</w:t>
      </w:r>
      <w:r w:rsidRPr="04D82148">
        <w:rPr>
          <w:rFonts w:ascii="Cambria Math" w:eastAsia="Cambria Math" w:hAnsi="Cambria Math" w:cs="Cambria Math"/>
        </w:rPr>
        <w:t>‑</w:t>
      </w:r>
      <w:r w:rsidRPr="04D82148">
        <w:t>of</w:t>
      </w:r>
      <w:r w:rsidRPr="04D82148">
        <w:rPr>
          <w:rFonts w:ascii="Cambria Math" w:eastAsia="Cambria Math" w:hAnsi="Cambria Math" w:cs="Cambria Math"/>
        </w:rPr>
        <w:t>‑</w:t>
      </w:r>
      <w:r w:rsidRPr="04D82148">
        <w:t>organisation effort ensured that inclusion was consistent, measurable, and supported by clear accountability mechanisms.</w:t>
      </w:r>
    </w:p>
    <w:p w14:paraId="4D7F06E2" w14:textId="36A7A563" w:rsidR="00761A37" w:rsidRDefault="00761A37" w:rsidP="00761A37">
      <w:pPr>
        <w:pStyle w:val="Scenario"/>
      </w:pPr>
      <w:r w:rsidRPr="04D82148">
        <w:t xml:space="preserve">The organisation also launched a small inclusion campaign through internal communication channels and employee networks. These networks helped new and existing staff </w:t>
      </w:r>
      <w:r>
        <w:t xml:space="preserve">to </w:t>
      </w:r>
      <w:r w:rsidRPr="04D82148">
        <w:t>learn about the updated training options, the buddy system, and new career pathways available to employees with disability. This peer</w:t>
      </w:r>
      <w:r w:rsidRPr="04D82148">
        <w:rPr>
          <w:rFonts w:ascii="Cambria Math" w:eastAsia="Cambria Math" w:hAnsi="Cambria Math" w:cs="Cambria Math"/>
        </w:rPr>
        <w:t>‑</w:t>
      </w:r>
      <w:r w:rsidRPr="04D82148">
        <w:t>supported environment made it easier for Amara to ask questions, connect with colleagues, and contribute confidently.</w:t>
      </w:r>
    </w:p>
    <w:p w14:paraId="1D37F381" w14:textId="77777777" w:rsidR="00761A37" w:rsidRDefault="00761A37" w:rsidP="00761A37">
      <w:pPr>
        <w:pStyle w:val="Scenario"/>
      </w:pPr>
      <w:r w:rsidRPr="3EFB1E93">
        <w:t xml:space="preserve">Leaders monitored progress through both qualitative feedback and quantitative measures, including targets aligned with organisational strategy. This data helped assess which departments needed additional support or policy refinement. Importantly, because inclusion </w:t>
      </w:r>
      <w:r w:rsidRPr="3EFB1E93">
        <w:lastRenderedPageBreak/>
        <w:t>was embedded structurally</w:t>
      </w:r>
      <w:r>
        <w:t xml:space="preserve"> – </w:t>
      </w:r>
      <w:r w:rsidRPr="3EFB1E93">
        <w:t>not dependent on individual goodwill</w:t>
      </w:r>
      <w:r>
        <w:t xml:space="preserve"> – </w:t>
      </w:r>
      <w:r w:rsidRPr="3EFB1E93">
        <w:t xml:space="preserve">Amara knew the support available to her would be dependable and </w:t>
      </w:r>
      <w:proofErr w:type="spellStart"/>
      <w:proofErr w:type="gramStart"/>
      <w:r w:rsidRPr="3EFB1E93">
        <w:t>consistent.</w:t>
      </w:r>
      <w:r w:rsidRPr="04D82148">
        <w:t>Through</w:t>
      </w:r>
      <w:proofErr w:type="spellEnd"/>
      <w:proofErr w:type="gramEnd"/>
      <w:r w:rsidRPr="04D82148">
        <w:t xml:space="preserve"> leadership commitment, shared responsibility, updated policies, and strong accountability structures, the organisation created a place where inclusive employment was part of “how we work,” not an exception. </w:t>
      </w:r>
    </w:p>
    <w:p w14:paraId="7E5A0C9B" w14:textId="068568D2" w:rsidR="00EA6594" w:rsidRDefault="00761A37" w:rsidP="00761A37">
      <w:pPr>
        <w:pStyle w:val="Scenario"/>
      </w:pPr>
      <w:r w:rsidRPr="04D82148">
        <w:t>Amara’s experience reflected a system where inclusive practices were sustained, scalable, and supported across the organisation, benefiting both employees and the wider workplace culture.</w:t>
      </w:r>
      <w:r>
        <w:t xml:space="preserve"> </w:t>
      </w:r>
      <w:r w:rsidRPr="008564A8">
        <w:t>It also demonstrated that governance systems often strengthen incrementally through practical hiring experiences, rather than needing to be fully developed before an employer hires someone with disability.</w:t>
      </w:r>
    </w:p>
    <w:p w14:paraId="19C49C88" w14:textId="6205AFE9" w:rsidR="00EA6594" w:rsidRDefault="00EA6594" w:rsidP="0070185A">
      <w:pPr>
        <w:pStyle w:val="Heading2"/>
      </w:pPr>
      <w:bookmarkStart w:id="71" w:name="_Toc223984057"/>
      <w:bookmarkStart w:id="72" w:name="_Toc226902126"/>
      <w:bookmarkStart w:id="73" w:name="_Toc232075448"/>
      <w:r w:rsidRPr="00726D9F">
        <w:t xml:space="preserve">Theme 5: </w:t>
      </w:r>
      <w:r>
        <w:t>E</w:t>
      </w:r>
      <w:r w:rsidRPr="00726D9F">
        <w:t>mployer engagement practices</w:t>
      </w:r>
      <w:r>
        <w:t xml:space="preserve"> relevant to specific d</w:t>
      </w:r>
      <w:r w:rsidRPr="00726D9F">
        <w:t>isability cohort</w:t>
      </w:r>
      <w:r>
        <w:t>s</w:t>
      </w:r>
      <w:bookmarkEnd w:id="71"/>
      <w:bookmarkEnd w:id="72"/>
      <w:bookmarkEnd w:id="73"/>
    </w:p>
    <w:p w14:paraId="13490964" w14:textId="1E4AEF90" w:rsidR="00EA6594" w:rsidRPr="007435B0" w:rsidRDefault="00EA6594" w:rsidP="009F3CE2">
      <w:pPr>
        <w:rPr>
          <w:color w:val="000000"/>
        </w:rPr>
      </w:pPr>
      <w:r w:rsidRPr="665C1DFA">
        <w:t>Overall, there is relatively limited evidence of employer engagement practices being explicitly tailored for different cohorts of people with disability. Most approaches appear to be designed for people with disability more broadly</w:t>
      </w:r>
      <w:r w:rsidR="007D2D76">
        <w:t xml:space="preserve"> </w:t>
      </w:r>
      <w:r w:rsidR="00A576FD">
        <w:rPr>
          <w:noProof/>
        </w:rPr>
        <w:t>(Derbyshire et al., 2024; Spaulding &amp; Martin-Caughey, 2015)</w:t>
      </w:r>
      <w:r w:rsidRPr="665C1DFA">
        <w:t>.</w:t>
      </w:r>
    </w:p>
    <w:p w14:paraId="5905DF6D" w14:textId="36BCB8FF" w:rsidR="00EA6594" w:rsidRPr="007435B0" w:rsidRDefault="00EA6594" w:rsidP="009F3CE2">
      <w:pPr>
        <w:rPr>
          <w:color w:val="000000"/>
        </w:rPr>
      </w:pPr>
      <w:r w:rsidRPr="007435B0">
        <w:t>Where tailored approaches are described, they most commonly relate to psychosocial disability or mental health</w:t>
      </w:r>
      <w:r w:rsidRPr="38A5E1E0">
        <w:t>, with emphasis on</w:t>
      </w:r>
      <w:r w:rsidRPr="007435B0">
        <w:t xml:space="preserve"> supportive workplace environments, flexible work arrangements, and psychologically safe disclosure processes</w:t>
      </w:r>
      <w:r w:rsidRPr="38A5E1E0">
        <w:t>.</w:t>
      </w:r>
      <w:r w:rsidRPr="293D7387">
        <w:t xml:space="preserve"> </w:t>
      </w:r>
      <w:r w:rsidRPr="665C1DFA">
        <w:t>There are</w:t>
      </w:r>
      <w:r w:rsidRPr="38A5E1E0">
        <w:t xml:space="preserve"> also</w:t>
      </w:r>
      <w:r w:rsidRPr="665C1DFA">
        <w:t xml:space="preserve"> some references to neurodiversity initiatives and employment pathways for people with intellectual disability. However, these examples appear less frequently in the material synthesised.</w:t>
      </w:r>
    </w:p>
    <w:p w14:paraId="515944DE" w14:textId="58A9A6AB" w:rsidR="00EA6594" w:rsidRPr="007435B0" w:rsidRDefault="00EA6594" w:rsidP="009F3CE2">
      <w:pPr>
        <w:rPr>
          <w:color w:val="000000"/>
        </w:rPr>
      </w:pPr>
      <w:r w:rsidRPr="665C1DFA">
        <w:t>Some sources also highlight the importance of recognising intersectional factors, such as gender, although these are rarely discussed in detail</w:t>
      </w:r>
      <w:r w:rsidR="00424741">
        <w:t xml:space="preserve"> </w:t>
      </w:r>
      <w:r w:rsidR="00A576FD">
        <w:rPr>
          <w:noProof/>
        </w:rPr>
        <w:t>(Bosman et al., 2025; Jammaers &amp; Zanoni, 2021)</w:t>
      </w:r>
      <w:r w:rsidRPr="665C1DFA">
        <w:t>.</w:t>
      </w:r>
    </w:p>
    <w:p w14:paraId="04F4BE37" w14:textId="7604F35E" w:rsidR="00EA6594" w:rsidRDefault="00EA6594" w:rsidP="009F3CE2">
      <w:r w:rsidRPr="38A5E1E0">
        <w:t>Taken together</w:t>
      </w:r>
      <w:r w:rsidRPr="665C1DFA">
        <w:t>, the findings suggest that</w:t>
      </w:r>
      <w:r w:rsidRPr="38A5E1E0">
        <w:t>,</w:t>
      </w:r>
      <w:r w:rsidRPr="665C1DFA">
        <w:t xml:space="preserve"> while many organisations recognise that different groups may require different types of support, explicit </w:t>
      </w:r>
      <w:r w:rsidRPr="38A5E1E0">
        <w:t xml:space="preserve">cohort </w:t>
      </w:r>
      <w:r w:rsidRPr="665C1DFA">
        <w:t>differentiation in employer engagement practices remains limited. Much of the variation centres on ensuring safe disclosure processes and providing supportive workplace conditions, particularly for people experiencing psychosocial disability. Crucially, caution must be exercised to avoid a one-size-fits-all approach</w:t>
      </w:r>
      <w:r w:rsidRPr="38A5E1E0">
        <w:t xml:space="preserve"> to ensure that adjustments and engagement methods are tailored to individual needs and contexts</w:t>
      </w:r>
      <w:r w:rsidR="00C31191">
        <w:t xml:space="preserve"> </w:t>
      </w:r>
      <w:r w:rsidR="00A576FD">
        <w:rPr>
          <w:noProof/>
        </w:rPr>
        <w:t>(British Association for Supported Employment, 2024b; Frøyland &amp; Nordberg, 2025; International Labour Organization, n.d.; Keating et al., 2023)</w:t>
      </w:r>
      <w:r>
        <w:t>.</w:t>
      </w:r>
      <w:r w:rsidR="003657F1">
        <w:br w:type="page"/>
      </w:r>
    </w:p>
    <w:tbl>
      <w:tblPr>
        <w:tblStyle w:val="CIETable"/>
        <w:tblW w:w="0" w:type="auto"/>
        <w:tblLook w:val="04A0" w:firstRow="1" w:lastRow="0" w:firstColumn="1" w:lastColumn="0" w:noHBand="0" w:noVBand="1"/>
      </w:tblPr>
      <w:tblGrid>
        <w:gridCol w:w="9628"/>
      </w:tblGrid>
      <w:tr w:rsidR="005977FD" w14:paraId="38C72935" w14:textId="77777777" w:rsidTr="005977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1306609" w14:textId="5D4D41CF" w:rsidR="005977FD" w:rsidRDefault="005977FD" w:rsidP="005977FD">
            <w:pPr>
              <w:pStyle w:val="TableHeading"/>
            </w:pPr>
            <w:r w:rsidRPr="0040162A">
              <w:lastRenderedPageBreak/>
              <w:t>What providers can do:</w:t>
            </w:r>
          </w:p>
        </w:tc>
      </w:tr>
      <w:tr w:rsidR="005977FD" w14:paraId="3B7E7034" w14:textId="77777777" w:rsidTr="005977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F760CF0" w14:textId="77777777" w:rsidR="005977FD" w:rsidRDefault="005977FD" w:rsidP="005977FD">
            <w:r>
              <w:t xml:space="preserve">Focus on the individual, not the diagnostic label by: </w:t>
            </w:r>
          </w:p>
          <w:p w14:paraId="7EDB2275" w14:textId="77777777" w:rsidR="005977FD" w:rsidRPr="005B1DE5" w:rsidRDefault="005977FD" w:rsidP="005B1DE5">
            <w:pPr>
              <w:pStyle w:val="TableBullet"/>
            </w:pPr>
            <w:r w:rsidRPr="005B1DE5">
              <w:t>Getting to know each person's strengths, preferences, and needs rather than making assumptions based on their disability category.</w:t>
            </w:r>
          </w:p>
          <w:p w14:paraId="37C5E973" w14:textId="77777777" w:rsidR="005977FD" w:rsidRDefault="005977FD" w:rsidP="005977FD">
            <w:r>
              <w:t xml:space="preserve">Build employer confidence in supporting different people by: </w:t>
            </w:r>
          </w:p>
          <w:p w14:paraId="3E99BFDD" w14:textId="77777777" w:rsidR="005977FD" w:rsidRPr="005B1DE5" w:rsidRDefault="005977FD" w:rsidP="005B1DE5">
            <w:pPr>
              <w:pStyle w:val="TableBullet"/>
            </w:pPr>
            <w:r w:rsidRPr="005B1DE5">
              <w:t xml:space="preserve">Sharing practical, specific guidance – for example, how to create psychological safety, how to </w:t>
            </w:r>
            <w:proofErr w:type="gramStart"/>
            <w:r w:rsidRPr="005B1DE5">
              <w:t>make adjustments</w:t>
            </w:r>
            <w:proofErr w:type="gramEnd"/>
            <w:r w:rsidRPr="005B1DE5">
              <w:t xml:space="preserve"> for neurodivergent employees, or how to simplify workflows for someone with intellectual disability.</w:t>
            </w:r>
          </w:p>
          <w:p w14:paraId="2B624805" w14:textId="77777777" w:rsidR="005977FD" w:rsidRDefault="005977FD" w:rsidP="005977FD">
            <w:r>
              <w:t xml:space="preserve">Help employers learn and improve over time by: </w:t>
            </w:r>
          </w:p>
          <w:p w14:paraId="7471AD46" w14:textId="77777777" w:rsidR="005977FD" w:rsidRPr="005B1DE5" w:rsidRDefault="005977FD" w:rsidP="005B1DE5">
            <w:pPr>
              <w:pStyle w:val="TableBullet"/>
            </w:pPr>
            <w:r w:rsidRPr="005B1DE5">
              <w:t>Encouraging them to capture what has worked for individuals, turn those learnings into simple guidelines, and gradually build these into how they usually do things.</w:t>
            </w:r>
          </w:p>
          <w:p w14:paraId="48113EE1" w14:textId="77777777" w:rsidR="005977FD" w:rsidRDefault="005977FD" w:rsidP="005977FD">
            <w:r>
              <w:t>Promote inclusive practices that work well for everyone, not just specific groups by:</w:t>
            </w:r>
          </w:p>
          <w:p w14:paraId="4B84AA19" w14:textId="58A61F85" w:rsidR="005977FD" w:rsidRPr="005B1DE5" w:rsidRDefault="005977FD" w:rsidP="005B1DE5">
            <w:pPr>
              <w:pStyle w:val="TableBullet"/>
            </w:pPr>
            <w:r w:rsidRPr="005B1DE5">
              <w:t>Encouraging things like predictable schedules, clear task instructions, and supportive supervision – approaches that make work better for all employees, not just those with disability.</w:t>
            </w:r>
          </w:p>
        </w:tc>
      </w:tr>
    </w:tbl>
    <w:p w14:paraId="7C1388EC" w14:textId="6BD20174" w:rsidR="00EA6594" w:rsidRDefault="000F35FF" w:rsidP="000F35FF">
      <w:pPr>
        <w:pStyle w:val="Heading3"/>
      </w:pPr>
      <w:bookmarkStart w:id="74" w:name="_Toc232075449"/>
      <w:r>
        <w:t>Scenario</w:t>
      </w:r>
      <w:bookmarkEnd w:id="74"/>
    </w:p>
    <w:p w14:paraId="0D09AE56" w14:textId="4DDD84A8" w:rsidR="00EA6594" w:rsidRDefault="00EA6594" w:rsidP="009F3CE2">
      <w:r w:rsidRPr="000F35FF">
        <w:t>The following</w:t>
      </w:r>
      <w:r w:rsidRPr="665C1DFA">
        <w:t xml:space="preserve"> scenario was developed using the thematic analysis </w:t>
      </w:r>
      <w:r>
        <w:t>for</w:t>
      </w:r>
      <w:r w:rsidRPr="665C1DFA">
        <w:t xml:space="preserve"> Theme 5. </w:t>
      </w:r>
    </w:p>
    <w:p w14:paraId="3C299B41" w14:textId="77777777" w:rsidR="000F35FF" w:rsidRPr="000F35FF" w:rsidRDefault="000F35FF" w:rsidP="000F35FF">
      <w:pPr>
        <w:pStyle w:val="Scenario"/>
      </w:pPr>
      <w:r w:rsidRPr="000F35FF">
        <w:t xml:space="preserve">When Rafi, a young neurodivergent jobseeker, expressed interest in a document management role at a mid-sized construction services company, the employment advisor from the disability employment service recognised an opportunity to refine the company’s existing recruitment and retention processes. While these practices were broadly supportive, Rafi’s advisor identified that more tailored adjustments could better align with neurodiversity-inclusive </w:t>
      </w:r>
      <w:proofErr w:type="spellStart"/>
      <w:proofErr w:type="gramStart"/>
      <w:r w:rsidRPr="000F35FF">
        <w:t>approaches.For</w:t>
      </w:r>
      <w:proofErr w:type="spellEnd"/>
      <w:proofErr w:type="gramEnd"/>
      <w:r w:rsidRPr="000F35FF">
        <w:t xml:space="preserve"> example, standard interviews were not well suited to Rafi’s communication style. The advisor worked directly with the company’s hiring team to redesign the selection process to better match Rafi’s strengths. This involved removing the requirement for a formal resume and replacing a structured interview with an informal strengths-based conversation.</w:t>
      </w:r>
    </w:p>
    <w:p w14:paraId="2335E7BA" w14:textId="77777777" w:rsidR="000F35FF" w:rsidRPr="000F35FF" w:rsidRDefault="000F35FF" w:rsidP="000F35FF">
      <w:pPr>
        <w:pStyle w:val="Scenario"/>
      </w:pPr>
      <w:r w:rsidRPr="000F35FF">
        <w:t>This approach demonstrates how tailored adjustments – even when small – can reduce barriers for specific disability groups such as neurodiverse jobseekers.</w:t>
      </w:r>
    </w:p>
    <w:p w14:paraId="66079F9D" w14:textId="429C5A30" w:rsidR="000F35FF" w:rsidRPr="000F35FF" w:rsidRDefault="000F35FF" w:rsidP="000F35FF">
      <w:pPr>
        <w:pStyle w:val="Scenario"/>
      </w:pPr>
      <w:r w:rsidRPr="000F35FF">
        <w:t xml:space="preserve">As Rafi progressed through onboarding, the company recognised an opportunity to strengthen how its human resources and direct supervision practices could support different ways of working. The advisor supported the human resource team and Rafi’s direct manager to explore </w:t>
      </w:r>
      <w:r w:rsidRPr="000F35FF">
        <w:lastRenderedPageBreak/>
        <w:t>broader neurodiversity-inclusive practices, including emerging approaches in Australia that focus on strengths-base</w:t>
      </w:r>
      <w:r w:rsidR="00457B9B">
        <w:t>d</w:t>
      </w:r>
      <w:r w:rsidRPr="000F35FF">
        <w:t xml:space="preserve"> employment </w:t>
      </w:r>
      <w:proofErr w:type="spellStart"/>
      <w:proofErr w:type="gramStart"/>
      <w:r w:rsidRPr="000F35FF">
        <w:t>pathways.This</w:t>
      </w:r>
      <w:proofErr w:type="spellEnd"/>
      <w:proofErr w:type="gramEnd"/>
      <w:r w:rsidRPr="000F35FF">
        <w:t xml:space="preserve"> framing helped the employer see Rafi’s skills not as exceptions to accommodate but as strengths with recognised industry value. Rafi found this process affirming of his skills and positive overall. </w:t>
      </w:r>
    </w:p>
    <w:p w14:paraId="4D832A18" w14:textId="77777777" w:rsidR="000F35FF" w:rsidRPr="000F35FF" w:rsidRDefault="000F35FF" w:rsidP="000F35FF">
      <w:pPr>
        <w:pStyle w:val="Scenario"/>
      </w:pPr>
      <w:r w:rsidRPr="000F35FF">
        <w:t>As a result of supporting Rafi through the recruitment process, the company also recognised there was an opportunity to embed the kinds of adjustments made for Rafi across their broader workforce systems. They began exploring ways to build more consistent individualised supports into everyday processes, in areas like communication, flexibility and the work environment – factors that can benefit everyone when applied with flexibility and intent.</w:t>
      </w:r>
    </w:p>
    <w:p w14:paraId="2E4C3212" w14:textId="0A224D90" w:rsidR="000F35FF" w:rsidRPr="000F35FF" w:rsidRDefault="000F35FF" w:rsidP="000F35FF">
      <w:pPr>
        <w:pStyle w:val="Scenario"/>
      </w:pPr>
      <w:r w:rsidRPr="000F35FF">
        <w:t>By adapting the process for Rafi and reflecting on what worked, the employer began taking steps toward a more nuanced, responsive approach to recruitment. The experience demonstrated that even modest tailoring – such as personalised interviews, job carving and strength</w:t>
      </w:r>
      <w:r w:rsidR="00B469ED">
        <w:t>-</w:t>
      </w:r>
      <w:r w:rsidRPr="000F35FF">
        <w:t>based task design – can improve outcomes by aligning roles and environments with how people work best, improving overall inclusion across the organisation.</w:t>
      </w:r>
    </w:p>
    <w:p w14:paraId="5DEB8C48" w14:textId="77777777" w:rsidR="00EA6594" w:rsidRDefault="00EA6594" w:rsidP="009F3CE2">
      <w:bookmarkStart w:id="75" w:name="_Toc223984058"/>
    </w:p>
    <w:bookmarkEnd w:id="75"/>
    <w:p w14:paraId="540759B1" w14:textId="77777777" w:rsidR="00EA6594" w:rsidRDefault="00EA6594" w:rsidP="009F3CE2">
      <w:pPr>
        <w:rPr>
          <w:rFonts w:asciiTheme="majorHAnsi" w:eastAsiaTheme="majorEastAsia" w:hAnsiTheme="majorHAnsi" w:cstheme="majorBidi"/>
          <w:color w:val="65328F" w:themeColor="accent1"/>
          <w:sz w:val="40"/>
          <w:szCs w:val="32"/>
        </w:rPr>
      </w:pPr>
      <w:r>
        <w:br w:type="page"/>
      </w:r>
    </w:p>
    <w:p w14:paraId="21AEEE7F" w14:textId="5253A80E" w:rsidR="00EA6594" w:rsidRDefault="00EA6594" w:rsidP="00285518">
      <w:pPr>
        <w:pStyle w:val="Heading1"/>
      </w:pPr>
      <w:bookmarkStart w:id="76" w:name="_Toc226902127"/>
      <w:bookmarkStart w:id="77" w:name="_Toc232075450"/>
      <w:r w:rsidRPr="005F0FAE">
        <w:lastRenderedPageBreak/>
        <w:t>Characteristics of effective employer engagement</w:t>
      </w:r>
      <w:bookmarkEnd w:id="76"/>
      <w:bookmarkEnd w:id="77"/>
      <w:r w:rsidRPr="005F0FAE">
        <w:t xml:space="preserve"> </w:t>
      </w:r>
    </w:p>
    <w:p w14:paraId="13F32255" w14:textId="45232B15" w:rsidR="00EA6594" w:rsidRDefault="00EA6594" w:rsidP="009F3CE2">
      <w:r w:rsidRPr="002C33AE">
        <w:t xml:space="preserve">Building on the </w:t>
      </w:r>
      <w:r w:rsidRPr="657EE8B6">
        <w:t>findings, themes, and enabling and moderating factors, the evidence synthesis identifie</w:t>
      </w:r>
      <w:r>
        <w:t>d</w:t>
      </w:r>
      <w:r w:rsidRPr="657EE8B6">
        <w:t xml:space="preserve"> four </w:t>
      </w:r>
      <w:r w:rsidRPr="71181D90">
        <w:t xml:space="preserve">characteristics that describe how effective employer engagement operates in practice. These characteristics help explain why particular approaches delivery stronger hiring, </w:t>
      </w:r>
      <w:r w:rsidRPr="70F01F41">
        <w:t>retention and progression outcomes across different organisational settings.</w:t>
      </w:r>
    </w:p>
    <w:p w14:paraId="1020DF9E" w14:textId="62DF1554" w:rsidR="00EA6594" w:rsidRPr="002C33AE" w:rsidRDefault="00EA6594" w:rsidP="00285518">
      <w:pPr>
        <w:pStyle w:val="Heading2"/>
      </w:pPr>
      <w:bookmarkStart w:id="78" w:name="_Toc226902128"/>
      <w:bookmarkStart w:id="79" w:name="_Toc232075451"/>
      <w:r w:rsidRPr="002C33AE">
        <w:t xml:space="preserve">Characteristic 1. Employer engagement as an </w:t>
      </w:r>
      <w:r w:rsidRPr="75728814">
        <w:rPr>
          <w:bCs/>
        </w:rPr>
        <w:t>iterative</w:t>
      </w:r>
      <w:r w:rsidRPr="002C33AE">
        <w:t xml:space="preserve"> capability-building process</w:t>
      </w:r>
      <w:bookmarkEnd w:id="78"/>
      <w:bookmarkEnd w:id="79"/>
    </w:p>
    <w:p w14:paraId="77091BBE" w14:textId="7958FC01" w:rsidR="00EA6594" w:rsidRDefault="00EA6594" w:rsidP="009F3CE2">
      <w:bookmarkStart w:id="80" w:name="_Hlk226880752"/>
      <w:r w:rsidRPr="002C33AE">
        <w:t>Effective employer engagement develops through repeated interactions rather than one</w:t>
      </w:r>
      <w:r w:rsidRPr="002C33AE">
        <w:rPr>
          <w:rFonts w:ascii="Cambria Math" w:hAnsi="Cambria Math" w:cs="Cambria Math"/>
        </w:rPr>
        <w:t>‑</w:t>
      </w:r>
      <w:r w:rsidRPr="002C33AE">
        <w:t xml:space="preserve">off transactions. Employers build disability confidence and procedural competence </w:t>
      </w:r>
      <w:r w:rsidRPr="75728814">
        <w:t>through</w:t>
      </w:r>
      <w:r w:rsidRPr="002C33AE">
        <w:t xml:space="preserve"> staged learning, reflective feedback cycles, and adaptive inclusion routines. The pace and depth of capability gain are shaped by prior exposure to employing people with disability, leadership receptiveness, continuity of provider relationships, and the learning cultures of both provider and employer organisations</w:t>
      </w:r>
      <w:r w:rsidR="00481824">
        <w:rPr>
          <w:rFonts w:eastAsiaTheme="minorEastAsia" w:cstheme="minorBidi"/>
        </w:rPr>
        <w:t xml:space="preserve"> </w:t>
      </w:r>
      <w:r w:rsidR="00A576FD">
        <w:rPr>
          <w:rFonts w:eastAsiaTheme="minorEastAsia" w:cstheme="minorBidi"/>
          <w:noProof/>
        </w:rPr>
        <w:t>(Aksnes &amp; Breit, 2025; Dall et al., 2023; Ingold et al., 2025)</w:t>
      </w:r>
      <w:r w:rsidRPr="002C33AE">
        <w:t>.</w:t>
      </w:r>
    </w:p>
    <w:tbl>
      <w:tblPr>
        <w:tblStyle w:val="CIETable"/>
        <w:tblW w:w="0" w:type="auto"/>
        <w:tblLook w:val="04A0" w:firstRow="1" w:lastRow="0" w:firstColumn="1" w:lastColumn="0" w:noHBand="0" w:noVBand="1"/>
      </w:tblPr>
      <w:tblGrid>
        <w:gridCol w:w="9628"/>
      </w:tblGrid>
      <w:tr w:rsidR="00940D29" w14:paraId="1A64C1CA" w14:textId="77777777" w:rsidTr="00940D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196387FD" w14:textId="6FDB60FE" w:rsidR="00940D29" w:rsidRPr="00940D29" w:rsidRDefault="00940D29" w:rsidP="00940D29">
            <w:pPr>
              <w:pStyle w:val="TableHeading"/>
              <w:rPr>
                <w:color w:val="000000"/>
              </w:rPr>
            </w:pPr>
            <w:r w:rsidRPr="0040162A">
              <w:t>Key takeaway for providers:</w:t>
            </w:r>
            <w:r w:rsidRPr="009416D7">
              <w:t xml:space="preserve"> </w:t>
            </w:r>
          </w:p>
        </w:tc>
      </w:tr>
      <w:tr w:rsidR="00940D29" w14:paraId="77491289" w14:textId="77777777" w:rsidTr="00940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66B23CC" w14:textId="103BE5B5" w:rsidR="00940D29" w:rsidRPr="005B1DE5" w:rsidRDefault="00940D29" w:rsidP="005B1DE5">
            <w:pPr>
              <w:pStyle w:val="TableBullet"/>
            </w:pPr>
            <w:r w:rsidRPr="005B1DE5">
              <w:t>Build your employer engagement in stages – with regular check-ins and clear markers of progress – so that employer confidence grows and relationships deepen over time.</w:t>
            </w:r>
          </w:p>
        </w:tc>
      </w:tr>
    </w:tbl>
    <w:p w14:paraId="1433EC16" w14:textId="0909DD9F" w:rsidR="00EA6594" w:rsidRPr="005F0FAE" w:rsidRDefault="00EA6594" w:rsidP="00DB7648">
      <w:pPr>
        <w:pStyle w:val="Heading2"/>
      </w:pPr>
      <w:bookmarkStart w:id="81" w:name="_Toc226902129"/>
      <w:bookmarkStart w:id="82" w:name="_Toc232075452"/>
      <w:bookmarkEnd w:id="80"/>
      <w:r w:rsidRPr="005F0FAE">
        <w:t>Characteristic 2. Performance and funding architecture as behavioural driver</w:t>
      </w:r>
      <w:r>
        <w:t>s</w:t>
      </w:r>
      <w:bookmarkEnd w:id="81"/>
      <w:bookmarkEnd w:id="82"/>
    </w:p>
    <w:p w14:paraId="3E1B74B3" w14:textId="63CDA035" w:rsidR="00EA6594" w:rsidRDefault="00EA6594" w:rsidP="009F3CE2">
      <w:r w:rsidRPr="3EFB1E93">
        <w:t>Provider behaviour is influenced by the performance frameworks and funding structures within which employment services operate. Contractual targets, outcome payments, compliance burden and administrative load, and Key Performance Indicators (KPIs) can tilt focus toward speed (rapid placement) or sustainability (retention and progression). Where incentives recognise quality, retention and advancement</w:t>
      </w:r>
      <w:r w:rsidR="0055193B">
        <w:t xml:space="preserve"> – </w:t>
      </w:r>
      <w:r w:rsidRPr="3EFB1E93">
        <w:t>not just initial placement</w:t>
      </w:r>
      <w:r w:rsidR="0055193B">
        <w:t xml:space="preserve"> – </w:t>
      </w:r>
      <w:r w:rsidRPr="3EFB1E93">
        <w:t>providers are enabled to invest in relationship</w:t>
      </w:r>
      <w:r w:rsidRPr="3EFB1E93">
        <w:rPr>
          <w:rFonts w:ascii="Cambria Math" w:hAnsi="Cambria Math" w:cs="Cambria Math"/>
        </w:rPr>
        <w:t>‑</w:t>
      </w:r>
      <w:r w:rsidRPr="3EFB1E93">
        <w:t>based engagement and post</w:t>
      </w:r>
      <w:r w:rsidRPr="3EFB1E93">
        <w:rPr>
          <w:rFonts w:ascii="Cambria Math" w:hAnsi="Cambria Math" w:cs="Cambria Math"/>
        </w:rPr>
        <w:t>‑</w:t>
      </w:r>
      <w:r w:rsidRPr="3EFB1E93">
        <w:t>hire support</w:t>
      </w:r>
      <w:r w:rsidR="004A43B4">
        <w:rPr>
          <w:rFonts w:eastAsiaTheme="minorEastAsia" w:cstheme="minorBidi"/>
        </w:rPr>
        <w:t xml:space="preserve"> </w:t>
      </w:r>
      <w:r w:rsidR="00A576FD">
        <w:rPr>
          <w:rFonts w:eastAsiaTheme="minorEastAsia" w:cstheme="minorBidi"/>
          <w:noProof/>
        </w:rPr>
        <w:t>(Department of Employment and Workplace Relations, 2023; Ingold et al., 2023)</w:t>
      </w:r>
      <w:r w:rsidRPr="3EFB1E93">
        <w:t>.</w:t>
      </w:r>
      <w:r w:rsidR="003657F1">
        <w:br w:type="page"/>
      </w:r>
    </w:p>
    <w:tbl>
      <w:tblPr>
        <w:tblStyle w:val="CIETable"/>
        <w:tblW w:w="0" w:type="auto"/>
        <w:tblLook w:val="04A0" w:firstRow="1" w:lastRow="0" w:firstColumn="1" w:lastColumn="0" w:noHBand="0" w:noVBand="1"/>
      </w:tblPr>
      <w:tblGrid>
        <w:gridCol w:w="9628"/>
      </w:tblGrid>
      <w:tr w:rsidR="00EA3CEF" w14:paraId="245EA811" w14:textId="77777777" w:rsidTr="00C64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24035D9" w14:textId="216E1BC4" w:rsidR="00EA3CEF" w:rsidRPr="00940D29" w:rsidRDefault="00EA3CEF" w:rsidP="00C64814">
            <w:pPr>
              <w:pStyle w:val="TableHeading"/>
              <w:rPr>
                <w:color w:val="000000"/>
              </w:rPr>
            </w:pPr>
            <w:r w:rsidRPr="0040162A">
              <w:lastRenderedPageBreak/>
              <w:t>Key takeaway for p</w:t>
            </w:r>
            <w:r>
              <w:t>olicymakers</w:t>
            </w:r>
            <w:r w:rsidRPr="0040162A">
              <w:t>:</w:t>
            </w:r>
            <w:r w:rsidRPr="009416D7">
              <w:t xml:space="preserve"> </w:t>
            </w:r>
          </w:p>
        </w:tc>
      </w:tr>
      <w:tr w:rsidR="00EA3CEF" w14:paraId="7C271A8B" w14:textId="77777777" w:rsidTr="00C6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5E624CBF" w14:textId="25576618" w:rsidR="00EA3CEF" w:rsidRPr="005B1DE5" w:rsidRDefault="00900F41" w:rsidP="005B1DE5">
            <w:pPr>
              <w:pStyle w:val="TableBullet"/>
            </w:pPr>
            <w:r w:rsidRPr="005B1DE5">
              <w:t>Make sure the way success is measured rewards long-term outcomes – like people staying in work and progressing – not just job starts. And account for the fact that labour market conditions outside anyone's control can affect results</w:t>
            </w:r>
            <w:r w:rsidR="00EA3CEF" w:rsidRPr="005B1DE5">
              <w:t>.</w:t>
            </w:r>
          </w:p>
        </w:tc>
      </w:tr>
    </w:tbl>
    <w:p w14:paraId="24903A6F" w14:textId="23E47AAD" w:rsidR="00EA6594" w:rsidRPr="005F0FAE" w:rsidRDefault="00EA6594" w:rsidP="00E61A39">
      <w:pPr>
        <w:pStyle w:val="Heading2"/>
      </w:pPr>
      <w:bookmarkStart w:id="83" w:name="_Toc226902130"/>
      <w:bookmarkStart w:id="84" w:name="_Toc232075453"/>
      <w:r w:rsidRPr="00E61A39">
        <w:t>Characteristic</w:t>
      </w:r>
      <w:r w:rsidRPr="005F0FAE">
        <w:t xml:space="preserve"> 3. Employer engagement along a</w:t>
      </w:r>
      <w:r>
        <w:t>n</w:t>
      </w:r>
      <w:r w:rsidRPr="005F0FAE">
        <w:t xml:space="preserve"> intensity continuum</w:t>
      </w:r>
      <w:bookmarkEnd w:id="83"/>
      <w:bookmarkEnd w:id="84"/>
      <w:r w:rsidRPr="005F0FAE">
        <w:t xml:space="preserve"> </w:t>
      </w:r>
    </w:p>
    <w:p w14:paraId="0191A6F5" w14:textId="06892D10" w:rsidR="00EA6594" w:rsidRDefault="00EA6594" w:rsidP="009F3CE2">
      <w:r w:rsidRPr="002C33AE">
        <w:t>Engagement sits on a continuum from light</w:t>
      </w:r>
      <w:r w:rsidRPr="002C33AE">
        <w:rPr>
          <w:rFonts w:ascii="Cambria Math" w:hAnsi="Cambria Math" w:cs="Cambria Math"/>
        </w:rPr>
        <w:t>‑</w:t>
      </w:r>
      <w:r w:rsidRPr="002C33AE">
        <w:t>touch brokerage (e.g., vacancy matching, quick adjustments advice) to high</w:t>
      </w:r>
      <w:r w:rsidRPr="002C33AE">
        <w:rPr>
          <w:rFonts w:ascii="Cambria Math" w:hAnsi="Cambria Math" w:cs="Cambria Math"/>
        </w:rPr>
        <w:t>‑</w:t>
      </w:r>
      <w:r w:rsidRPr="002C33AE">
        <w:t>intensity co</w:t>
      </w:r>
      <w:r w:rsidRPr="002C33AE">
        <w:rPr>
          <w:rFonts w:ascii="Cambria Math" w:hAnsi="Cambria Math" w:cs="Cambria Math"/>
        </w:rPr>
        <w:t>‑</w:t>
      </w:r>
      <w:r w:rsidRPr="002C33AE">
        <w:t>design and post</w:t>
      </w:r>
      <w:r w:rsidRPr="002C33AE">
        <w:rPr>
          <w:rFonts w:ascii="Cambria Math" w:hAnsi="Cambria Math" w:cs="Cambria Math"/>
        </w:rPr>
        <w:t>‑</w:t>
      </w:r>
      <w:r w:rsidRPr="002C33AE">
        <w:t>placement sustainment. On the provider side, intensity reflects capability</w:t>
      </w:r>
      <w:r w:rsidRPr="75728814">
        <w:t xml:space="preserve">, </w:t>
      </w:r>
      <w:r w:rsidRPr="002C33AE">
        <w:t>capacity</w:t>
      </w:r>
      <w:r w:rsidRPr="75728814">
        <w:t xml:space="preserve"> and sectoral norms</w:t>
      </w:r>
      <w:r w:rsidRPr="002C33AE">
        <w:t>; on the employer side, it reflects job complexity, job</w:t>
      </w:r>
      <w:r w:rsidRPr="002C33AE">
        <w:rPr>
          <w:rFonts w:ascii="Cambria Math" w:hAnsi="Cambria Math" w:cs="Cambria Math"/>
        </w:rPr>
        <w:t>‑</w:t>
      </w:r>
      <w:r w:rsidRPr="002C33AE">
        <w:t>design flexibility, size, sector and readiness</w:t>
      </w:r>
      <w:r w:rsidR="0017414C">
        <w:rPr>
          <w:rFonts w:eastAsiaTheme="minorEastAsia" w:cstheme="minorBidi"/>
        </w:rPr>
        <w:t xml:space="preserve"> </w:t>
      </w:r>
      <w:r w:rsidR="00A576FD">
        <w:rPr>
          <w:rFonts w:eastAsiaTheme="minorEastAsia" w:cstheme="minorBidi"/>
          <w:noProof/>
        </w:rPr>
        <w:t>(Borghouts &amp; Freese, 2023; British Association for Supported Employment, 2024b; Murphy et al., 2024)</w:t>
      </w:r>
      <w:r w:rsidRPr="002C33AE">
        <w:t>.</w:t>
      </w:r>
    </w:p>
    <w:tbl>
      <w:tblPr>
        <w:tblStyle w:val="CIETable"/>
        <w:tblW w:w="0" w:type="auto"/>
        <w:tblLook w:val="04A0" w:firstRow="1" w:lastRow="0" w:firstColumn="1" w:lastColumn="0" w:noHBand="0" w:noVBand="1"/>
      </w:tblPr>
      <w:tblGrid>
        <w:gridCol w:w="9628"/>
      </w:tblGrid>
      <w:tr w:rsidR="00E33885" w14:paraId="435E1EFA" w14:textId="77777777" w:rsidTr="00C64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6298EF5" w14:textId="77777777" w:rsidR="00E33885" w:rsidRPr="00940D29" w:rsidRDefault="00E33885" w:rsidP="00C64814">
            <w:pPr>
              <w:pStyle w:val="TableHeading"/>
              <w:rPr>
                <w:color w:val="000000"/>
              </w:rPr>
            </w:pPr>
            <w:r w:rsidRPr="0040162A">
              <w:t>Key takeaway for providers:</w:t>
            </w:r>
            <w:r w:rsidRPr="009416D7">
              <w:t xml:space="preserve"> </w:t>
            </w:r>
          </w:p>
        </w:tc>
      </w:tr>
      <w:tr w:rsidR="00E33885" w14:paraId="376CE229" w14:textId="77777777" w:rsidTr="00C6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CD73730" w14:textId="20C55941" w:rsidR="00E33885" w:rsidRPr="005B1DE5" w:rsidRDefault="00E33885" w:rsidP="005B1DE5">
            <w:pPr>
              <w:pStyle w:val="TableBullet"/>
            </w:pPr>
            <w:r w:rsidRPr="005B1DE5">
              <w:t>Match the level of support you offer to where the employer is at and what the jobseeker needs – and be ready to step up to a much more hands-on approach when the situation calls for it.</w:t>
            </w:r>
          </w:p>
        </w:tc>
      </w:tr>
    </w:tbl>
    <w:p w14:paraId="4B7A6469" w14:textId="4333D38C" w:rsidR="00EA6594" w:rsidRDefault="00EA6594" w:rsidP="00B12451">
      <w:pPr>
        <w:pStyle w:val="Heading2"/>
      </w:pPr>
      <w:bookmarkStart w:id="85" w:name="_Toc226902131"/>
      <w:bookmarkStart w:id="86" w:name="_Toc232075454"/>
      <w:r w:rsidRPr="00B12451">
        <w:t>Characteristic</w:t>
      </w:r>
      <w:r w:rsidRPr="008D6A08">
        <w:t xml:space="preserve"> 4. Retention as an indicator of job quality</w:t>
      </w:r>
      <w:bookmarkEnd w:id="85"/>
      <w:bookmarkEnd w:id="86"/>
    </w:p>
    <w:p w14:paraId="0D84BAA1" w14:textId="32585599" w:rsidR="00EA6594" w:rsidRDefault="00EA6594" w:rsidP="009F3CE2">
      <w:r w:rsidRPr="3EFB1E93">
        <w:t xml:space="preserve">Sustained employment is shaped by job quality and clear pathways for progression, not just time spent in a role. Job quality describes the aspects of a job that directly affect worker well-being, contributing to job satisfaction, performance and </w:t>
      </w:r>
      <w:r w:rsidRPr="00313267">
        <w:rPr>
          <w:rFonts w:eastAsiaTheme="minorEastAsia" w:cstheme="minorBidi"/>
          <w:noProof/>
        </w:rPr>
        <w:t>productivity</w:t>
      </w:r>
      <w:r w:rsidR="00313267" w:rsidRPr="00313267">
        <w:rPr>
          <w:rFonts w:eastAsiaTheme="minorEastAsia" w:cstheme="minorBidi"/>
          <w:noProof/>
        </w:rPr>
        <w:t xml:space="preserve"> </w:t>
      </w:r>
      <w:r w:rsidR="00A576FD" w:rsidRPr="00313267">
        <w:rPr>
          <w:rFonts w:eastAsiaTheme="minorEastAsia" w:cstheme="minorBidi"/>
          <w:noProof/>
        </w:rPr>
        <w:t>(Ingold et al., 2024)</w:t>
      </w:r>
      <w:r w:rsidRPr="3EFB1E93">
        <w:t>. The six dimensions of job quality are: pay and other rewards, intrinsic characteristics of work, terms of employment, health and safety, work-life balance, and representation and voice</w:t>
      </w:r>
      <w:r w:rsidR="00313267">
        <w:rPr>
          <w:rFonts w:asciiTheme="minorHAnsi" w:eastAsiaTheme="minorEastAsia" w:hAnsiTheme="minorHAnsi" w:cstheme="minorBidi"/>
        </w:rPr>
        <w:t xml:space="preserve"> </w:t>
      </w:r>
      <w:r w:rsidR="00A576FD" w:rsidRPr="00313267">
        <w:t>(Warhurst et al., 2025)</w:t>
      </w:r>
      <w:r w:rsidRPr="3EFB1E93">
        <w:t>. Employees with disability may perceive that remaining in a poor quality job is preferable to fearing that they will not find another. Inclusive human resource systems, early workplace integration support, internal mobility options, mentoring access, structured progression pathways and development scaffolding are all factors in stronger retention outcomes. Providers that invest in higher</w:t>
      </w:r>
      <w:r w:rsidRPr="3EFB1E93">
        <w:rPr>
          <w:rFonts w:ascii="Cambria Math" w:hAnsi="Cambria Math" w:cs="Cambria Math"/>
        </w:rPr>
        <w:t>‑</w:t>
      </w:r>
      <w:r w:rsidRPr="3EFB1E93">
        <w:t>intensity post</w:t>
      </w:r>
      <w:r w:rsidRPr="3EFB1E93">
        <w:rPr>
          <w:rFonts w:ascii="Cambria Math" w:hAnsi="Cambria Math" w:cs="Cambria Math"/>
        </w:rPr>
        <w:t>‑</w:t>
      </w:r>
      <w:r w:rsidRPr="3EFB1E93">
        <w:t>placement activities consistently report better sustainability</w:t>
      </w:r>
      <w:r w:rsidR="00696FD1">
        <w:rPr>
          <w:rFonts w:eastAsiaTheme="minorEastAsia" w:cstheme="minorBidi"/>
        </w:rPr>
        <w:t xml:space="preserve"> </w:t>
      </w:r>
      <w:r w:rsidR="00A576FD">
        <w:rPr>
          <w:rFonts w:eastAsiaTheme="minorEastAsia" w:cstheme="minorBidi"/>
          <w:noProof/>
        </w:rPr>
        <w:t>(Crosbie et al., 2025)</w:t>
      </w:r>
      <w:r w:rsidRPr="3EFB1E93">
        <w:t>.</w:t>
      </w:r>
    </w:p>
    <w:tbl>
      <w:tblPr>
        <w:tblStyle w:val="CIETable"/>
        <w:tblW w:w="0" w:type="auto"/>
        <w:tblLook w:val="04A0" w:firstRow="1" w:lastRow="0" w:firstColumn="1" w:lastColumn="0" w:noHBand="0" w:noVBand="1"/>
      </w:tblPr>
      <w:tblGrid>
        <w:gridCol w:w="9628"/>
      </w:tblGrid>
      <w:tr w:rsidR="004F7B56" w14:paraId="1A4D426A" w14:textId="77777777" w:rsidTr="00C64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618083CD" w14:textId="48332A73" w:rsidR="004F7B56" w:rsidRPr="00940D29" w:rsidRDefault="004F7B56" w:rsidP="00C64814">
            <w:pPr>
              <w:pStyle w:val="TableHeading"/>
              <w:rPr>
                <w:color w:val="000000"/>
              </w:rPr>
            </w:pPr>
            <w:r w:rsidRPr="0040162A">
              <w:lastRenderedPageBreak/>
              <w:t xml:space="preserve">Key takeaway for </w:t>
            </w:r>
            <w:r>
              <w:t>employer</w:t>
            </w:r>
            <w:r w:rsidRPr="0040162A">
              <w:t>s:</w:t>
            </w:r>
            <w:r w:rsidRPr="009416D7">
              <w:t xml:space="preserve"> </w:t>
            </w:r>
          </w:p>
        </w:tc>
      </w:tr>
      <w:tr w:rsidR="004F7B56" w14:paraId="24BE9E0F" w14:textId="77777777" w:rsidTr="00C6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0F9A86A" w14:textId="54C0F705" w:rsidR="004F7B56" w:rsidRPr="005B1DE5" w:rsidRDefault="00D65488" w:rsidP="005B1DE5">
            <w:pPr>
              <w:pStyle w:val="TableBullet"/>
            </w:pPr>
            <w:r w:rsidRPr="005B1DE5">
              <w:t>Regularly check that jobs are good quality and that there are real opportunities to grow – and treat early support, mentoring, and pathways to other roles as core parts of the work, not extras you get to if there's time</w:t>
            </w:r>
            <w:r w:rsidR="004F7B56" w:rsidRPr="005B1DE5">
              <w:t>.</w:t>
            </w:r>
          </w:p>
        </w:tc>
      </w:tr>
    </w:tbl>
    <w:p w14:paraId="2325E67F" w14:textId="77777777" w:rsidR="004F7B56" w:rsidRDefault="004F7B56" w:rsidP="009F3CE2"/>
    <w:p w14:paraId="0329FE0C" w14:textId="77777777" w:rsidR="00EA6594" w:rsidRDefault="00EA6594" w:rsidP="009F3CE2">
      <w:pPr>
        <w:pStyle w:val="Heading1"/>
        <w:sectPr w:rsidR="00EA6594" w:rsidSect="000D7808">
          <w:endnotePr>
            <w:numFmt w:val="decimal"/>
          </w:endnotePr>
          <w:pgSz w:w="11906" w:h="16838" w:code="9"/>
          <w:pgMar w:top="1134" w:right="1134" w:bottom="1134" w:left="1134" w:header="454" w:footer="0" w:gutter="0"/>
          <w:cols w:space="708"/>
          <w:docGrid w:linePitch="360"/>
        </w:sectPr>
      </w:pPr>
      <w:bookmarkStart w:id="87" w:name="_Toc223984062"/>
    </w:p>
    <w:p w14:paraId="6D0D03BD" w14:textId="00471C32" w:rsidR="00EA6594" w:rsidRPr="009D5D96" w:rsidRDefault="00EA6594" w:rsidP="009F3CE2">
      <w:pPr>
        <w:pStyle w:val="Heading1"/>
      </w:pPr>
      <w:bookmarkStart w:id="88" w:name="_Toc226902132"/>
      <w:bookmarkStart w:id="89" w:name="_Toc232075455"/>
      <w:r w:rsidRPr="009D5D96">
        <w:rPr>
          <w:rFonts w:eastAsiaTheme="minorEastAsia" w:cstheme="minorBidi"/>
        </w:rPr>
        <w:lastRenderedPageBreak/>
        <w:t>E</w:t>
      </w:r>
      <w:r w:rsidRPr="009D5D96">
        <w:t>nabling and moderating factors</w:t>
      </w:r>
      <w:bookmarkEnd w:id="88"/>
      <w:bookmarkEnd w:id="89"/>
    </w:p>
    <w:p w14:paraId="458D08CF" w14:textId="0A38BDE4" w:rsidR="00EA6594" w:rsidRPr="0093714F" w:rsidRDefault="00EA6594" w:rsidP="005B1DE5">
      <w:pPr>
        <w:pStyle w:val="ListBullet"/>
        <w:numPr>
          <w:ilvl w:val="0"/>
          <w:numId w:val="0"/>
        </w:numPr>
      </w:pPr>
      <w:r w:rsidRPr="00D21B7B">
        <w:rPr>
          <w:b/>
          <w:bCs/>
        </w:rPr>
        <w:t>Three enablers and moderating factors</w:t>
      </w:r>
      <w:r w:rsidRPr="15655A78">
        <w:t xml:space="preserve"> were identified.</w:t>
      </w:r>
    </w:p>
    <w:p w14:paraId="4E97BB59" w14:textId="77777777" w:rsidR="00EA6594" w:rsidRDefault="00EA6594" w:rsidP="006A1926">
      <w:pPr>
        <w:pStyle w:val="Heading2"/>
      </w:pPr>
      <w:bookmarkStart w:id="90" w:name="_Toc223984059"/>
      <w:bookmarkStart w:id="91" w:name="_Toc226902133"/>
      <w:bookmarkStart w:id="92" w:name="_Toc232075456"/>
      <w:r>
        <w:t xml:space="preserve">Factor 1. </w:t>
      </w:r>
      <w:r w:rsidRPr="00726D9F">
        <w:t>Intensity and resourcing of work</w:t>
      </w:r>
      <w:bookmarkEnd w:id="90"/>
      <w:bookmarkEnd w:id="91"/>
      <w:bookmarkEnd w:id="92"/>
    </w:p>
    <w:p w14:paraId="2DFB307B" w14:textId="77777777" w:rsidR="00EA6594" w:rsidRPr="006F0092" w:rsidRDefault="00EA6594" w:rsidP="009F3CE2">
      <w:pPr>
        <w:rPr>
          <w:color w:val="000000"/>
        </w:rPr>
      </w:pPr>
      <w:r w:rsidRPr="665C1DFA">
        <w:t>The material consistently highlights that effective employer engagement requires sufficient time, staffing, and organisational resources. Building relationships with employers, supporting inclusive recruitment, and providing ongoing workplace support are not one-off activities but sustained processes that depend on adequate capacity</w:t>
      </w:r>
      <w:r>
        <w:t xml:space="preserve"> of employer-facing staff within provider organisations</w:t>
      </w:r>
      <w:r w:rsidRPr="665C1DFA">
        <w:t>.</w:t>
      </w:r>
    </w:p>
    <w:p w14:paraId="187FAEC9" w14:textId="4F673222" w:rsidR="00EA6594" w:rsidRDefault="00EA6594" w:rsidP="009F3CE2">
      <w:r w:rsidRPr="665C1DFA">
        <w:t>Many examples emphasise the importance of dedicated employer-facing roles</w:t>
      </w:r>
      <w:r w:rsidR="00F95C7F">
        <w:t xml:space="preserve"> </w:t>
      </w:r>
      <w:r w:rsidR="00A576FD">
        <w:rPr>
          <w:noProof/>
        </w:rPr>
        <w:t>(Baker et al., 2023; McGillivray et al., n.d.)</w:t>
      </w:r>
      <w:r w:rsidRPr="665C1DFA">
        <w:t xml:space="preserve">. Staff whose responsibilities </w:t>
      </w:r>
      <w:r>
        <w:t xml:space="preserve">solely </w:t>
      </w:r>
      <w:r w:rsidRPr="665C1DFA">
        <w:t>focus on engaging with employers are better able to maintain relationships, understand workforce needs, and provide tailored support. These roles also help to ensure that engagement is proactive and continuous, rather than limited to filling individual vacancies.</w:t>
      </w:r>
      <w:r>
        <w:t xml:space="preserve"> </w:t>
      </w:r>
    </w:p>
    <w:p w14:paraId="75610F29" w14:textId="3EB5BEB2" w:rsidR="00EA6594" w:rsidRPr="006F0092" w:rsidRDefault="00EA6594" w:rsidP="009F3CE2">
      <w:pPr>
        <w:rPr>
          <w:color w:val="000000"/>
        </w:rPr>
      </w:pPr>
      <w:r>
        <w:t>At the same time, it is critical that employer-facing staff check in with frontline staff who regularly engage with individual people with disability, to ensure alignment prior to introducing candidates to employers</w:t>
      </w:r>
      <w:r w:rsidR="005F3C42">
        <w:t xml:space="preserve"> </w:t>
      </w:r>
      <w:r w:rsidR="00A576FD">
        <w:rPr>
          <w:noProof/>
        </w:rPr>
        <w:t>(British Association for Supported Employment, 2024a; Carpenter &amp; Daly, 2019; Khodakarami et al., 2025)</w:t>
      </w:r>
      <w:r>
        <w:t>.</w:t>
      </w:r>
    </w:p>
    <w:p w14:paraId="278F964D" w14:textId="7DCF1E78" w:rsidR="00EA6594" w:rsidRPr="006F0092" w:rsidRDefault="00EA6594" w:rsidP="009F3CE2">
      <w:r>
        <w:t>Resources in the form of t</w:t>
      </w:r>
      <w:r w:rsidRPr="006F0092">
        <w:t xml:space="preserve">ime </w:t>
      </w:r>
      <w:r>
        <w:t>are</w:t>
      </w:r>
      <w:r w:rsidRPr="006F0092">
        <w:t xml:space="preserve"> essential for developing trust with employers. Relationship-building typically involves regular contact, including meetings, follow-up conversations, and ongoing communication</w:t>
      </w:r>
      <w:r w:rsidR="00235C7B">
        <w:rPr>
          <w:color w:val="000000"/>
        </w:rPr>
        <w:t xml:space="preserve"> </w:t>
      </w:r>
      <w:r w:rsidR="00A576FD">
        <w:rPr>
          <w:noProof/>
          <w:color w:val="000000"/>
        </w:rPr>
        <w:t>(Dall et al., 2023; European Commission, 2014; Hyggen &amp; Vedeler, 2021)</w:t>
      </w:r>
      <w:r w:rsidRPr="006F0092">
        <w:t>. Organisations therefore need to allow sufficient time for this work alongside other responsibilities.</w:t>
      </w:r>
      <w:r>
        <w:t xml:space="preserve"> </w:t>
      </w:r>
      <w:r w:rsidRPr="7D77CE72">
        <w:t>Resourcing</w:t>
      </w:r>
      <w:r>
        <w:t xml:space="preserve"> employer-facing staff time</w:t>
      </w:r>
      <w:r w:rsidRPr="7D77CE72">
        <w:t xml:space="preserve"> is particularly important after a person has commenced employment. Ongoing post-placement support</w:t>
      </w:r>
      <w:r w:rsidR="0055193B">
        <w:t xml:space="preserve"> – </w:t>
      </w:r>
      <w:r w:rsidRPr="7D77CE72">
        <w:t>such as checking in with employers, addressing workplace issues, and supporting a</w:t>
      </w:r>
      <w:r>
        <w:t>djustments</w:t>
      </w:r>
      <w:r w:rsidR="0055193B">
        <w:t xml:space="preserve"> – </w:t>
      </w:r>
      <w:r w:rsidRPr="7D77CE72">
        <w:t>plays a key role in sustaining employment.</w:t>
      </w:r>
      <w:r>
        <w:t xml:space="preserve"> Whether this is undertaken by employer-facing staff or employment advisors is dependent upon provider organisations’ structures.</w:t>
      </w:r>
    </w:p>
    <w:p w14:paraId="4A85CBEF" w14:textId="3436889F" w:rsidR="00EA6594" w:rsidRPr="006F0092" w:rsidRDefault="00EA6594" w:rsidP="009F3CE2">
      <w:r w:rsidRPr="006F0092">
        <w:t>Caseload size can influence how effectively this work is carried out</w:t>
      </w:r>
      <w:r w:rsidR="00D00FAA">
        <w:rPr>
          <w:color w:val="000000"/>
        </w:rPr>
        <w:t xml:space="preserve"> </w:t>
      </w:r>
      <w:r w:rsidR="00A576FD">
        <w:rPr>
          <w:noProof/>
          <w:color w:val="000000"/>
        </w:rPr>
        <w:t>(Department of Employment and Workplace Relations, 2023; Etherington &amp; Jones, 2023; McDonnall, 2017)</w:t>
      </w:r>
      <w:r w:rsidRPr="006F0092">
        <w:t xml:space="preserve">. Where staff manage very large caseloads, their ability to engage deeply with employers or </w:t>
      </w:r>
      <w:r>
        <w:t xml:space="preserve">to </w:t>
      </w:r>
      <w:r w:rsidRPr="006F0092">
        <w:t xml:space="preserve">provide consistent follow-up may be </w:t>
      </w:r>
      <w:r w:rsidRPr="006F0092">
        <w:lastRenderedPageBreak/>
        <w:t xml:space="preserve">limited. More manageable caseloads </w:t>
      </w:r>
      <w:r>
        <w:t xml:space="preserve">are those that </w:t>
      </w:r>
      <w:r w:rsidRPr="006F0092">
        <w:t>allow staff to maintain regular contact and provide more intensive support when needed.</w:t>
      </w:r>
    </w:p>
    <w:p w14:paraId="09ED6000" w14:textId="3A701CE1" w:rsidR="00EA6594" w:rsidRDefault="00EA6594" w:rsidP="009F3CE2">
      <w:r w:rsidRPr="7D77CE72">
        <w:t>Finally, funding arrangements and organisational priorities shape the level of engagement that is possible</w:t>
      </w:r>
      <w:r w:rsidR="007C6538">
        <w:t xml:space="preserve"> </w:t>
      </w:r>
      <w:r w:rsidR="00A576FD">
        <w:rPr>
          <w:noProof/>
        </w:rPr>
        <w:t>(Daguerre et al., 2025; Social Ventures Australia, 2024b; Wiggan &amp; Knuth, 2023)</w:t>
      </w:r>
      <w:r w:rsidRPr="7D77CE72">
        <w:t>. When resources and funding align with relationship-based approaches, both providers and employers are better able to sustain the practices that support inclusive hiring and long-term employment outcomes.</w:t>
      </w:r>
    </w:p>
    <w:tbl>
      <w:tblPr>
        <w:tblStyle w:val="CIETable"/>
        <w:tblW w:w="0" w:type="auto"/>
        <w:tblLook w:val="04A0" w:firstRow="1" w:lastRow="0" w:firstColumn="1" w:lastColumn="0" w:noHBand="0" w:noVBand="1"/>
      </w:tblPr>
      <w:tblGrid>
        <w:gridCol w:w="9628"/>
      </w:tblGrid>
      <w:tr w:rsidR="00037AD4" w14:paraId="5370C8CB" w14:textId="77777777" w:rsidTr="00C648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6C8F605D" w14:textId="5A06BB0A" w:rsidR="00037AD4" w:rsidRPr="00940D29" w:rsidRDefault="00037AD4" w:rsidP="00C64814">
            <w:pPr>
              <w:pStyle w:val="TableHeading"/>
              <w:rPr>
                <w:color w:val="000000"/>
              </w:rPr>
            </w:pPr>
            <w:r>
              <w:t>What</w:t>
            </w:r>
            <w:r w:rsidRPr="0040162A">
              <w:t xml:space="preserve"> providers</w:t>
            </w:r>
            <w:r>
              <w:t xml:space="preserve"> can do</w:t>
            </w:r>
            <w:r w:rsidRPr="0040162A">
              <w:t>:</w:t>
            </w:r>
            <w:r w:rsidRPr="009416D7">
              <w:t xml:space="preserve"> </w:t>
            </w:r>
          </w:p>
        </w:tc>
      </w:tr>
      <w:tr w:rsidR="00037AD4" w14:paraId="6753CDE2" w14:textId="77777777" w:rsidTr="00C648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00365AC" w14:textId="77777777" w:rsidR="00037AD4" w:rsidRDefault="00C21776" w:rsidP="00C21776">
            <w:pPr>
              <w:pStyle w:val="TableText"/>
              <w:rPr>
                <w:b w:val="0"/>
              </w:rPr>
            </w:pPr>
            <w:r w:rsidRPr="00C21776">
              <w:t>Make sure staff have the time and capacity to build real relationships by:</w:t>
            </w:r>
          </w:p>
          <w:p w14:paraId="29887969" w14:textId="7C71BE52" w:rsidR="00C21776" w:rsidRPr="005B1DE5" w:rsidRDefault="00C21776" w:rsidP="005B1DE5">
            <w:pPr>
              <w:pStyle w:val="TableBullet"/>
            </w:pPr>
            <w:r w:rsidRPr="005B1DE5">
              <w:t>Keeping an eye on caseloads and protecting enough time for outreach, follow-up, and post-placement support.</w:t>
            </w:r>
          </w:p>
          <w:p w14:paraId="73A67B78" w14:textId="6A31C18C" w:rsidR="00C21776" w:rsidRPr="005B1DE5" w:rsidRDefault="00C21776" w:rsidP="005B1DE5">
            <w:pPr>
              <w:pStyle w:val="TableBullet"/>
            </w:pPr>
            <w:r w:rsidRPr="005B1DE5">
              <w:t>Making the case for dedicated employer-facing roles or team-based models that allow for depth and continuity – not just transactional contact.</w:t>
            </w:r>
          </w:p>
          <w:p w14:paraId="54DBB1FD" w14:textId="11DB003D" w:rsidR="00C21776" w:rsidRDefault="00C21776" w:rsidP="00B977AE">
            <w:pPr>
              <w:pStyle w:val="TableText"/>
            </w:pPr>
            <w:r>
              <w:t>Make post-placement support a usual part of how the team operates by:</w:t>
            </w:r>
          </w:p>
          <w:p w14:paraId="0B481972" w14:textId="19A4D89D" w:rsidR="00C21776" w:rsidRPr="005B1DE5" w:rsidRDefault="00C21776" w:rsidP="005B1DE5">
            <w:pPr>
              <w:pStyle w:val="TableBullet"/>
            </w:pPr>
            <w:r w:rsidRPr="005B1DE5">
              <w:t>Building scheduled follow-up and quick-response practices into team plans and expectations – not leaving them to individual discretion.</w:t>
            </w:r>
          </w:p>
          <w:p w14:paraId="6804D86B" w14:textId="6416B834" w:rsidR="00C21776" w:rsidRDefault="00C21776" w:rsidP="00B977AE">
            <w:pPr>
              <w:pStyle w:val="TableText"/>
            </w:pPr>
            <w:r>
              <w:t>Make sure organisational priorities and resources reflect a relationship-based approach by:</w:t>
            </w:r>
          </w:p>
          <w:p w14:paraId="4BBE05BE" w14:textId="77777777" w:rsidR="00C21776" w:rsidRPr="005B1DE5" w:rsidRDefault="00C21776" w:rsidP="005B1DE5">
            <w:pPr>
              <w:pStyle w:val="TableBullet"/>
            </w:pPr>
            <w:r w:rsidRPr="005B1DE5">
              <w:t>Balancing the pressure to place people with the time needed to do it well.</w:t>
            </w:r>
          </w:p>
          <w:p w14:paraId="28D3FB13" w14:textId="7AA0E9B1" w:rsidR="00B977AE" w:rsidRPr="005B1DE5" w:rsidRDefault="00980AC6" w:rsidP="005B1DE5">
            <w:pPr>
              <w:pStyle w:val="TableBullet"/>
            </w:pPr>
            <w:r w:rsidRPr="005B1DE5">
              <w:t>Using shared systems – such as employer notes or insight databases – so that when staff change, the relationship with the employer does not have to start from scratch.</w:t>
            </w:r>
          </w:p>
        </w:tc>
      </w:tr>
    </w:tbl>
    <w:p w14:paraId="51F60676" w14:textId="77777777" w:rsidR="00EA6594" w:rsidRDefault="00EA6594" w:rsidP="0056764F">
      <w:pPr>
        <w:pStyle w:val="Heading2"/>
      </w:pPr>
      <w:bookmarkStart w:id="93" w:name="_Toc223984060"/>
      <w:bookmarkStart w:id="94" w:name="_Toc226902134"/>
      <w:bookmarkStart w:id="95" w:name="_Toc232075457"/>
      <w:r>
        <w:t xml:space="preserve">Factor 2. </w:t>
      </w:r>
      <w:r w:rsidRPr="00726D9F">
        <w:t>Relationship maturity and co-production</w:t>
      </w:r>
      <w:bookmarkEnd w:id="93"/>
      <w:bookmarkEnd w:id="94"/>
      <w:bookmarkEnd w:id="95"/>
    </w:p>
    <w:p w14:paraId="6662B355" w14:textId="1D28091E" w:rsidR="00EA6594" w:rsidRPr="0094404D" w:rsidRDefault="00EA6594" w:rsidP="009F3CE2">
      <w:pPr>
        <w:rPr>
          <w:color w:val="000000"/>
        </w:rPr>
      </w:pPr>
      <w:r w:rsidRPr="06E460AF">
        <w:t>Employer engagement often develops over time, moving through different stages of relationship maturity</w:t>
      </w:r>
      <w:r w:rsidR="006D2776">
        <w:t xml:space="preserve"> </w:t>
      </w:r>
      <w:r w:rsidR="00A576FD">
        <w:rPr>
          <w:noProof/>
        </w:rPr>
        <w:t>(Bredgaard et al., 2023; Department of Employment and Workplace Relations, 2023; Van Berkel, 2021)</w:t>
      </w:r>
      <w:r w:rsidRPr="06E460AF">
        <w:t>. Early interactions may begin with initial contact or outreach to employers, but over time these relationships can deepen into more collaborative partnerships. The stage of the relationship influences the type of engagement that is possible and the extent to which inclusive employment practices can be developed and sustained.</w:t>
      </w:r>
    </w:p>
    <w:p w14:paraId="7386B53E" w14:textId="7E285A39" w:rsidR="00EA6594" w:rsidRPr="0094404D" w:rsidRDefault="00EA6594" w:rsidP="009F3CE2">
      <w:pPr>
        <w:rPr>
          <w:color w:val="000000"/>
        </w:rPr>
      </w:pPr>
      <w:r w:rsidRPr="6391F96B">
        <w:t>Initial engagement commonly involves outreach activities such as introductions through existing networks or direct contact with employers</w:t>
      </w:r>
      <w:r w:rsidR="0085474F">
        <w:t xml:space="preserve"> </w:t>
      </w:r>
      <w:r w:rsidR="00A576FD">
        <w:rPr>
          <w:noProof/>
        </w:rPr>
        <w:t xml:space="preserve">(McGurk &amp; Olaleye, </w:t>
      </w:r>
      <w:r w:rsidR="00A576FD">
        <w:rPr>
          <w:noProof/>
        </w:rPr>
        <w:lastRenderedPageBreak/>
        <w:t>2023; Valizade et al., 2023; Wyckoff &amp; Clymer, 2005)</w:t>
      </w:r>
      <w:r w:rsidRPr="6391F96B">
        <w:t>. Warm introductions through trusted networks or partners often help to establish early credibility and open the door to further collaboration. At this stage, engagement can predominantly focus on understanding employer needs and introducing available and relevant supports.</w:t>
      </w:r>
    </w:p>
    <w:p w14:paraId="11E404E9" w14:textId="6C744162" w:rsidR="00EA6594" w:rsidRPr="0094404D" w:rsidRDefault="00EA6594" w:rsidP="009F3CE2">
      <w:pPr>
        <w:rPr>
          <w:color w:val="000000"/>
        </w:rPr>
      </w:pPr>
      <w:r w:rsidRPr="6391F96B">
        <w:t>As relationships develop, trust-building becomes increasingly important. Regular communication, responsiveness, and consistent follow-up help to strengthen relationships and build confidence among employers</w:t>
      </w:r>
      <w:r w:rsidR="004569BC">
        <w:t xml:space="preserve"> </w:t>
      </w:r>
      <w:r w:rsidR="00A576FD">
        <w:rPr>
          <w:noProof/>
        </w:rPr>
        <w:t>(Hamilton, 2023; Muenchberger et al., 2006; Social Mobility Commission, 2020)</w:t>
      </w:r>
      <w:r w:rsidRPr="6391F96B">
        <w:t>. This ongoing engagement creates opportunities to move beyond simple job matching toward more collaborative approaches.</w:t>
      </w:r>
    </w:p>
    <w:p w14:paraId="739D1C02" w14:textId="1243F852" w:rsidR="00EA6594" w:rsidRDefault="00EA6594" w:rsidP="009F3CE2">
      <w:r w:rsidRPr="6391F96B">
        <w:t>In more mature relationships, employers may become active partners in designing inclusive employment practices</w:t>
      </w:r>
      <w:r w:rsidR="00AD4E7D">
        <w:t xml:space="preserve"> </w:t>
      </w:r>
      <w:r w:rsidR="00A576FD">
        <w:rPr>
          <w:noProof/>
        </w:rPr>
        <w:t>(Borghouts &amp; Freese, 2023; Che &amp; Liu, 2017; Scott, 2017)</w:t>
      </w:r>
      <w:r w:rsidRPr="6391F96B">
        <w:t xml:space="preserve">. This can include co-designing roles, </w:t>
      </w:r>
      <w:proofErr w:type="gramStart"/>
      <w:r w:rsidRPr="6391F96B">
        <w:t>adapting</w:t>
      </w:r>
      <w:proofErr w:type="gramEnd"/>
      <w:r w:rsidRPr="6391F96B">
        <w:t xml:space="preserve"> recruitment processes, or working together to address workplace challenges and solve shared problems.</w:t>
      </w:r>
    </w:p>
    <w:p w14:paraId="6D486FDC" w14:textId="2AAE8789" w:rsidR="00EA6594" w:rsidRPr="0094404D" w:rsidRDefault="00EA6594" w:rsidP="009F3CE2">
      <w:pPr>
        <w:rPr>
          <w:color w:val="000000"/>
        </w:rPr>
      </w:pPr>
      <w:r w:rsidRPr="63C61997">
        <w:t>In some cases, employers who developed successful inclusive practices also act as champions or peer influencers</w:t>
      </w:r>
      <w:r w:rsidR="0015745D">
        <w:t xml:space="preserve"> </w:t>
      </w:r>
      <w:r w:rsidR="00A576FD">
        <w:rPr>
          <w:noProof/>
        </w:rPr>
        <w:t>(Reindrawati et al., 2025; Scott-Parker OBE, 2016; Wiggan &amp; Knuth, 2023)</w:t>
      </w:r>
      <w:r w:rsidRPr="63C61997">
        <w:t>. They may share their experiences with other businesses, promote inclusive hiring within their networks, or collaborate with service providers to improve employment pathways.</w:t>
      </w:r>
    </w:p>
    <w:p w14:paraId="4FBE8FF8" w14:textId="0BCAF272" w:rsidR="00EA6594" w:rsidRDefault="00EA6594" w:rsidP="009F3CE2">
      <w:r w:rsidRPr="63C61997">
        <w:t>Overall, the evidence suggests that deeper and more collaborative relationships with employers create greater opportunities for sustainable employment outcomes</w:t>
      </w:r>
      <w:r w:rsidR="004A3E40">
        <w:t xml:space="preserve"> </w:t>
      </w:r>
      <w:r w:rsidR="00A576FD">
        <w:rPr>
          <w:noProof/>
        </w:rPr>
        <w:t>(Hanson &amp; Moore, 2023; Social Ventures Australia, 2024b; Ulstein, 2025)</w:t>
      </w:r>
      <w:r w:rsidRPr="63C61997">
        <w:t>. As relationships move from transactional interactions toward partnership and co-production</w:t>
      </w:r>
      <w:r>
        <w:t xml:space="preserve"> with employers, the latter </w:t>
      </w:r>
      <w:r w:rsidRPr="63C61997">
        <w:t>are more likely to play an active role in developing and sustaining inclusive employment practices.</w:t>
      </w:r>
      <w:r w:rsidR="00F901FE">
        <w:br w:type="page"/>
      </w:r>
    </w:p>
    <w:tbl>
      <w:tblPr>
        <w:tblStyle w:val="CIETable"/>
        <w:tblW w:w="0" w:type="auto"/>
        <w:tblLook w:val="04A0" w:firstRow="1" w:lastRow="0" w:firstColumn="1" w:lastColumn="0" w:noHBand="0" w:noVBand="1"/>
      </w:tblPr>
      <w:tblGrid>
        <w:gridCol w:w="9628"/>
      </w:tblGrid>
      <w:tr w:rsidR="00AD64CC" w14:paraId="507DE284" w14:textId="77777777" w:rsidTr="00AD64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6F42D62" w14:textId="4E639A5B" w:rsidR="00AD64CC" w:rsidRDefault="00AD64CC" w:rsidP="00AD64CC">
            <w:pPr>
              <w:pStyle w:val="TableHeading"/>
            </w:pPr>
            <w:r>
              <w:lastRenderedPageBreak/>
              <w:t>What providers can do:</w:t>
            </w:r>
          </w:p>
        </w:tc>
      </w:tr>
      <w:tr w:rsidR="00AD64CC" w14:paraId="11E0A6CA" w14:textId="77777777" w:rsidTr="00AD6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2C58C88" w14:textId="77777777" w:rsidR="00A35CCA" w:rsidRDefault="00A35CCA" w:rsidP="00A35CCA">
            <w:r>
              <w:t>Adjust how you engage based on where you are in the relationship by:</w:t>
            </w:r>
          </w:p>
          <w:p w14:paraId="2FAD275B" w14:textId="77777777" w:rsidR="00A35CCA" w:rsidRPr="005B1DE5" w:rsidRDefault="00A35CCA" w:rsidP="005B1DE5">
            <w:pPr>
              <w:pStyle w:val="TableBullet"/>
            </w:pPr>
            <w:r w:rsidRPr="005B1DE5">
              <w:t>Starting with light-touch outreach for new employers and gradually working more closely together as trust builds.</w:t>
            </w:r>
          </w:p>
          <w:p w14:paraId="20CBA1C1" w14:textId="77777777" w:rsidR="00A35CCA" w:rsidRDefault="00A35CCA" w:rsidP="00A35CCA">
            <w:r>
              <w:t>Build trust deliberately and consistently by:</w:t>
            </w:r>
          </w:p>
          <w:p w14:paraId="3F093ED5" w14:textId="77777777" w:rsidR="00A35CCA" w:rsidRPr="005B1DE5" w:rsidRDefault="00A35CCA" w:rsidP="005B1DE5">
            <w:pPr>
              <w:pStyle w:val="TableBullet"/>
            </w:pPr>
            <w:r w:rsidRPr="005B1DE5">
              <w:t>Staying reliable and responsive – employers who trust you are far more likely to take on more ambitious inclusive practices over time.</w:t>
            </w:r>
          </w:p>
          <w:p w14:paraId="60BC436C" w14:textId="77777777" w:rsidR="00A35CCA" w:rsidRDefault="00A35CCA" w:rsidP="00A35CCA">
            <w:r>
              <w:t>Bring experienced employers into the design process by:</w:t>
            </w:r>
          </w:p>
          <w:p w14:paraId="31738277" w14:textId="77777777" w:rsidR="00A35CCA" w:rsidRPr="005B1DE5" w:rsidRDefault="00A35CCA" w:rsidP="005B1DE5">
            <w:pPr>
              <w:pStyle w:val="TableBullet"/>
            </w:pPr>
            <w:r w:rsidRPr="005B1DE5">
              <w:t>Involving them in shaping roles, adjustments, and how they recruit once the relationship is strong enough to have those conversations.</w:t>
            </w:r>
          </w:p>
          <w:p w14:paraId="3760EF37" w14:textId="77777777" w:rsidR="00A35CCA" w:rsidRDefault="00A35CCA" w:rsidP="00A35CCA">
            <w:r>
              <w:t>Use your most engaged employers to influence others by:</w:t>
            </w:r>
          </w:p>
          <w:p w14:paraId="1CC5DE9C" w14:textId="77777777" w:rsidR="00A35CCA" w:rsidRPr="005B1DE5" w:rsidRDefault="00A35CCA" w:rsidP="005B1DE5">
            <w:pPr>
              <w:pStyle w:val="TableBullet"/>
            </w:pPr>
            <w:r w:rsidRPr="005B1DE5">
              <w:t>Encouraging them to act as champions, mentors, or peer educators in their own networks – employer-to-employer influence is often more persuasive than provider-to-employer.</w:t>
            </w:r>
          </w:p>
          <w:p w14:paraId="6DF9C10A" w14:textId="77777777" w:rsidR="00A35CCA" w:rsidRDefault="00A35CCA" w:rsidP="00A35CCA">
            <w:r>
              <w:t>Make sure relationship knowledge survives staff changes by:</w:t>
            </w:r>
          </w:p>
          <w:p w14:paraId="0867D19A" w14:textId="216F8995" w:rsidR="00AD64CC" w:rsidRPr="005B1DE5" w:rsidRDefault="00A35CCA" w:rsidP="005B1DE5">
            <w:pPr>
              <w:pStyle w:val="TableBullet"/>
            </w:pPr>
            <w:r w:rsidRPr="005B1DE5">
              <w:t>Documenting engagement history and key insights so a new staff member can pick up where someone left off without the employer feeling like they are starting over.</w:t>
            </w:r>
          </w:p>
        </w:tc>
      </w:tr>
    </w:tbl>
    <w:p w14:paraId="38D5D4A0" w14:textId="77777777" w:rsidR="00EA6594" w:rsidRDefault="00EA6594" w:rsidP="002726FA">
      <w:pPr>
        <w:pStyle w:val="Heading2"/>
      </w:pPr>
      <w:bookmarkStart w:id="96" w:name="_Toc223984061"/>
      <w:bookmarkStart w:id="97" w:name="_Toc226902135"/>
      <w:bookmarkStart w:id="98" w:name="_Toc232075458"/>
      <w:r>
        <w:t>Factor 3. System alignment and scaling of employer engagement activities</w:t>
      </w:r>
      <w:bookmarkEnd w:id="96"/>
      <w:bookmarkEnd w:id="97"/>
      <w:bookmarkEnd w:id="98"/>
    </w:p>
    <w:p w14:paraId="7E4AC873" w14:textId="27D464A8" w:rsidR="00EA6594" w:rsidRPr="00085EBB" w:rsidRDefault="00EA6594" w:rsidP="009F3CE2">
      <w:pPr>
        <w:rPr>
          <w:color w:val="000000"/>
        </w:rPr>
      </w:pPr>
      <w:r w:rsidRPr="599B8321">
        <w:t xml:space="preserve">Employer engagement does not occur in isolation </w:t>
      </w:r>
      <w:r>
        <w:t>and</w:t>
      </w:r>
      <w:r w:rsidRPr="599B8321">
        <w:t xml:space="preserve"> is either constrained or enabled by wider systems and structures</w:t>
      </w:r>
      <w:r w:rsidR="00535EF5">
        <w:t xml:space="preserve"> </w:t>
      </w:r>
      <w:r w:rsidR="00A576FD">
        <w:rPr>
          <w:noProof/>
        </w:rPr>
        <w:t>(Bosman et al., 2025; Daguerre et al., 2025)</w:t>
      </w:r>
      <w:r w:rsidRPr="599B8321">
        <w:t xml:space="preserve">. Practices at the organisational level are influenced by factors at the macro, </w:t>
      </w:r>
      <w:proofErr w:type="spellStart"/>
      <w:r w:rsidRPr="599B8321">
        <w:t>meso</w:t>
      </w:r>
      <w:proofErr w:type="spellEnd"/>
      <w:r w:rsidRPr="599B8321">
        <w:t xml:space="preserve"> and micro levels</w:t>
      </w:r>
      <w:r w:rsidR="0055193B">
        <w:t xml:space="preserve"> – </w:t>
      </w:r>
      <w:r w:rsidRPr="599B8321">
        <w:t>policy settings, regional and local labour market conditions, and coordination between agencies. These broader factors affect whether employer engagement can be sustained and expanded over time.</w:t>
      </w:r>
    </w:p>
    <w:p w14:paraId="15F8EB2D" w14:textId="3FE46CE3" w:rsidR="00EA6594" w:rsidRPr="00085EBB" w:rsidRDefault="00EA6594" w:rsidP="009F3CE2">
      <w:pPr>
        <w:rPr>
          <w:color w:val="000000"/>
        </w:rPr>
      </w:pPr>
      <w:r w:rsidRPr="42148D03">
        <w:t>Policy and strategic alignment play an important role in supporting inclusive employment</w:t>
      </w:r>
      <w:r w:rsidR="00E64807">
        <w:t xml:space="preserve"> </w:t>
      </w:r>
      <w:r w:rsidR="00A576FD">
        <w:rPr>
          <w:noProof/>
        </w:rPr>
        <w:t>(Choudhury Kaul et al., 2022; Ingold, 2024)</w:t>
      </w:r>
      <w:r w:rsidRPr="42148D03">
        <w:t xml:space="preserve">. When government policies, funding arrangements, and performance frameworks prioritise genuine disability inclusion, service providers are better positioned to invest in employer engagement and support long-term employment outcomes. Public </w:t>
      </w:r>
      <w:r w:rsidRPr="42148D03">
        <w:lastRenderedPageBreak/>
        <w:t>sector leadership and targets can also signal the importance of inclusive hiring and encourage wider adoption across sectors and industries.</w:t>
      </w:r>
    </w:p>
    <w:p w14:paraId="0962D985" w14:textId="668566FE" w:rsidR="00EA6594" w:rsidRPr="00085EBB" w:rsidRDefault="00EA6594" w:rsidP="009F3CE2">
      <w:pPr>
        <w:rPr>
          <w:color w:val="000000"/>
        </w:rPr>
      </w:pPr>
      <w:r w:rsidRPr="42148D03">
        <w:t>Regional networks and local partnerships are another key factor</w:t>
      </w:r>
      <w:r w:rsidR="0045533B">
        <w:t xml:space="preserve"> </w:t>
      </w:r>
      <w:r w:rsidR="00A576FD">
        <w:rPr>
          <w:noProof/>
        </w:rPr>
        <w:t>(Baker et al., 2023; Komesaroff et al., 2025; Raynor et al., 2018)</w:t>
      </w:r>
      <w:r w:rsidRPr="42148D03">
        <w:t>. Collaboration between employment service providers, employers, community organisations, and government agencies can strengthen local employment pathways. Regional employer networks, in particular, can create opportunities to share knowledge, identify workforce needs, and connect people with disability with available opportunities.</w:t>
      </w:r>
    </w:p>
    <w:p w14:paraId="303F7153" w14:textId="41E105F5" w:rsidR="00EA6594" w:rsidRPr="00085EBB" w:rsidRDefault="00EA6594" w:rsidP="009F3CE2">
      <w:pPr>
        <w:rPr>
          <w:color w:val="000000"/>
        </w:rPr>
      </w:pPr>
      <w:r w:rsidRPr="7158E1AA">
        <w:t>Coordination across agencies and organisations can further support effective engagement. Where different services and programs work together, employers are more likely to receive consistent information and support</w:t>
      </w:r>
      <w:r w:rsidR="003E5888">
        <w:t xml:space="preserve"> </w:t>
      </w:r>
      <w:r w:rsidR="00A576FD">
        <w:rPr>
          <w:noProof/>
        </w:rPr>
        <w:t>(European Commission, 2014; Frøyland &amp; Nordberg, 2025; Wiggan &amp; Knuth, 2023)</w:t>
      </w:r>
      <w:r w:rsidRPr="7158E1AA">
        <w:t xml:space="preserve">. </w:t>
      </w:r>
      <w:r>
        <w:t>C</w:t>
      </w:r>
      <w:r w:rsidRPr="7158E1AA">
        <w:t xml:space="preserve">ollaboration </w:t>
      </w:r>
      <w:r>
        <w:t xml:space="preserve">(‘co-opetition’, as with the </w:t>
      </w:r>
      <w:proofErr w:type="spellStart"/>
      <w:r>
        <w:t>ReAct</w:t>
      </w:r>
      <w:proofErr w:type="spellEnd"/>
      <w:r>
        <w:t xml:space="preserve"> Partnership in the UK) </w:t>
      </w:r>
      <w:r w:rsidRPr="7158E1AA">
        <w:t>can also help to align resources and reduce duplication.</w:t>
      </w:r>
    </w:p>
    <w:p w14:paraId="0CEB44DD" w14:textId="0D47DDBE" w:rsidR="00EA6594" w:rsidRPr="00085EBB" w:rsidRDefault="00EA6594" w:rsidP="009F3CE2">
      <w:pPr>
        <w:rPr>
          <w:color w:val="000000"/>
        </w:rPr>
      </w:pPr>
      <w:r w:rsidRPr="00085EBB">
        <w:t>Local labour market conditions also influence what is possible</w:t>
      </w:r>
      <w:r w:rsidR="00D3510D">
        <w:t xml:space="preserve"> </w:t>
      </w:r>
      <w:r w:rsidR="00A576FD">
        <w:rPr>
          <w:noProof/>
        </w:rPr>
        <w:t>(Etherington &amp; Jones, 2023; Ulstein, 2025)</w:t>
      </w:r>
      <w:r w:rsidRPr="00085EBB">
        <w:t>. The availability of jobs, industry demand, and regional economic conditions can shape both employer engagement strategies and employment outcomes.</w:t>
      </w:r>
    </w:p>
    <w:p w14:paraId="33C3887E" w14:textId="3F3E10F2" w:rsidR="00EA6594" w:rsidRDefault="00EA6594" w:rsidP="009F3CE2">
      <w:r w:rsidRPr="15655A78">
        <w:t>Overall, the evidence suggests that effective employer engagement depends not only on organisational practices but also on alignment across the broader system</w:t>
      </w:r>
      <w:r w:rsidR="00E91D22">
        <w:t xml:space="preserve"> </w:t>
      </w:r>
      <w:r w:rsidR="00A576FD">
        <w:rPr>
          <w:noProof/>
        </w:rPr>
        <w:t>(Dall et al., 2023; Hyggen &amp; Vedeler, 2021)</w:t>
      </w:r>
      <w:r w:rsidRPr="15655A78">
        <w:t>. When policies, funding, networks, and local labour market conditions support inclusive employment, organisations are better able to sustain and scale their engagement with employers.</w:t>
      </w:r>
      <w:r w:rsidR="00F901FE">
        <w:br w:type="page"/>
      </w:r>
    </w:p>
    <w:tbl>
      <w:tblPr>
        <w:tblStyle w:val="CIETable"/>
        <w:tblW w:w="0" w:type="auto"/>
        <w:tblLook w:val="04A0" w:firstRow="1" w:lastRow="0" w:firstColumn="1" w:lastColumn="0" w:noHBand="0" w:noVBand="1"/>
      </w:tblPr>
      <w:tblGrid>
        <w:gridCol w:w="9628"/>
      </w:tblGrid>
      <w:tr w:rsidR="00CC29D0" w14:paraId="56AFC7D9" w14:textId="77777777" w:rsidTr="00CC29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5D85133" w14:textId="45F2D754" w:rsidR="00CC29D0" w:rsidRDefault="00CC29D0" w:rsidP="00CC29D0">
            <w:pPr>
              <w:pStyle w:val="TableHeading"/>
            </w:pPr>
            <w:r w:rsidRPr="00CC29D0">
              <w:lastRenderedPageBreak/>
              <w:t>What providers can do:</w:t>
            </w:r>
          </w:p>
        </w:tc>
      </w:tr>
      <w:tr w:rsidR="00CC29D0" w14:paraId="097AAF82" w14:textId="77777777" w:rsidTr="00CC2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26DD774" w14:textId="723DDA41" w:rsidR="00CC29D0" w:rsidRDefault="00CC29D0" w:rsidP="00CC29D0">
            <w:r>
              <w:t>Make sure your employer engagement approach fits within the broader policy and funding environment by:</w:t>
            </w:r>
          </w:p>
          <w:p w14:paraId="3AEF53E9" w14:textId="49EADB36" w:rsidR="00CC29D0" w:rsidRPr="005B1DE5" w:rsidRDefault="00CC29D0" w:rsidP="005B1DE5">
            <w:pPr>
              <w:pStyle w:val="TableBullet"/>
            </w:pPr>
            <w:r w:rsidRPr="005B1DE5">
              <w:t>Checking that what you are doing aligns with national and state inclusion priorities – and adjust where it does not.</w:t>
            </w:r>
          </w:p>
          <w:p w14:paraId="0A72D229" w14:textId="00F23C00" w:rsidR="00CC29D0" w:rsidRDefault="00CC29D0" w:rsidP="00CC29D0">
            <w:r>
              <w:t>Play an active role in regional and cross-agency networks by:</w:t>
            </w:r>
          </w:p>
          <w:p w14:paraId="71F5316E" w14:textId="67F48FE2" w:rsidR="00CC29D0" w:rsidRPr="005B1DE5" w:rsidRDefault="00CC29D0" w:rsidP="005B1DE5">
            <w:pPr>
              <w:pStyle w:val="TableBullet"/>
            </w:pPr>
            <w:r w:rsidRPr="005B1DE5">
              <w:t>Sharing what you are seeing in the labour market, coordinating outreach with others, and strengthening local pathways into employment.</w:t>
            </w:r>
          </w:p>
          <w:p w14:paraId="66762E30" w14:textId="70E86F7E" w:rsidR="00CC29D0" w:rsidRDefault="00CC29D0" w:rsidP="00CC29D0">
            <w:r>
              <w:t>Make the employer experience simpler by working better across programs by:</w:t>
            </w:r>
          </w:p>
          <w:p w14:paraId="5ED6D08F" w14:textId="200A3354" w:rsidR="00CC29D0" w:rsidRPr="005B1DE5" w:rsidRDefault="00CC29D0" w:rsidP="005B1DE5">
            <w:pPr>
              <w:pStyle w:val="TableBullet"/>
            </w:pPr>
            <w:r w:rsidRPr="005B1DE5">
              <w:t xml:space="preserve">Coordinating across employment programs so that employers get consistent information, are not asked the same questions by multiple providers, and have access to a larger pool of candidates (Mansour et al., 2022). A unique example of this is the </w:t>
            </w:r>
            <w:proofErr w:type="spellStart"/>
            <w:r w:rsidRPr="005B1DE5">
              <w:t>ReAct</w:t>
            </w:r>
            <w:proofErr w:type="spellEnd"/>
            <w:r w:rsidRPr="005B1DE5">
              <w:t xml:space="preserve"> Partnership in the UK. In addition, providers can partner with Job Access and the National Disability Recruitment Coordinator (the Inclusive Employment Australia contract requires providers to engage with these free resources).</w:t>
            </w:r>
          </w:p>
          <w:p w14:paraId="720BF814" w14:textId="563D2B4E" w:rsidR="00CC29D0" w:rsidRDefault="00CC29D0" w:rsidP="00CC29D0">
            <w:r>
              <w:t xml:space="preserve">Adjust your approach to reflect local conditions by: </w:t>
            </w:r>
          </w:p>
          <w:p w14:paraId="50391A51" w14:textId="03B332FF" w:rsidR="00CC29D0" w:rsidRPr="005B1DE5" w:rsidRDefault="00CC29D0" w:rsidP="005B1DE5">
            <w:pPr>
              <w:pStyle w:val="TableBullet"/>
            </w:pPr>
            <w:proofErr w:type="spellStart"/>
            <w:r w:rsidRPr="005B1DE5">
              <w:t>Focussing</w:t>
            </w:r>
            <w:proofErr w:type="spellEnd"/>
            <w:r w:rsidRPr="005B1DE5">
              <w:t xml:space="preserve"> your outreach and job development efforts to what employers in your area actually need – </w:t>
            </w:r>
            <w:proofErr w:type="gramStart"/>
            <w:r w:rsidRPr="005B1DE5">
              <w:t>taking into account</w:t>
            </w:r>
            <w:proofErr w:type="gramEnd"/>
            <w:r w:rsidRPr="005B1DE5">
              <w:t xml:space="preserve"> local industries, workforce demand, and economic conditions.</w:t>
            </w:r>
          </w:p>
          <w:p w14:paraId="39B3636D" w14:textId="28373BE8" w:rsidR="00CC29D0" w:rsidRDefault="00CC29D0" w:rsidP="00CC29D0">
            <w:r>
              <w:t xml:space="preserve">Make use of system-level opportunities to expand inclusion beyond individual placements by: </w:t>
            </w:r>
          </w:p>
          <w:p w14:paraId="3092C41F" w14:textId="6A01F704" w:rsidR="00CC29D0" w:rsidRPr="005B1DE5" w:rsidRDefault="00CC29D0" w:rsidP="005B1DE5">
            <w:pPr>
              <w:pStyle w:val="TableBullet"/>
            </w:pPr>
            <w:r w:rsidRPr="005B1DE5">
              <w:t>Drawing on public sector targets, sector leadership, and pilot initiatives to grow inclusive employment across regions and industries – not just one employer at a time.</w:t>
            </w:r>
          </w:p>
        </w:tc>
      </w:tr>
    </w:tbl>
    <w:p w14:paraId="11AA4562" w14:textId="77777777" w:rsidR="00CC29D0" w:rsidRDefault="00CC29D0" w:rsidP="009F3CE2"/>
    <w:p w14:paraId="121ECBD3" w14:textId="77777777" w:rsidR="00636BBF" w:rsidRDefault="00636BBF" w:rsidP="009F3CE2">
      <w:pPr>
        <w:rPr>
          <w:color w:val="000000"/>
        </w:rPr>
      </w:pPr>
    </w:p>
    <w:p w14:paraId="3E8D50D2" w14:textId="77777777" w:rsidR="00EA6594" w:rsidRDefault="00EA6594" w:rsidP="009F3CE2"/>
    <w:p w14:paraId="27A12B76" w14:textId="77777777" w:rsidR="00EA6594" w:rsidRDefault="00EA6594" w:rsidP="009F3CE2">
      <w:pPr>
        <w:rPr>
          <w:rFonts w:asciiTheme="majorHAnsi" w:eastAsiaTheme="majorEastAsia" w:hAnsiTheme="majorHAnsi" w:cstheme="majorBidi"/>
          <w:color w:val="65328F" w:themeColor="accent1"/>
          <w:sz w:val="40"/>
          <w:szCs w:val="32"/>
        </w:rPr>
      </w:pPr>
      <w:r>
        <w:br w:type="page"/>
      </w:r>
    </w:p>
    <w:p w14:paraId="301566E7" w14:textId="685F35D5" w:rsidR="00EA6594" w:rsidRPr="00B31A9C" w:rsidRDefault="00EA6594" w:rsidP="009F3CE2">
      <w:pPr>
        <w:pStyle w:val="Heading1"/>
      </w:pPr>
      <w:bookmarkStart w:id="99" w:name="_Toc226902136"/>
      <w:bookmarkStart w:id="100" w:name="_Toc232075459"/>
      <w:r>
        <w:lastRenderedPageBreak/>
        <w:t>Discussion</w:t>
      </w:r>
      <w:bookmarkEnd w:id="87"/>
      <w:bookmarkEnd w:id="99"/>
      <w:bookmarkEnd w:id="100"/>
    </w:p>
    <w:p w14:paraId="0946251B" w14:textId="53867BBF" w:rsidR="00EA6594" w:rsidRPr="00726D9F" w:rsidRDefault="00EA6594" w:rsidP="009F3CE2">
      <w:r w:rsidRPr="15655A78">
        <w:t xml:space="preserve">From the evidence synthesis, </w:t>
      </w:r>
      <w:r w:rsidRPr="15655A78">
        <w:rPr>
          <w:b/>
          <w:bCs/>
        </w:rPr>
        <w:t>four overarching implications</w:t>
      </w:r>
      <w:r w:rsidRPr="15655A78">
        <w:t xml:space="preserve"> for employment service providers emerged. These implications translate </w:t>
      </w:r>
      <w:r>
        <w:t xml:space="preserve">themes and </w:t>
      </w:r>
      <w:r w:rsidRPr="15655A78">
        <w:t xml:space="preserve">patterns in the evidence </w:t>
      </w:r>
      <w:r>
        <w:t xml:space="preserve">base </w:t>
      </w:r>
      <w:r w:rsidRPr="15655A78">
        <w:t xml:space="preserve">into structured and actionable insights for practice. They are not prescriptive recommendations but evidence-derived indicators of where providers can intervene to strengthen employer engagement, to improve hiring, and enhance retention outcomes for people with disability. </w:t>
      </w:r>
    </w:p>
    <w:p w14:paraId="458A2E8A" w14:textId="0221EFBE" w:rsidR="00EA6594" w:rsidRPr="00726D9F" w:rsidRDefault="00EA6594" w:rsidP="001D66C4">
      <w:pPr>
        <w:pStyle w:val="Heading2"/>
      </w:pPr>
      <w:bookmarkStart w:id="101" w:name="_Toc223984063"/>
      <w:bookmarkStart w:id="102" w:name="_Toc226902137"/>
      <w:bookmarkStart w:id="103" w:name="_Toc232075460"/>
      <w:r>
        <w:t>Implication 1. Employer-facing diagnosis and segmentation</w:t>
      </w:r>
      <w:bookmarkEnd w:id="101"/>
      <w:bookmarkEnd w:id="102"/>
      <w:bookmarkEnd w:id="103"/>
      <w:r>
        <w:t xml:space="preserve"> </w:t>
      </w:r>
    </w:p>
    <w:p w14:paraId="5D3A58AA" w14:textId="086519FA" w:rsidR="00EA6594" w:rsidRPr="00726D9F" w:rsidRDefault="00EA6594" w:rsidP="00BD2793">
      <w:r w:rsidRPr="15655A78">
        <w:t xml:space="preserve">Employers differ in their readiness, constraints, and priorities; outcomes improve when providers are able to diagnose employer needs up-front and tailor support by industry and size. Rather than treating all employers as a single group, segmenting them by level of readiness, industry context, and organisational size allows for targeted and effective outreach. </w:t>
      </w:r>
    </w:p>
    <w:p w14:paraId="0D8DE387" w14:textId="674B7797" w:rsidR="00EA6594" w:rsidRPr="00726D9F" w:rsidRDefault="00EA6594" w:rsidP="00BD2793">
      <w:r w:rsidRPr="15655A78">
        <w:t xml:space="preserve">Conducting readiness assessments at the outset helps providers to understand individual employer willingness and ability to employ people with disability, while also diagnosing and mapping the specific barriers and levers that may support or hinder employment. </w:t>
      </w:r>
    </w:p>
    <w:p w14:paraId="0BC61B3C" w14:textId="398688CB" w:rsidR="00EA6594" w:rsidRPr="00726D9F" w:rsidRDefault="00EA6594" w:rsidP="00BD2793">
      <w:r w:rsidRPr="15655A78">
        <w:t>Prior to any matching process, providers should also undertake an employer needs assessment</w:t>
      </w:r>
      <w:r w:rsidR="0055193B">
        <w:t xml:space="preserve"> – </w:t>
      </w:r>
      <w:r w:rsidRPr="15655A78">
        <w:t xml:space="preserve">this ensures that candidates are aligned with employer requirements and role expectations and the work environment. Mapping of decision-makers is important in order to identify gatekeepers and champions within the organisation. Employer engagement plans can be tailored accordingly. </w:t>
      </w:r>
    </w:p>
    <w:p w14:paraId="456F7ED7" w14:textId="189E24FC" w:rsidR="00EA6594" w:rsidRDefault="00EA6594" w:rsidP="00BD2793">
      <w:r w:rsidRPr="3EFB1E93">
        <w:t>To support sustainable outcomes, a further two elements are important to ensure that disabled employees’ existing conditions or injuries are not exacerbated</w:t>
      </w:r>
      <w:r w:rsidR="00A55798">
        <w:rPr>
          <w:rFonts w:eastAsiaTheme="majorEastAsia" w:cstheme="majorBidi"/>
        </w:rPr>
        <w:t xml:space="preserve"> </w:t>
      </w:r>
      <w:r w:rsidR="00A576FD">
        <w:rPr>
          <w:rFonts w:eastAsiaTheme="majorEastAsia" w:cstheme="majorBidi"/>
          <w:noProof/>
        </w:rPr>
        <w:t>(European Commission, 2024; Main &amp; Shaw, 2016; Technology., n.d.)</w:t>
      </w:r>
      <w:r w:rsidRPr="3EFB1E93">
        <w:t>. Firstly, providers should work with employers to identify and regularly review workplace risks that may affect employee wellbeing</w:t>
      </w:r>
      <w:r w:rsidR="0055193B">
        <w:t xml:space="preserve"> – </w:t>
      </w:r>
      <w:r w:rsidRPr="3EFB1E93">
        <w:t>such as physically demanding tasks, psychosocial stressors, inaccessible environments, or inflexible work practices. Secondly, providers should ensure that the employees’ adjustment profiles (often called workplace passports) proactively address potential challenges that may arise</w:t>
      </w:r>
      <w:r w:rsidR="00923B0F">
        <w:rPr>
          <w:rFonts w:eastAsiaTheme="majorEastAsia" w:cstheme="majorBidi"/>
        </w:rPr>
        <w:t xml:space="preserve"> </w:t>
      </w:r>
      <w:r w:rsidR="00A576FD">
        <w:rPr>
          <w:rFonts w:eastAsiaTheme="majorEastAsia" w:cstheme="majorBidi"/>
          <w:noProof/>
        </w:rPr>
        <w:t>(Dos Santos et al., 2025; Scott-Parker OBE, 2025)</w:t>
      </w:r>
      <w:r w:rsidRPr="3EFB1E93">
        <w:t xml:space="preserve">. This moves conversations away from medical diagnoses and removes the need for employees to repeatedly state their needs. Such profiles should also </w:t>
      </w:r>
      <w:r w:rsidRPr="3EFB1E93">
        <w:lastRenderedPageBreak/>
        <w:t>capture fluctuations in conditions, or new accommodations if work requirements change.</w:t>
      </w:r>
    </w:p>
    <w:tbl>
      <w:tblPr>
        <w:tblStyle w:val="CIETable"/>
        <w:tblW w:w="0" w:type="auto"/>
        <w:tblLook w:val="04A0" w:firstRow="1" w:lastRow="0" w:firstColumn="1" w:lastColumn="0" w:noHBand="0" w:noVBand="1"/>
      </w:tblPr>
      <w:tblGrid>
        <w:gridCol w:w="9628"/>
      </w:tblGrid>
      <w:tr w:rsidR="009D1BB1" w14:paraId="7A67B5DC" w14:textId="77777777" w:rsidTr="009D1B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F0693FA" w14:textId="6FFC2981" w:rsidR="009D1BB1" w:rsidRDefault="009D1BB1" w:rsidP="009D1BB1">
            <w:pPr>
              <w:pStyle w:val="TableHeading"/>
            </w:pPr>
            <w:r w:rsidRPr="009D1BB1">
              <w:t>Providers can support employers by:</w:t>
            </w:r>
          </w:p>
        </w:tc>
      </w:tr>
      <w:tr w:rsidR="009D1BB1" w14:paraId="01589832" w14:textId="77777777" w:rsidTr="009D1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65790D48" w14:textId="4FC3717F" w:rsidR="009D1BB1" w:rsidRDefault="009D1BB1" w:rsidP="009D1BB1">
            <w:r>
              <w:t>Start with a structured conversation to understand where each employer is at by:</w:t>
            </w:r>
          </w:p>
          <w:p w14:paraId="6FFF6349" w14:textId="6C1BF255" w:rsidR="009D1BB1" w:rsidRPr="005B1DE5" w:rsidRDefault="009D1BB1" w:rsidP="005B1DE5">
            <w:pPr>
              <w:pStyle w:val="TableBullet"/>
            </w:pPr>
            <w:r w:rsidRPr="005B1DE5">
              <w:t>Using simple questions or assessment tools early on to get a clear picture of how ready the employer is, what might get in the way, and what might help.</w:t>
            </w:r>
          </w:p>
          <w:p w14:paraId="3390E972" w14:textId="71A3C43D" w:rsidR="009D1BB1" w:rsidRDefault="009D1BB1" w:rsidP="009D1BB1">
            <w:r>
              <w:t>Group employers by context so you can tailor how you engage with them by:</w:t>
            </w:r>
          </w:p>
          <w:p w14:paraId="595892E7" w14:textId="32AC59A3" w:rsidR="009D1BB1" w:rsidRPr="005B1DE5" w:rsidRDefault="009D1BB1" w:rsidP="005B1DE5">
            <w:pPr>
              <w:pStyle w:val="TableBullet"/>
            </w:pPr>
            <w:r w:rsidRPr="005B1DE5">
              <w:t>Adjusting your approach based on the employer's size, industry, and how far along they are in their inclusion journey – a large employer with an existing DEI strategy needs a different conversation than a small business hiring for the first time.</w:t>
            </w:r>
          </w:p>
          <w:p w14:paraId="3608959D" w14:textId="5742B00B" w:rsidR="009D1BB1" w:rsidRDefault="009D1BB1" w:rsidP="009D1BB1">
            <w:r>
              <w:t>Work out who the right people are to talk to inside the organisation by:</w:t>
            </w:r>
          </w:p>
          <w:p w14:paraId="02607EE2" w14:textId="34687648" w:rsidR="009D1BB1" w:rsidRPr="005B1DE5" w:rsidRDefault="009D1BB1" w:rsidP="005B1DE5">
            <w:pPr>
              <w:pStyle w:val="TableBullet"/>
            </w:pPr>
            <w:r w:rsidRPr="005B1DE5">
              <w:t xml:space="preserve">Identifying who will champion the hire, who needs to sign off, and who might have concerns – so your support and communication </w:t>
            </w:r>
            <w:proofErr w:type="gramStart"/>
            <w:r w:rsidRPr="005B1DE5">
              <w:t>reaches</w:t>
            </w:r>
            <w:proofErr w:type="gramEnd"/>
            <w:r w:rsidRPr="005B1DE5">
              <w:t xml:space="preserve"> the people who can actually make things happen.</w:t>
            </w:r>
          </w:p>
          <w:p w14:paraId="4AF04538" w14:textId="0803AB02" w:rsidR="009D1BB1" w:rsidRDefault="009D1BB1" w:rsidP="009D1BB1">
            <w:r>
              <w:t xml:space="preserve">Use consistent tools to keep information accurate and useful over time by: </w:t>
            </w:r>
          </w:p>
          <w:p w14:paraId="77B8A32B" w14:textId="0FC41444" w:rsidR="009D1BB1" w:rsidRPr="005B1DE5" w:rsidRDefault="009D1BB1" w:rsidP="005B1DE5">
            <w:pPr>
              <w:pStyle w:val="TableBullet"/>
            </w:pPr>
            <w:r w:rsidRPr="005B1DE5">
              <w:t>Keeping clear, up-to-date profiles for each candidate – what adjustments they need, any relevant risk considerations – so this information can be used reliably at matching, onboarding, and beyond.</w:t>
            </w:r>
          </w:p>
        </w:tc>
      </w:tr>
    </w:tbl>
    <w:p w14:paraId="2050688C" w14:textId="0785E77F" w:rsidR="00EA6594" w:rsidRPr="00726D9F" w:rsidRDefault="00EA6594" w:rsidP="00A55798">
      <w:pPr>
        <w:pStyle w:val="Heading2"/>
      </w:pPr>
      <w:bookmarkStart w:id="104" w:name="_Toc226902138"/>
      <w:bookmarkStart w:id="105" w:name="_Toc232075461"/>
      <w:bookmarkStart w:id="106" w:name="_Toc223984064"/>
      <w:r>
        <w:t>Implication 2. A menu of employer supports</w:t>
      </w:r>
      <w:bookmarkEnd w:id="104"/>
      <w:bookmarkEnd w:id="105"/>
      <w:r>
        <w:t xml:space="preserve"> </w:t>
      </w:r>
      <w:bookmarkEnd w:id="106"/>
    </w:p>
    <w:p w14:paraId="26D5FA19" w14:textId="550D60A2" w:rsidR="00EA6594" w:rsidRPr="00726D9F" w:rsidRDefault="00EA6594" w:rsidP="00BD2793">
      <w:pPr>
        <w:rPr>
          <w:rFonts w:eastAsiaTheme="minorEastAsia" w:cstheme="minorBidi"/>
        </w:rPr>
      </w:pPr>
      <w:r w:rsidRPr="00BD2793">
        <w:t>T</w:t>
      </w:r>
      <w:r w:rsidRPr="15655A78">
        <w:t xml:space="preserve">he evidence shows that </w:t>
      </w:r>
      <w:r>
        <w:t>ad hoc</w:t>
      </w:r>
      <w:r w:rsidRPr="15655A78">
        <w:t xml:space="preserve"> supports to employers tend to </w:t>
      </w:r>
      <w:r>
        <w:t>be less effective</w:t>
      </w:r>
      <w:r w:rsidRPr="15655A78">
        <w:t xml:space="preserve"> and do not lead to improved workplace inclusion of people with disability</w:t>
      </w:r>
      <w:r w:rsidR="00A55798">
        <w:rPr>
          <w:rFonts w:eastAsiaTheme="majorEastAsia" w:cstheme="majorBidi"/>
        </w:rPr>
        <w:t xml:space="preserve"> </w:t>
      </w:r>
      <w:r w:rsidR="00A576FD">
        <w:rPr>
          <w:rFonts w:eastAsiaTheme="majorEastAsia" w:cstheme="majorBidi"/>
          <w:noProof/>
        </w:rPr>
        <w:t>(Derbyshire et al., 2024)</w:t>
      </w:r>
      <w:r w:rsidRPr="15655A78">
        <w:t>. Employers are far more responsive to a coherent, staged package that follows the flow of the HR cycle</w:t>
      </w:r>
      <w:r w:rsidR="0055193B">
        <w:t xml:space="preserve"> – </w:t>
      </w:r>
      <w:r w:rsidRPr="15655A78">
        <w:t xml:space="preserve">recruitment, selection, onboarding, </w:t>
      </w:r>
      <w:r>
        <w:t>adjustments</w:t>
      </w:r>
      <w:r w:rsidRPr="15655A78">
        <w:t xml:space="preserve">, return-to-work, job redesign. </w:t>
      </w:r>
      <w:r w:rsidRPr="15655A78">
        <w:rPr>
          <w:rFonts w:eastAsiaTheme="minorEastAsia" w:cstheme="minorBidi"/>
        </w:rPr>
        <w:t xml:space="preserve">Essentially, providers should articulate to businesses how they can assist them to solve organisational challenges. It is noteworthy that the elements contained in a coherent package of support for employers align with documented good practices on broader people management and human resource management. </w:t>
      </w:r>
    </w:p>
    <w:p w14:paraId="333ED75E" w14:textId="34971A90" w:rsidR="00EA6594" w:rsidRDefault="00EA6594" w:rsidP="00BD2793">
      <w:r w:rsidRPr="15655A78">
        <w:lastRenderedPageBreak/>
        <w:t>Rather than offering tools in a fragmented way, providers can translate inclusive practice into a practical offer that brings together an inclusive recruitment toolkit, redesigned selection and interview processes, onboarding checklists, and guidance on adjustments and assistive technologies</w:t>
      </w:r>
      <w:r w:rsidR="00023853">
        <w:rPr>
          <w:rFonts w:eastAsiaTheme="majorEastAsia" w:cstheme="majorBidi"/>
        </w:rPr>
        <w:t xml:space="preserve"> </w:t>
      </w:r>
      <w:r w:rsidR="00A576FD">
        <w:rPr>
          <w:rFonts w:eastAsiaTheme="majorEastAsia" w:cstheme="majorBidi"/>
          <w:noProof/>
        </w:rPr>
        <w:t>(Kersten et al., 2023; McGurk &amp; Olaleye, 2023; Wyndham City Council, 2022)</w:t>
      </w:r>
      <w:r w:rsidRPr="15655A78">
        <w:t xml:space="preserve">. This can be complemented with job-carving or job-redesign protocols to strengthen role fit. Packaging these supports as an integrated sequence (of recruitment </w:t>
      </w:r>
      <w:r w:rsidRPr="15655A78">
        <w:rPr>
          <w:rFonts w:ascii="Arial" w:hAnsi="Arial" w:cs="Arial"/>
        </w:rPr>
        <w:t>→</w:t>
      </w:r>
      <w:r w:rsidRPr="15655A78">
        <w:t xml:space="preserve"> onboarding </w:t>
      </w:r>
      <w:r w:rsidRPr="15655A78">
        <w:rPr>
          <w:rFonts w:ascii="Arial" w:hAnsi="Arial" w:cs="Arial"/>
        </w:rPr>
        <w:t>→</w:t>
      </w:r>
      <w:r w:rsidRPr="15655A78">
        <w:t xml:space="preserve"> adjustment </w:t>
      </w:r>
      <w:r w:rsidRPr="15655A78">
        <w:rPr>
          <w:rFonts w:ascii="Arial" w:hAnsi="Arial" w:cs="Arial"/>
        </w:rPr>
        <w:t>→</w:t>
      </w:r>
      <w:r w:rsidRPr="15655A78">
        <w:t xml:space="preserve"> retention) helps employers understand what to expect and when</w:t>
      </w:r>
      <w:r w:rsidR="0055193B">
        <w:t xml:space="preserve"> – </w:t>
      </w:r>
      <w:r w:rsidRPr="15655A78">
        <w:t xml:space="preserve">and also creates a consistent experience across multiple touchpoints. Sharing toolkits and templates reinforces this consistency, helping employers navigate the process with clarity and reducing variation in how support is delivered. Coordinated multi-actor delivery also helps employers feel supported throughout the entire employment journey. </w:t>
      </w:r>
    </w:p>
    <w:tbl>
      <w:tblPr>
        <w:tblStyle w:val="CIETable"/>
        <w:tblW w:w="0" w:type="auto"/>
        <w:tblLook w:val="04A0" w:firstRow="1" w:lastRow="0" w:firstColumn="1" w:lastColumn="0" w:noHBand="0" w:noVBand="1"/>
      </w:tblPr>
      <w:tblGrid>
        <w:gridCol w:w="9628"/>
      </w:tblGrid>
      <w:tr w:rsidR="009D1BB1" w14:paraId="574FE486" w14:textId="77777777" w:rsidTr="009D1B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35249409" w14:textId="761EF0BF" w:rsidR="009D1BB1" w:rsidRPr="00705C5C" w:rsidRDefault="00705C5C" w:rsidP="00705C5C">
            <w:pPr>
              <w:pStyle w:val="TableHeading"/>
            </w:pPr>
            <w:r w:rsidRPr="009D1BB1">
              <w:t>Providers can support employers through:</w:t>
            </w:r>
          </w:p>
        </w:tc>
      </w:tr>
      <w:tr w:rsidR="00E66907" w14:paraId="44E6D0A9" w14:textId="77777777" w:rsidTr="009D1B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D4F41A9" w14:textId="46CC822B" w:rsidR="003E6E24" w:rsidRDefault="00E66907" w:rsidP="00BD2793">
            <w:pPr>
              <w:rPr>
                <w:b w:val="0"/>
                <w:bCs/>
              </w:rPr>
            </w:pPr>
            <w:r w:rsidRPr="00705C5C">
              <w:t xml:space="preserve">Offering </w:t>
            </w:r>
            <w:r w:rsidRPr="00E66907">
              <w:rPr>
                <w:bCs/>
              </w:rPr>
              <w:t>joined-up support across the whole employment journey – not just at one stage:</w:t>
            </w:r>
          </w:p>
          <w:p w14:paraId="11BF3F3F" w14:textId="77777777" w:rsidR="00E66907" w:rsidRPr="005B1DE5" w:rsidRDefault="00630720" w:rsidP="005B1DE5">
            <w:pPr>
              <w:pStyle w:val="TableBullet"/>
            </w:pPr>
            <w:r w:rsidRPr="005B1DE5">
              <w:t>Bringing together coordinated resources that cover attracting candidates, recruitment, onboarding, adjustments, and keeping people in work long-term</w:t>
            </w:r>
          </w:p>
          <w:p w14:paraId="0A0B69D1" w14:textId="77777777" w:rsidR="003E6E24" w:rsidRPr="00705C5C" w:rsidRDefault="003E6E24" w:rsidP="00705C5C">
            <w:pPr>
              <w:rPr>
                <w:b w:val="0"/>
                <w:bCs/>
              </w:rPr>
            </w:pPr>
            <w:r w:rsidRPr="00705C5C">
              <w:t>Making inclusive practices easier with practical, ready-to-use tools:</w:t>
            </w:r>
          </w:p>
          <w:p w14:paraId="433C8538" w14:textId="77777777" w:rsidR="002858B2" w:rsidRPr="005B1DE5" w:rsidRDefault="002858B2" w:rsidP="005B1DE5">
            <w:pPr>
              <w:pStyle w:val="TableBullet"/>
            </w:pPr>
            <w:r w:rsidRPr="005B1DE5">
              <w:t>Sharing templates, onboarding checklists, options for adapting selection processes, and guidance on navigating adjustments – so employers are not starting from scratch.</w:t>
            </w:r>
          </w:p>
          <w:p w14:paraId="20F3F531" w14:textId="77777777" w:rsidR="002858B2" w:rsidRDefault="002858B2" w:rsidP="00705C5C">
            <w:r w:rsidRPr="00705C5C">
              <w:t>Using job carving and role redesign where it makes sense:</w:t>
            </w:r>
            <w:r>
              <w:t xml:space="preserve"> </w:t>
            </w:r>
          </w:p>
          <w:p w14:paraId="4A12120C" w14:textId="5EAF9E6B" w:rsidR="002858B2" w:rsidRPr="005B1DE5" w:rsidRDefault="002858B2" w:rsidP="005B1DE5">
            <w:pPr>
              <w:pStyle w:val="TableBullet"/>
            </w:pPr>
            <w:r w:rsidRPr="005B1DE5">
              <w:t xml:space="preserve">Helping employers shape </w:t>
            </w:r>
            <w:proofErr w:type="spellStart"/>
            <w:r w:rsidRPr="005B1DE5">
              <w:t>roles</w:t>
            </w:r>
            <w:proofErr w:type="spellEnd"/>
            <w:r w:rsidRPr="005B1DE5">
              <w:t xml:space="preserve"> around a person's strengths, using approaches that are grounded in evidence and applied consistently.</w:t>
            </w:r>
          </w:p>
          <w:p w14:paraId="324B2782" w14:textId="77777777" w:rsidR="002858B2" w:rsidRDefault="002858B2" w:rsidP="00705C5C">
            <w:r w:rsidRPr="00705C5C">
              <w:t>Making sure everyone involved is working together, not in silos:</w:t>
            </w:r>
            <w:r w:rsidRPr="002858B2">
              <w:rPr>
                <w:b w:val="0"/>
                <w:bCs/>
                <w:szCs w:val="20"/>
              </w:rPr>
              <w:t xml:space="preserve"> </w:t>
            </w:r>
          </w:p>
          <w:p w14:paraId="0D9915D2" w14:textId="205678CF" w:rsidR="002858B2" w:rsidRPr="005B1DE5" w:rsidRDefault="002858B2" w:rsidP="005B1DE5">
            <w:pPr>
              <w:pStyle w:val="TableBullet"/>
            </w:pPr>
            <w:r w:rsidRPr="005B1DE5">
              <w:t>Coordinating between providers, the employer, supervisors, and any external supports so the candidate and the workplace get a joined-up experience – not mixed messages from different directions.</w:t>
            </w:r>
          </w:p>
        </w:tc>
      </w:tr>
    </w:tbl>
    <w:p w14:paraId="61879255" w14:textId="77777777" w:rsidR="00F901FE" w:rsidRDefault="00F901FE" w:rsidP="002858B2">
      <w:pPr>
        <w:pStyle w:val="Heading2"/>
      </w:pPr>
      <w:bookmarkStart w:id="107" w:name="_Toc223984065"/>
      <w:bookmarkStart w:id="108" w:name="_Toc226902139"/>
      <w:r>
        <w:br w:type="page"/>
      </w:r>
    </w:p>
    <w:p w14:paraId="7D2FD2BB" w14:textId="6813FAC0" w:rsidR="00EA6594" w:rsidRPr="00726D9F" w:rsidRDefault="00EA6594" w:rsidP="002858B2">
      <w:pPr>
        <w:pStyle w:val="Heading2"/>
      </w:pPr>
      <w:bookmarkStart w:id="109" w:name="_Toc232075462"/>
      <w:r>
        <w:lastRenderedPageBreak/>
        <w:t>Implication</w:t>
      </w:r>
      <w:r w:rsidRPr="15655A78">
        <w:t xml:space="preserve"> 3. </w:t>
      </w:r>
      <w:r>
        <w:t xml:space="preserve">Partnering with employers to build </w:t>
      </w:r>
      <w:r w:rsidRPr="15655A78">
        <w:t xml:space="preserve">infrastructure </w:t>
      </w:r>
      <w:bookmarkEnd w:id="107"/>
      <w:r>
        <w:t>for retention and progression</w:t>
      </w:r>
      <w:bookmarkEnd w:id="108"/>
      <w:bookmarkEnd w:id="109"/>
    </w:p>
    <w:p w14:paraId="0840F8DF" w14:textId="5A896D64" w:rsidR="00EA6594" w:rsidRDefault="00EA6594" w:rsidP="00F03298">
      <w:r w:rsidRPr="15655A78">
        <w:t>Long-term retention depends on more than simply placing someone into a role</w:t>
      </w:r>
      <w:r w:rsidR="0042182E">
        <w:rPr>
          <w:rFonts w:eastAsiaTheme="majorEastAsia" w:cstheme="majorBidi"/>
        </w:rPr>
        <w:t xml:space="preserve"> </w:t>
      </w:r>
      <w:r w:rsidR="00A576FD">
        <w:rPr>
          <w:rFonts w:eastAsiaTheme="majorEastAsia" w:cstheme="majorBidi"/>
          <w:noProof/>
        </w:rPr>
        <w:t>(Habeck et al., 2010; JobAccess, 2025)</w:t>
      </w:r>
      <w:r>
        <w:t>. I</w:t>
      </w:r>
      <w:r w:rsidRPr="15655A78">
        <w:t xml:space="preserve">t requires </w:t>
      </w:r>
      <w:r>
        <w:t xml:space="preserve">providers working with employers to ensure that </w:t>
      </w:r>
      <w:r w:rsidRPr="15655A78">
        <w:t>early intervention</w:t>
      </w:r>
      <w:r>
        <w:t xml:space="preserve"> is possible. On the organisation side, trained</w:t>
      </w:r>
      <w:r w:rsidRPr="15655A78">
        <w:t xml:space="preserve"> supervisors</w:t>
      </w:r>
      <w:r>
        <w:t xml:space="preserve"> are critical, as is </w:t>
      </w:r>
      <w:r w:rsidRPr="15655A78">
        <w:t>structured follow-up</w:t>
      </w:r>
      <w:r>
        <w:t xml:space="preserve"> by the provider</w:t>
      </w:r>
      <w:r w:rsidRPr="15655A78">
        <w:t>, and ongoing accommodation</w:t>
      </w:r>
      <w:r>
        <w:t xml:space="preserve"> reviews. </w:t>
      </w:r>
    </w:p>
    <w:p w14:paraId="11D5B9D6" w14:textId="01CA2E99" w:rsidR="00EA6594" w:rsidRDefault="00EA6594" w:rsidP="00F03298">
      <w:r w:rsidRPr="15655A78">
        <w:t>Providers can strengthen outcomes by implementing routine check-ins</w:t>
      </w:r>
      <w:r>
        <w:t xml:space="preserve"> with the supervisor</w:t>
      </w:r>
      <w:r w:rsidRPr="15655A78">
        <w:t xml:space="preserve"> and </w:t>
      </w:r>
      <w:r>
        <w:t xml:space="preserve">can support </w:t>
      </w:r>
      <w:r w:rsidRPr="15655A78">
        <w:t>progression planning and internal mobility pathways</w:t>
      </w:r>
      <w:r w:rsidR="00EB762A">
        <w:rPr>
          <w:rFonts w:eastAsiaTheme="majorEastAsia" w:cstheme="majorBidi"/>
        </w:rPr>
        <w:t xml:space="preserve"> </w:t>
      </w:r>
      <w:r w:rsidR="00A576FD">
        <w:rPr>
          <w:rFonts w:eastAsiaTheme="majorEastAsia" w:cstheme="majorBidi"/>
          <w:noProof/>
        </w:rPr>
        <w:t>(Hanson &amp; Moore, 2023; Mann et al., 2018; Murphy et al., 2024; Raynor et al., 2018)</w:t>
      </w:r>
      <w:r w:rsidRPr="15655A78">
        <w:t xml:space="preserve">. </w:t>
      </w:r>
      <w:r>
        <w:t>It is critical that supervisors are able to recognise triggers such as changes in job tasks or responsibilities, employee feedback that indicates barriers, changes in health conditions or support needs, or return to work following illness, leave or injury.</w:t>
      </w:r>
    </w:p>
    <w:p w14:paraId="02031882" w14:textId="289F4A93" w:rsidR="00EA6594" w:rsidRDefault="00EA6594" w:rsidP="00F03298">
      <w:r w:rsidRPr="15655A78">
        <w:t>A defined post-hire follow-up cadence enables rapid response mechanisms when issues arise and ensures that emerging challenges are addressed before they escalate. Coaching for supervisor</w:t>
      </w:r>
      <w:r>
        <w:t>s</w:t>
      </w:r>
      <w:r w:rsidRPr="15655A78">
        <w:t xml:space="preserve"> and </w:t>
      </w:r>
      <w:r>
        <w:t>front</w:t>
      </w:r>
      <w:r w:rsidRPr="15655A78">
        <w:t>line manager</w:t>
      </w:r>
      <w:r>
        <w:t>s</w:t>
      </w:r>
      <w:r w:rsidRPr="15655A78">
        <w:t xml:space="preserve"> makes these early interactions most effective as they are the ones shaping employees’ day-to-day experiences. Scheduled adjustment synthesis also helps ensure that support remains relevant as tasks, technologies, or workplace arrangements change. For longer-term sustainability, providers can facilitate progression planning</w:t>
      </w:r>
      <w:r w:rsidR="0055193B">
        <w:t xml:space="preserve"> – </w:t>
      </w:r>
      <w:r w:rsidRPr="15655A78">
        <w:t>from mentoring programs to progression pathways and internal mobility supports – so that both employers and employees can see a future beyond initial placement. The presence of planned post-placement check-ins and troubleshooting support reinforces this sustainment infrastructure and contributes to more stable employment outcomes.</w:t>
      </w:r>
      <w:r w:rsidR="00705C5C">
        <w:br w:type="page"/>
      </w:r>
    </w:p>
    <w:tbl>
      <w:tblPr>
        <w:tblStyle w:val="CIETable"/>
        <w:tblW w:w="0" w:type="auto"/>
        <w:tblLook w:val="04A0" w:firstRow="1" w:lastRow="0" w:firstColumn="1" w:lastColumn="0" w:noHBand="0" w:noVBand="1"/>
      </w:tblPr>
      <w:tblGrid>
        <w:gridCol w:w="9628"/>
      </w:tblGrid>
      <w:tr w:rsidR="00705C5C" w:rsidRPr="00705C5C" w14:paraId="2EC190D4" w14:textId="77777777" w:rsidTr="00705C5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tcPr>
          <w:p w14:paraId="4026E23A" w14:textId="55229C85" w:rsidR="00705C5C" w:rsidRPr="00705C5C" w:rsidRDefault="00705C5C" w:rsidP="00705C5C">
            <w:pPr>
              <w:pStyle w:val="TableHeading"/>
            </w:pPr>
            <w:r w:rsidRPr="00705C5C">
              <w:lastRenderedPageBreak/>
              <w:t>Practical actions for providers to build progression infrastructure:</w:t>
            </w:r>
          </w:p>
        </w:tc>
      </w:tr>
      <w:tr w:rsidR="00CE3D4E" w:rsidRPr="00705C5C" w14:paraId="653D01D4" w14:textId="77777777" w:rsidTr="00705C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EBAD1B7" w14:textId="77777777" w:rsidR="00CE3D4E" w:rsidRPr="00705C5C" w:rsidRDefault="00CE3D4E" w:rsidP="00F03298">
            <w:pPr>
              <w:rPr>
                <w:bCs/>
              </w:rPr>
            </w:pPr>
            <w:r w:rsidRPr="00705C5C">
              <w:rPr>
                <w:bCs/>
              </w:rPr>
              <w:t>Make post-placement follow-up a routine part of service delivery – not an afterthought – by:</w:t>
            </w:r>
          </w:p>
          <w:p w14:paraId="58A3F4B6" w14:textId="7AFC2B10" w:rsidR="00D33894" w:rsidRPr="005B1DE5" w:rsidRDefault="00D33894" w:rsidP="005B1DE5">
            <w:pPr>
              <w:pStyle w:val="TableBullet"/>
            </w:pPr>
            <w:r w:rsidRPr="005B1DE5">
              <w:t>Building planned check-ins, early problem-solving, and quick intervention into how the team usually operates.</w:t>
            </w:r>
          </w:p>
          <w:p w14:paraId="6DE6D46A" w14:textId="08D8A9F1" w:rsidR="00D33894" w:rsidRPr="00705C5C" w:rsidRDefault="00D33894" w:rsidP="00D33894">
            <w:pPr>
              <w:rPr>
                <w:bCs/>
              </w:rPr>
            </w:pPr>
            <w:r w:rsidRPr="00705C5C">
              <w:rPr>
                <w:bCs/>
              </w:rPr>
              <w:t>Build supervisor confidence and capability by:</w:t>
            </w:r>
          </w:p>
          <w:p w14:paraId="768D72CB" w14:textId="77777777" w:rsidR="004A39FC" w:rsidRPr="005B1DE5" w:rsidRDefault="004A39FC" w:rsidP="005B1DE5">
            <w:pPr>
              <w:pStyle w:val="TableBullet"/>
            </w:pPr>
            <w:r w:rsidRPr="005B1DE5">
              <w:t>Coaching and guiding managers so they feel equipped to pick up on issues early and keep inclusive practices going day to day.</w:t>
            </w:r>
          </w:p>
          <w:p w14:paraId="2B79DC52" w14:textId="77777777" w:rsidR="004A39FC" w:rsidRPr="00705C5C" w:rsidRDefault="004A39FC" w:rsidP="004A39FC">
            <w:pPr>
              <w:rPr>
                <w:bCs/>
              </w:rPr>
            </w:pPr>
            <w:r w:rsidRPr="00705C5C">
              <w:rPr>
                <w:bCs/>
              </w:rPr>
              <w:t xml:space="preserve">Keep adjustment profiles up to date as roles and circumstances change by: </w:t>
            </w:r>
          </w:p>
          <w:p w14:paraId="2BF44369" w14:textId="52C7A68B" w:rsidR="004A39FC" w:rsidRPr="005B1DE5" w:rsidRDefault="004A39FC" w:rsidP="005B1DE5">
            <w:pPr>
              <w:pStyle w:val="TableBullet"/>
            </w:pPr>
            <w:r w:rsidRPr="005B1DE5">
              <w:t>Revisiting what adjustments and supports are in place regularly to make sure they still match what the employee needs and what the job requires.</w:t>
            </w:r>
          </w:p>
          <w:p w14:paraId="6820185F" w14:textId="4CC7E6F6" w:rsidR="004A39FC" w:rsidRPr="00705C5C" w:rsidRDefault="004A39FC" w:rsidP="004A39FC">
            <w:pPr>
              <w:rPr>
                <w:bCs/>
                <w:lang w:val="en-US"/>
              </w:rPr>
            </w:pPr>
            <w:r w:rsidRPr="00705C5C">
              <w:rPr>
                <w:bCs/>
                <w:lang w:val="en-US"/>
              </w:rPr>
              <w:t xml:space="preserve">Actively support people to grow and take on new opportunities by: </w:t>
            </w:r>
          </w:p>
          <w:p w14:paraId="6B70E639" w14:textId="72F0C1E5" w:rsidR="00CE3D4E" w:rsidRPr="005B1DE5" w:rsidRDefault="004A39FC" w:rsidP="005B1DE5">
            <w:pPr>
              <w:pStyle w:val="TableBullet"/>
            </w:pPr>
            <w:r w:rsidRPr="005B1DE5">
              <w:t>Encouraging mentoring, skill development, and chances to try new responsibilities – and helping map out what progression could look like for each person.</w:t>
            </w:r>
          </w:p>
        </w:tc>
      </w:tr>
    </w:tbl>
    <w:p w14:paraId="6E6E1C3E" w14:textId="3362E83C" w:rsidR="00EA6594" w:rsidRDefault="00EA6594" w:rsidP="00BE111A">
      <w:pPr>
        <w:pStyle w:val="Heading2"/>
        <w:rPr>
          <w:highlight w:val="yellow"/>
        </w:rPr>
      </w:pPr>
      <w:bookmarkStart w:id="110" w:name="_Toc223984066"/>
      <w:bookmarkStart w:id="111" w:name="_Toc226902140"/>
      <w:bookmarkStart w:id="112" w:name="_Toc232075463"/>
      <w:r>
        <w:t>Implication 4. Evidence strength and transferability</w:t>
      </w:r>
      <w:bookmarkEnd w:id="110"/>
      <w:bookmarkEnd w:id="111"/>
      <w:bookmarkEnd w:id="112"/>
    </w:p>
    <w:p w14:paraId="18D96185" w14:textId="502A509C" w:rsidR="00EA6594" w:rsidRDefault="00EA6594" w:rsidP="009F3CE2">
      <w:r w:rsidRPr="15655A78">
        <w:t>The material synthesised includes a mix of grey literature, program evaluations, and academic research</w:t>
      </w:r>
      <w:r w:rsidR="00970F05">
        <w:t xml:space="preserve"> </w:t>
      </w:r>
      <w:r w:rsidR="00A576FD">
        <w:rPr>
          <w:noProof/>
        </w:rPr>
        <w:t>(Crosbie et al., 2025; Daguerre et al., 2025)</w:t>
      </w:r>
      <w:r w:rsidRPr="15655A78">
        <w:t>. As a result, the strength of the evidence varies across sources. Interpreting the findings therefore requires careful consideration of how claims about effectiveness are supported, how clearly practices are described, and whether the context of the evidence is comparable to other settings.</w:t>
      </w:r>
    </w:p>
    <w:p w14:paraId="4C5F819F" w14:textId="16170062" w:rsidR="00EA6594" w:rsidRDefault="00EA6594" w:rsidP="009F3CE2">
      <w:r w:rsidRPr="15655A78">
        <w:t>Some sources make strong claims about the impact of employer engagement practices, but the degree to which these claims can be attributed to specific interventions is not always clear</w:t>
      </w:r>
      <w:r w:rsidR="00314694">
        <w:t xml:space="preserve"> </w:t>
      </w:r>
      <w:r w:rsidR="00A576FD">
        <w:rPr>
          <w:noProof/>
        </w:rPr>
        <w:t>(Ingold, 2021; Zhao &amp; Liu, 2025)</w:t>
      </w:r>
      <w:r w:rsidRPr="15655A78">
        <w:t>. In some cases, evidence is based on program evaluations or descriptive reports rather than rigorous research designs. This means that reported outcomes may reflect broader program contexts rather than the effect of a particular practice or mechanism alone.</w:t>
      </w:r>
    </w:p>
    <w:p w14:paraId="7B078E9A" w14:textId="21D40AF9" w:rsidR="00EA6594" w:rsidRDefault="00EA6594" w:rsidP="009F3CE2">
      <w:r w:rsidRPr="15655A78">
        <w:t xml:space="preserve">The credibility of the evidence also depends on how clearly implementation is </w:t>
      </w:r>
      <w:r w:rsidRPr="15655A78">
        <w:lastRenderedPageBreak/>
        <w:t>described</w:t>
      </w:r>
      <w:r w:rsidR="002D7ADC">
        <w:t xml:space="preserve"> </w:t>
      </w:r>
      <w:r w:rsidR="00A576FD">
        <w:rPr>
          <w:noProof/>
        </w:rPr>
        <w:t>(Scott, 2017; Whitworth, 2025)</w:t>
      </w:r>
      <w:r w:rsidRPr="15655A78">
        <w:t>. Sources that provide detailed information about how practices were delivered</w:t>
      </w:r>
      <w:r w:rsidR="0055193B">
        <w:t xml:space="preserve"> – </w:t>
      </w:r>
      <w:r w:rsidRPr="15655A78">
        <w:t>such as staffing arrangements, engagement activities, and follow-up processes</w:t>
      </w:r>
      <w:r w:rsidR="0055193B">
        <w:t xml:space="preserve"> – </w:t>
      </w:r>
      <w:r w:rsidRPr="15655A78">
        <w:t>offer greater insight into how similar approaches might be applied in other contexts.</w:t>
      </w:r>
    </w:p>
    <w:p w14:paraId="7D0F0CC6" w14:textId="67631D1F" w:rsidR="00EA6594" w:rsidRDefault="00EA6594" w:rsidP="009F3CE2">
      <w:r w:rsidRPr="15655A78">
        <w:t>Transparency in reporting methods and limitations is another important factor. Sources that clearly explain their research approach, data sources, and potential limitations make it easier to assess the reliability of their findings</w:t>
      </w:r>
      <w:r w:rsidR="00504BFE">
        <w:t xml:space="preserve"> </w:t>
      </w:r>
      <w:r w:rsidR="00A576FD">
        <w:rPr>
          <w:noProof/>
        </w:rPr>
        <w:t>(AKG, n.d.; Colmar Brunton Social Research, 2019)</w:t>
      </w:r>
      <w:r w:rsidRPr="15655A78">
        <w:t>. In contrast, where methods are not clearly described, it is more difficult to judge the strength of the evidence.</w:t>
      </w:r>
    </w:p>
    <w:p w14:paraId="634A5428" w14:textId="3E48892D" w:rsidR="00037901" w:rsidRDefault="00EA6594" w:rsidP="009F3CE2">
      <w:r w:rsidRPr="15655A78">
        <w:t>Context also affects how transferable findings may be</w:t>
      </w:r>
      <w:r w:rsidR="00D55CD5">
        <w:t xml:space="preserve"> </w:t>
      </w:r>
      <w:r w:rsidR="00A576FD">
        <w:rPr>
          <w:noProof/>
        </w:rPr>
        <w:t>(Ulstein, 2025; Wiggan &amp; Knuth, 2023)</w:t>
      </w:r>
      <w:r w:rsidRPr="15655A78">
        <w:t>.</w:t>
      </w:r>
      <w:r w:rsidR="3555948C" w:rsidRPr="15655A78">
        <w:t xml:space="preserve"> Some studies are conducted in policy or labour market environments that differ significantly from Australia. Assessing whether the conditions, funding structures, or employment services are comparable is therefore important when considering how relevant the findings are for local practice.</w:t>
      </w:r>
      <w:r w:rsidR="00F901FE">
        <w:br w:type="page"/>
      </w:r>
    </w:p>
    <w:tbl>
      <w:tblPr>
        <w:tblStyle w:val="CIETable"/>
        <w:tblW w:w="0" w:type="auto"/>
        <w:tblLook w:val="04A0" w:firstRow="1" w:lastRow="0" w:firstColumn="1" w:lastColumn="0" w:noHBand="0" w:noVBand="1"/>
      </w:tblPr>
      <w:tblGrid>
        <w:gridCol w:w="9628"/>
      </w:tblGrid>
      <w:tr w:rsidR="00FB370A" w14:paraId="38004EC4" w14:textId="77777777" w:rsidTr="00FB37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5751701" w14:textId="7468ACD1" w:rsidR="00FB370A" w:rsidRPr="00FB370A" w:rsidRDefault="00FB370A" w:rsidP="00FB370A">
            <w:pPr>
              <w:pStyle w:val="TableHeading"/>
            </w:pPr>
            <w:r w:rsidRPr="00FB370A">
              <w:lastRenderedPageBreak/>
              <w:t>What the Centre and providers can do:</w:t>
            </w:r>
          </w:p>
        </w:tc>
      </w:tr>
      <w:tr w:rsidR="00D55CD5" w14:paraId="5B2AA0A9" w14:textId="77777777" w:rsidTr="00FB37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54E7758" w14:textId="77777777" w:rsidR="00D55CD5" w:rsidRPr="00FB370A" w:rsidRDefault="00D55CD5" w:rsidP="009F3CE2">
            <w:pPr>
              <w:rPr>
                <w:bCs/>
              </w:rPr>
            </w:pPr>
            <w:r w:rsidRPr="00FB370A">
              <w:rPr>
                <w:bCs/>
              </w:rPr>
              <w:t>Adapt practical resources that employers and provider can use by:</w:t>
            </w:r>
          </w:p>
          <w:p w14:paraId="55501F5F" w14:textId="77777777" w:rsidR="00D55CD5" w:rsidRPr="005B1DE5" w:rsidRDefault="00D55CD5" w:rsidP="005B1DE5">
            <w:pPr>
              <w:pStyle w:val="TableBullet"/>
            </w:pPr>
            <w:r w:rsidRPr="005B1DE5">
              <w:t>Developing and sharing toolkits, checklists, templates, and practice notes that turn research and evidence into clear, actionable guidance.</w:t>
            </w:r>
          </w:p>
          <w:p w14:paraId="7DD0542D" w14:textId="77777777" w:rsidR="00863FBB" w:rsidRPr="00FB370A" w:rsidRDefault="00863FBB" w:rsidP="00863FBB">
            <w:pPr>
              <w:rPr>
                <w:bCs/>
              </w:rPr>
            </w:pPr>
            <w:r w:rsidRPr="00FB370A">
              <w:rPr>
                <w:bCs/>
              </w:rPr>
              <w:t xml:space="preserve">Create opportunities for employers to learn from each other by: </w:t>
            </w:r>
          </w:p>
          <w:p w14:paraId="3C3A4C4B" w14:textId="77777777" w:rsidR="00863FBB" w:rsidRPr="005B1DE5" w:rsidRDefault="00863FBB" w:rsidP="005B1DE5">
            <w:pPr>
              <w:pStyle w:val="TableBullet"/>
            </w:pPr>
            <w:r w:rsidRPr="005B1DE5">
              <w:t>Hosting learning sessions, communities of practice, or case discussions where employers can reflect on what is working, compare approaches, and build confidence together.</w:t>
            </w:r>
          </w:p>
          <w:p w14:paraId="238D9C29" w14:textId="77777777" w:rsidR="00863FBB" w:rsidRPr="00FB370A" w:rsidRDefault="00863FBB" w:rsidP="00863FBB">
            <w:pPr>
              <w:rPr>
                <w:bCs/>
              </w:rPr>
            </w:pPr>
            <w:r w:rsidRPr="00FB370A">
              <w:rPr>
                <w:bCs/>
              </w:rPr>
              <w:t xml:space="preserve">Create opportunities for providers to learn from each other by: </w:t>
            </w:r>
          </w:p>
          <w:p w14:paraId="0AAC8C3E" w14:textId="77777777" w:rsidR="00863FBB" w:rsidRPr="005B1DE5" w:rsidRDefault="00863FBB" w:rsidP="005B1DE5">
            <w:pPr>
              <w:pStyle w:val="TableBullet"/>
            </w:pPr>
            <w:r w:rsidRPr="005B1DE5">
              <w:t>Hosting learning sessions, communities of practice, or case discussions, and build confidence and opportunities for collaboration.</w:t>
            </w:r>
          </w:p>
          <w:p w14:paraId="188CD49B" w14:textId="77777777" w:rsidR="00863FBB" w:rsidRPr="00FB370A" w:rsidRDefault="00863FBB" w:rsidP="00863FBB">
            <w:pPr>
              <w:rPr>
                <w:bCs/>
              </w:rPr>
            </w:pPr>
            <w:r w:rsidRPr="00FB370A">
              <w:rPr>
                <w:bCs/>
              </w:rPr>
              <w:t xml:space="preserve">Use real examples to make inclusive practices feel achievable by: </w:t>
            </w:r>
          </w:p>
          <w:p w14:paraId="6DC50CFB" w14:textId="77777777" w:rsidR="00863FBB" w:rsidRPr="005B1DE5" w:rsidRDefault="00863FBB" w:rsidP="005B1DE5">
            <w:pPr>
              <w:pStyle w:val="TableBullet"/>
            </w:pPr>
            <w:r w:rsidRPr="005B1DE5">
              <w:t xml:space="preserve">Sharing case studies that show how other employers have </w:t>
            </w:r>
            <w:proofErr w:type="gramStart"/>
            <w:r w:rsidRPr="005B1DE5">
              <w:t>made adjustments</w:t>
            </w:r>
            <w:proofErr w:type="gramEnd"/>
            <w:r w:rsidRPr="005B1DE5">
              <w:t>, designed roles, and supported people successfully – so it feels concrete rather than theoretical.</w:t>
            </w:r>
          </w:p>
          <w:p w14:paraId="3B8FEEBF" w14:textId="77777777" w:rsidR="00863FBB" w:rsidRPr="00FB370A" w:rsidRDefault="00863FBB" w:rsidP="00863FBB">
            <w:pPr>
              <w:rPr>
                <w:bCs/>
              </w:rPr>
            </w:pPr>
            <w:r w:rsidRPr="00FB370A">
              <w:rPr>
                <w:bCs/>
              </w:rPr>
              <w:t xml:space="preserve">Make sure resources reflect the Australian context by: </w:t>
            </w:r>
          </w:p>
          <w:p w14:paraId="55E206C5" w14:textId="1BC6EF14" w:rsidR="00863FBB" w:rsidRPr="005B1DE5" w:rsidRDefault="00863FBB" w:rsidP="005B1DE5">
            <w:pPr>
              <w:pStyle w:val="TableBullet"/>
            </w:pPr>
            <w:r w:rsidRPr="005B1DE5">
              <w:t>Tailoring tools and guidance to Australian workplace laws, cultural norms, and local labour market conditions so they are relevant and usable – not just adapted from overseas frameworks.</w:t>
            </w:r>
          </w:p>
        </w:tc>
      </w:tr>
    </w:tbl>
    <w:p w14:paraId="5979DBAB" w14:textId="024955B0" w:rsidR="00863FBB" w:rsidRDefault="00863FBB" w:rsidP="005B1DE5">
      <w:pPr>
        <w:pStyle w:val="ListBullet"/>
        <w:numPr>
          <w:ilvl w:val="0"/>
          <w:numId w:val="0"/>
        </w:numPr>
      </w:pPr>
      <w:r>
        <w:br w:type="page"/>
      </w:r>
    </w:p>
    <w:p w14:paraId="3C6EBEE4" w14:textId="4788283F" w:rsidR="00A34B1C" w:rsidRPr="00482668" w:rsidRDefault="00A34B1C" w:rsidP="009F3CE2">
      <w:pPr>
        <w:pStyle w:val="Heading1"/>
      </w:pPr>
      <w:bookmarkStart w:id="113" w:name="_Toc201660925"/>
      <w:bookmarkStart w:id="114" w:name="_Toc223984072"/>
      <w:bookmarkStart w:id="115" w:name="_Toc226902141"/>
      <w:bookmarkStart w:id="116" w:name="_Toc232075464"/>
      <w:r w:rsidRPr="00482668">
        <w:lastRenderedPageBreak/>
        <w:t>Conclusion</w:t>
      </w:r>
      <w:bookmarkEnd w:id="113"/>
      <w:bookmarkEnd w:id="114"/>
      <w:bookmarkEnd w:id="115"/>
      <w:bookmarkEnd w:id="116"/>
    </w:p>
    <w:p w14:paraId="55E2EFBE" w14:textId="26199BA8" w:rsidR="0068769A" w:rsidRPr="00726D9F" w:rsidRDefault="7DD128F2" w:rsidP="00863FBB">
      <w:pPr>
        <w:pStyle w:val="Heading2"/>
      </w:pPr>
      <w:bookmarkStart w:id="117" w:name="_Toc223984073"/>
      <w:bookmarkStart w:id="118" w:name="_Toc226902142"/>
      <w:bookmarkStart w:id="119" w:name="_Toc232075465"/>
      <w:r w:rsidRPr="00863FBB">
        <w:t>Strengths</w:t>
      </w:r>
      <w:r w:rsidRPr="35C3F573">
        <w:t>, gaps and future directions</w:t>
      </w:r>
      <w:bookmarkEnd w:id="117"/>
      <w:bookmarkEnd w:id="118"/>
      <w:bookmarkEnd w:id="119"/>
    </w:p>
    <w:p w14:paraId="7E446975" w14:textId="77777777" w:rsidR="008E7F48" w:rsidRDefault="008E7F48" w:rsidP="009F3CE2">
      <w:pPr>
        <w:rPr>
          <w:kern w:val="2"/>
          <w:lang w:eastAsia="en-AU"/>
          <w14:ligatures w14:val="standardContextual"/>
        </w:rPr>
      </w:pPr>
      <w:r>
        <w:t>The evidence reviewed in this report points to a clear resource gap regarding what effective employer engagement looks like in practice and in particular practical actions that providers can take. This reflects to the problem identified at the beginning of this report: that employers’ intentions to hire people with disability do not always translate into practical actions.</w:t>
      </w:r>
    </w:p>
    <w:p w14:paraId="4E8683AE" w14:textId="2D9B053C" w:rsidR="008E7F48" w:rsidRDefault="008E7F48" w:rsidP="009F3CE2">
      <w:pPr>
        <w:rPr>
          <w:kern w:val="2"/>
          <w:lang w:eastAsia="en-AU"/>
          <w14:ligatures w14:val="standardContextual"/>
        </w:rPr>
      </w:pPr>
      <w:r>
        <w:t xml:space="preserve">This is less a research gap than a practical resource gap. The sector lacks an openly shareable, fit-for-purpose toolkit that providers can draw on across different contexts, employer types, and candidate cohorts. What resources do exist tend to be proprietary, scattered, or developed for specific programs rather than the sector as a whole. The </w:t>
      </w:r>
      <w:r w:rsidR="00DA0335">
        <w:t xml:space="preserve">Inclusive Employment Australia </w:t>
      </w:r>
      <w:r>
        <w:t>network, despite its potential as a vehicle for knowledge exchange, operates in a competitive funding environment that works against transparency and sharing. Addressing this will require deliberate effort</w:t>
      </w:r>
      <w:r w:rsidR="0055193B">
        <w:t xml:space="preserve"> – </w:t>
      </w:r>
      <w:r>
        <w:t>and deliberate incentives. There are genuine pockets of good practice across the employment services sector</w:t>
      </w:r>
      <w:r w:rsidR="0055193B">
        <w:t xml:space="preserve"> – </w:t>
      </w:r>
      <w:r>
        <w:t>providers doing thoughtful, relationship-based work that makes a real difference for jobseekers with disability. But these examples remain isolated. They are difficult to scale, rarely documented in a transferable way, and often held within organisations that have little incentive to share them.</w:t>
      </w:r>
    </w:p>
    <w:p w14:paraId="3FCA5907" w14:textId="77777777" w:rsidR="008E7F48" w:rsidRDefault="008E7F48" w:rsidP="009F3CE2">
      <w:pPr>
        <w:rPr>
          <w:kern w:val="2"/>
          <w:lang w:eastAsia="en-AU"/>
          <w14:ligatures w14:val="standardContextual"/>
        </w:rPr>
      </w:pPr>
      <w:r>
        <w:t>The current state of employer servicing also reflects a structural tension. Providers are not, and should not need to be, full-service HR outsourcing firms. However, they do provide a specialist service that sits at the interface between jobseekers and workplaces. To do that well, both policymakers and providers need a deeper understanding of how organisations actually work, how decisions get made, and what employers need to feel confident taking on and retaining someone with disability. Closing that gap is as much about building provider capability as it is about changing employer attitudes.</w:t>
      </w:r>
    </w:p>
    <w:p w14:paraId="32D0D8EC" w14:textId="77777777" w:rsidR="00E503E5" w:rsidRDefault="00E503E5" w:rsidP="008810F4">
      <w:pPr>
        <w:pStyle w:val="Heading3"/>
        <w:rPr>
          <w:kern w:val="2"/>
          <w:lang w:eastAsia="en-AU"/>
          <w14:ligatures w14:val="standardContextual"/>
        </w:rPr>
      </w:pPr>
      <w:bookmarkStart w:id="120" w:name="_Toc232075466"/>
      <w:r>
        <w:t>Limitations</w:t>
      </w:r>
      <w:bookmarkEnd w:id="120"/>
    </w:p>
    <w:p w14:paraId="2D5A90B1" w14:textId="42007F8A" w:rsidR="008E7F48" w:rsidRDefault="008E7F48" w:rsidP="009F3CE2">
      <w:pPr>
        <w:rPr>
          <w:kern w:val="2"/>
          <w:lang w:eastAsia="en-AU"/>
          <w14:ligatures w14:val="standardContextual"/>
        </w:rPr>
      </w:pPr>
      <w:bookmarkStart w:id="121" w:name="_Toc223984074"/>
      <w:bookmarkStart w:id="122" w:name="_Toc226902143"/>
      <w:r>
        <w:t>This report draws on available published evidence and selected examples of practice from across the sector. The findings are shaped by what has been documented and shared</w:t>
      </w:r>
      <w:r w:rsidR="0055193B">
        <w:t xml:space="preserve"> – </w:t>
      </w:r>
      <w:r>
        <w:t xml:space="preserve">which, as the report itself suggests, represents only a fraction of what is actually happening on the ground. Practice that is effective but unpublished, proprietary, or confined to a single organisation is largely invisible to a synthesis of this kind. The conclusions should be read with this in </w:t>
      </w:r>
      <w:r>
        <w:lastRenderedPageBreak/>
        <w:t>mind: the gaps identified are real, but so too is the likelihood that more good practice exists than the evidence base currently reflects. Future work that actively captures provider and employer experience</w:t>
      </w:r>
      <w:r w:rsidR="0055193B">
        <w:t xml:space="preserve"> – </w:t>
      </w:r>
      <w:r>
        <w:t>including through communities of practice and structured case collection</w:t>
      </w:r>
      <w:r w:rsidR="0055193B">
        <w:t xml:space="preserve"> – </w:t>
      </w:r>
      <w:r>
        <w:t>would significantly strengthen the evidence available to the sector.</w:t>
      </w:r>
    </w:p>
    <w:p w14:paraId="4BDEF878" w14:textId="77777777" w:rsidR="00542E40" w:rsidRDefault="00542E40" w:rsidP="009F3CE2">
      <w:pPr>
        <w:pStyle w:val="Heading3"/>
      </w:pPr>
      <w:bookmarkStart w:id="123" w:name="_Toc232075467"/>
      <w:r w:rsidRPr="17D52BF3">
        <w:t>Next steps</w:t>
      </w:r>
      <w:bookmarkEnd w:id="121"/>
      <w:bookmarkEnd w:id="122"/>
      <w:bookmarkEnd w:id="123"/>
      <w:r w:rsidRPr="17D52BF3">
        <w:t xml:space="preserve"> </w:t>
      </w:r>
    </w:p>
    <w:p w14:paraId="281E6C5A" w14:textId="78C5DBDE" w:rsidR="008E7F48" w:rsidRDefault="008E7F48" w:rsidP="009F3CE2">
      <w:pPr>
        <w:rPr>
          <w:kern w:val="2"/>
          <w:lang w:eastAsia="en-AU"/>
          <w14:ligatures w14:val="standardContextual"/>
        </w:rPr>
      </w:pPr>
      <w:r>
        <w:t xml:space="preserve">The aim is a future state that reflects the original intent of the </w:t>
      </w:r>
      <w:r w:rsidR="00DA0335">
        <w:t>Centre for Inclusive Employment</w:t>
      </w:r>
      <w:r>
        <w:t xml:space="preserve"> and </w:t>
      </w:r>
      <w:r w:rsidR="00DA0335">
        <w:t xml:space="preserve">Inclusive Employment Australia </w:t>
      </w:r>
      <w:r>
        <w:t>frameworks</w:t>
      </w:r>
      <w:r w:rsidR="0055193B">
        <w:t xml:space="preserve"> – </w:t>
      </w:r>
      <w:r>
        <w:t>one where providers are equipped, incentivised, and supported to do sustained, demand-side employer engagement as a core part of their work, and where jobseekers with disability have access to consistently high-quality support regardless of which provider they use or where they live.</w:t>
      </w:r>
    </w:p>
    <w:p w14:paraId="6AA4F8E7" w14:textId="77777777" w:rsidR="008E7F48" w:rsidRDefault="008E7F48" w:rsidP="009F3CE2">
      <w:pPr>
        <w:rPr>
          <w:kern w:val="2"/>
          <w:lang w:eastAsia="en-AU"/>
          <w14:ligatures w14:val="standardContextual"/>
        </w:rPr>
      </w:pPr>
      <w:r>
        <w:t>Getting there will require action at two levels.</w:t>
      </w:r>
    </w:p>
    <w:p w14:paraId="74F1EB1A" w14:textId="77777777" w:rsidR="008E7F48" w:rsidRPr="008810F4" w:rsidRDefault="008E7F48" w:rsidP="009F3CE2">
      <w:pPr>
        <w:rPr>
          <w:b/>
          <w:bCs/>
          <w:kern w:val="2"/>
          <w:lang w:eastAsia="en-AU"/>
          <w14:ligatures w14:val="standardContextual"/>
        </w:rPr>
      </w:pPr>
      <w:r w:rsidRPr="008810F4">
        <w:rPr>
          <w:b/>
          <w:bCs/>
        </w:rPr>
        <w:t>At the practice level:</w:t>
      </w:r>
    </w:p>
    <w:p w14:paraId="0049F757" w14:textId="2369EBF6" w:rsidR="00D47B3D" w:rsidRPr="005805E3" w:rsidRDefault="4079038C" w:rsidP="005B1DE5">
      <w:pPr>
        <w:pStyle w:val="ListBullet"/>
      </w:pPr>
      <w:r w:rsidRPr="005805E3">
        <w:t>Repackage existing toolkits, checklists, guides, and practice notes</w:t>
      </w:r>
      <w:r w:rsidR="0055193B" w:rsidRPr="005805E3">
        <w:t xml:space="preserve"> – </w:t>
      </w:r>
      <w:r w:rsidRPr="005805E3">
        <w:t>extract what is transferable and make it openly available across the sector, subject to intellectual property considerations</w:t>
      </w:r>
      <w:r w:rsidR="7BEAA212" w:rsidRPr="005805E3">
        <w:t>.</w:t>
      </w:r>
    </w:p>
    <w:p w14:paraId="30A265A6" w14:textId="05C69640" w:rsidR="00D47B3D" w:rsidRPr="005805E3" w:rsidRDefault="00D47B3D" w:rsidP="005B1DE5">
      <w:pPr>
        <w:pStyle w:val="ListBullet"/>
      </w:pPr>
      <w:r w:rsidRPr="005805E3">
        <w:t>Develop a skills and competency framework for employer-facing staff that sets clear expectations for what good employer engagement looks like and how it should be delivered</w:t>
      </w:r>
      <w:r w:rsidR="4CB04148" w:rsidRPr="005805E3">
        <w:t>.</w:t>
      </w:r>
    </w:p>
    <w:p w14:paraId="61226F1D" w14:textId="5AD5B664" w:rsidR="00D47B3D" w:rsidRPr="005805E3" w:rsidRDefault="00D47B3D" w:rsidP="005B1DE5">
      <w:pPr>
        <w:pStyle w:val="ListBullet"/>
      </w:pPr>
      <w:r w:rsidRPr="005805E3">
        <w:t>Collate and publish employer case examples that show, concretely, how providers have supported inclusive hiring, adjustments, and retention across different industries and cohorts</w:t>
      </w:r>
      <w:r w:rsidR="4CB04148" w:rsidRPr="005805E3">
        <w:t>.</w:t>
      </w:r>
    </w:p>
    <w:p w14:paraId="010DA3A6" w14:textId="31FCAC2E" w:rsidR="00D47B3D" w:rsidRPr="005805E3" w:rsidRDefault="4079038C" w:rsidP="005B1DE5">
      <w:pPr>
        <w:pStyle w:val="ListBullet"/>
      </w:pPr>
      <w:r w:rsidRPr="005805E3">
        <w:t>Facilitate peer learning sessions and communities of practice</w:t>
      </w:r>
      <w:r w:rsidR="0055193B" w:rsidRPr="005805E3">
        <w:t xml:space="preserve"> – </w:t>
      </w:r>
      <w:r w:rsidRPr="005805E3">
        <w:t>bringing together both providers and employers to share what is working and build confidence across the sector</w:t>
      </w:r>
      <w:r w:rsidR="4FCF440D" w:rsidRPr="005805E3">
        <w:t>.</w:t>
      </w:r>
    </w:p>
    <w:p w14:paraId="034BD14E" w14:textId="4EA398E3" w:rsidR="00D47B3D" w:rsidRPr="005805E3" w:rsidRDefault="00D47B3D" w:rsidP="005B1DE5">
      <w:pPr>
        <w:pStyle w:val="ListBullet"/>
      </w:pPr>
      <w:r w:rsidRPr="005805E3">
        <w:t>Develop targeted training and resources for provider leaders and managers, not just frontline staff, to build the organisational conditions that support good employer engagement</w:t>
      </w:r>
      <w:r w:rsidR="42CD3B16" w:rsidRPr="005805E3">
        <w:t>.</w:t>
      </w:r>
    </w:p>
    <w:p w14:paraId="56A0804B" w14:textId="77777777" w:rsidR="008E7F48" w:rsidRPr="008810F4" w:rsidRDefault="008E7F48" w:rsidP="009F3CE2">
      <w:pPr>
        <w:rPr>
          <w:b/>
          <w:bCs/>
          <w:kern w:val="2"/>
          <w:lang w:eastAsia="en-AU"/>
          <w14:ligatures w14:val="standardContextual"/>
        </w:rPr>
      </w:pPr>
      <w:r w:rsidRPr="008810F4">
        <w:rPr>
          <w:b/>
          <w:bCs/>
        </w:rPr>
        <w:t>At the system level:</w:t>
      </w:r>
    </w:p>
    <w:p w14:paraId="0E3273E5" w14:textId="7A0CD0FE" w:rsidR="00D47B3D" w:rsidRPr="00D47B3D" w:rsidRDefault="4079038C" w:rsidP="005B1DE5">
      <w:pPr>
        <w:pStyle w:val="ListBullet"/>
      </w:pPr>
      <w:r w:rsidRPr="3EFB1E93">
        <w:t>Revisit the performance framework and funding settings that currently drive provider behaviour</w:t>
      </w:r>
      <w:r w:rsidR="0055193B">
        <w:t xml:space="preserve"> – </w:t>
      </w:r>
      <w:r w:rsidRPr="3EFB1E93">
        <w:t>and assess honestly whether they incentivise sustained, relationship-based employer engagement or reward placement volume at the expense of quality</w:t>
      </w:r>
      <w:r w:rsidR="07113877" w:rsidRPr="3EFB1E93">
        <w:t>.</w:t>
      </w:r>
    </w:p>
    <w:p w14:paraId="4094D84B" w14:textId="69C91D1F" w:rsidR="00D47B3D" w:rsidRPr="005805E3" w:rsidRDefault="4079038C" w:rsidP="005B1DE5">
      <w:pPr>
        <w:pStyle w:val="ListBullet"/>
      </w:pPr>
      <w:r w:rsidRPr="005805E3">
        <w:lastRenderedPageBreak/>
        <w:t>Develop minimum standards for employer servicing that define what providers are expected to do across the employment journey</w:t>
      </w:r>
      <w:r w:rsidR="3D1025AA" w:rsidRPr="005805E3">
        <w:t xml:space="preserve"> and share them with emp</w:t>
      </w:r>
      <w:r w:rsidR="7E5E8575" w:rsidRPr="005805E3">
        <w:t>l</w:t>
      </w:r>
      <w:r w:rsidR="3D1025AA" w:rsidRPr="005805E3">
        <w:t>oyers and the</w:t>
      </w:r>
      <w:r w:rsidR="7E3E3846" w:rsidRPr="005805E3">
        <w:t>i</w:t>
      </w:r>
      <w:r w:rsidR="3D1025AA" w:rsidRPr="005805E3">
        <w:t>r representatives</w:t>
      </w:r>
    </w:p>
    <w:p w14:paraId="293A8B01" w14:textId="087AB337" w:rsidR="00D47B3D" w:rsidRPr="005805E3" w:rsidRDefault="4079038C" w:rsidP="005B1DE5">
      <w:pPr>
        <w:pStyle w:val="ListBullet"/>
      </w:pPr>
      <w:r w:rsidRPr="005805E3">
        <w:t>Create meaningful incentives for providers to share resources, practices, and learnings across the sector</w:t>
      </w:r>
      <w:r w:rsidR="0055193B" w:rsidRPr="005805E3">
        <w:t xml:space="preserve"> – </w:t>
      </w:r>
      <w:r w:rsidRPr="005805E3">
        <w:t>rather than treating good practice as a competitive advantage</w:t>
      </w:r>
      <w:r w:rsidR="4C3C6921" w:rsidRPr="005805E3">
        <w:t>.</w:t>
      </w:r>
    </w:p>
    <w:p w14:paraId="45F367C0" w14:textId="06120B89" w:rsidR="00D47B3D" w:rsidRPr="005805E3" w:rsidRDefault="00D47B3D" w:rsidP="005B1DE5">
      <w:pPr>
        <w:pStyle w:val="ListBullet"/>
      </w:pPr>
      <w:r w:rsidRPr="005805E3">
        <w:t>Invest in a government-funded, business-backed national campaign on inclusive employment that shifts the broader environment in which providers and employers operate, building employer demand and confidence at scale</w:t>
      </w:r>
      <w:r w:rsidR="5A1FA285" w:rsidRPr="005805E3">
        <w:t>.</w:t>
      </w:r>
    </w:p>
    <w:p w14:paraId="25E0080B" w14:textId="77032731" w:rsidR="00D47B3D" w:rsidRPr="005805E3" w:rsidRDefault="4079038C" w:rsidP="005B1DE5">
      <w:pPr>
        <w:pStyle w:val="ListBullet"/>
      </w:pPr>
      <w:r w:rsidRPr="005805E3">
        <w:t xml:space="preserve">Clarify and strengthen the role of the </w:t>
      </w:r>
      <w:r w:rsidR="00DA0335" w:rsidRPr="005805E3">
        <w:t>Centre for Inclusive Employment</w:t>
      </w:r>
      <w:r w:rsidRPr="005805E3">
        <w:t xml:space="preserve"> as an active convenor</w:t>
      </w:r>
      <w:r w:rsidR="0055193B" w:rsidRPr="005805E3">
        <w:t xml:space="preserve"> – </w:t>
      </w:r>
      <w:r w:rsidRPr="005805E3">
        <w:t>not just a repository</w:t>
      </w:r>
      <w:r w:rsidR="0055193B" w:rsidRPr="005805E3">
        <w:t xml:space="preserve"> – </w:t>
      </w:r>
      <w:r w:rsidRPr="005805E3">
        <w:t>facilitating the connections, shared learning, and sector-wide conversations that a competitive funding environment makes difficult for individual providers to pursue alone</w:t>
      </w:r>
      <w:r w:rsidR="13EA9081" w:rsidRPr="005805E3">
        <w:t>.</w:t>
      </w:r>
    </w:p>
    <w:p w14:paraId="3FCCEACA" w14:textId="6AD85F8A" w:rsidR="00C252C9" w:rsidRDefault="4079038C" w:rsidP="009F3CE2">
      <w:r w:rsidRPr="3EFB1E93">
        <w:t>The question is not whether the sector can improve. The evidence in this report shows it can, and that the foundations exist. What is needed now is the will</w:t>
      </w:r>
      <w:r w:rsidR="0055193B">
        <w:t xml:space="preserve"> – </w:t>
      </w:r>
      <w:r w:rsidRPr="3EFB1E93">
        <w:t>and the structures</w:t>
      </w:r>
      <w:r w:rsidR="0055193B">
        <w:t xml:space="preserve"> – </w:t>
      </w:r>
      <w:r w:rsidRPr="3EFB1E93">
        <w:t>to move from isolated examples of good practice to something that is consistent, scalable, and sustained across the sector as a whole.</w:t>
      </w:r>
    </w:p>
    <w:p w14:paraId="4CEB28D5" w14:textId="77777777" w:rsidR="00E03BDE" w:rsidRDefault="00E03BDE" w:rsidP="009F3CE2"/>
    <w:p w14:paraId="78A4704E" w14:textId="77777777" w:rsidR="00E03BDE" w:rsidRDefault="00E03BDE" w:rsidP="009F3CE2"/>
    <w:p w14:paraId="5F2445E2" w14:textId="77777777" w:rsidR="005805E3" w:rsidRDefault="005805E3" w:rsidP="009F3CE2">
      <w:pPr>
        <w:pStyle w:val="Heading1"/>
      </w:pPr>
      <w:bookmarkStart w:id="124" w:name="_Toc226639177"/>
      <w:r>
        <w:br w:type="page"/>
      </w:r>
    </w:p>
    <w:bookmarkEnd w:id="124"/>
    <w:p w14:paraId="1C339F33" w14:textId="77777777" w:rsidR="00004C6D" w:rsidRDefault="00004C6D" w:rsidP="009F3CE2">
      <w:pPr>
        <w:sectPr w:rsidR="00004C6D" w:rsidSect="00430463">
          <w:pgSz w:w="11906" w:h="16838" w:code="9"/>
          <w:pgMar w:top="1134" w:right="1134" w:bottom="1134" w:left="1134" w:header="454" w:footer="0" w:gutter="0"/>
          <w:cols w:space="708"/>
          <w:docGrid w:linePitch="360"/>
        </w:sectPr>
      </w:pPr>
    </w:p>
    <w:p w14:paraId="3765A754" w14:textId="619B4FB6" w:rsidR="00F952A5" w:rsidRPr="00F952A5" w:rsidRDefault="008303A6" w:rsidP="008303A6">
      <w:pPr>
        <w:pStyle w:val="Heading1"/>
      </w:pPr>
      <w:bookmarkStart w:id="125" w:name="_Toc232075468"/>
      <w:r>
        <w:lastRenderedPageBreak/>
        <w:t>References</w:t>
      </w:r>
      <w:bookmarkEnd w:id="125"/>
    </w:p>
    <w:p w14:paraId="359FA4E5" w14:textId="150EEDFC" w:rsidR="009D1BB1" w:rsidRPr="009D1BB1" w:rsidRDefault="009D1BB1" w:rsidP="00AD2C29">
      <w:pPr>
        <w:pStyle w:val="EndNoteBibliography"/>
      </w:pPr>
      <w:r w:rsidRPr="009D1BB1">
        <w:t xml:space="preserve">AKG. (n.d.). </w:t>
      </w:r>
      <w:r w:rsidRPr="009D1BB1">
        <w:rPr>
          <w:i/>
        </w:rPr>
        <w:t>Employers</w:t>
      </w:r>
      <w:r w:rsidRPr="009D1BB1">
        <w:t xml:space="preserve">. </w:t>
      </w:r>
      <w:r w:rsidRPr="00460017">
        <w:rPr>
          <w:rStyle w:val="Hyperlink"/>
        </w:rPr>
        <w:t>https://akg.com.au/employers/</w:t>
      </w:r>
    </w:p>
    <w:p w14:paraId="5DDA1650" w14:textId="7E652AA0" w:rsidR="009D1BB1" w:rsidRPr="009D1BB1" w:rsidRDefault="009D1BB1" w:rsidP="00AD2C29">
      <w:pPr>
        <w:pStyle w:val="EndNoteBibliography"/>
      </w:pPr>
      <w:r w:rsidRPr="009D1BB1">
        <w:t xml:space="preserve">Aksnes, S. Y., &amp; Breit, E. (2025). Varieties of engagement: exploring the micro-practices of managers in employing disadvantaged jobseekers. </w:t>
      </w:r>
      <w:r w:rsidRPr="009D1BB1">
        <w:rPr>
          <w:i/>
        </w:rPr>
        <w:t>Journal of Social Policy</w:t>
      </w:r>
      <w:r w:rsidRPr="009D1BB1">
        <w:t xml:space="preserve">, 1-21. </w:t>
      </w:r>
      <w:r w:rsidR="00460017" w:rsidRPr="00460017">
        <w:rPr>
          <w:rStyle w:val="Hyperlink"/>
        </w:rPr>
        <w:t>https://doi.org/</w:t>
      </w:r>
      <w:r w:rsidRPr="00460017">
        <w:rPr>
          <w:rStyle w:val="Hyperlink"/>
        </w:rPr>
        <w:t>10.1017/S0047279425000030</w:t>
      </w:r>
      <w:r w:rsidRPr="009D1BB1">
        <w:t xml:space="preserve"> </w:t>
      </w:r>
    </w:p>
    <w:p w14:paraId="411BE073" w14:textId="6498E77E" w:rsidR="009D1BB1" w:rsidRPr="009D1BB1" w:rsidRDefault="009D1BB1" w:rsidP="00AD2C29">
      <w:pPr>
        <w:pStyle w:val="EndNoteBibliography"/>
      </w:pPr>
      <w:r w:rsidRPr="009D1BB1">
        <w:t xml:space="preserve">Australian Disability Network. (2024). </w:t>
      </w:r>
      <w:r w:rsidRPr="009D1BB1">
        <w:rPr>
          <w:i/>
        </w:rPr>
        <w:t>Disability data at work: A practical guide for organisations</w:t>
      </w:r>
      <w:r w:rsidRPr="009D1BB1">
        <w:t xml:space="preserve">. </w:t>
      </w:r>
      <w:r w:rsidRPr="00460017">
        <w:rPr>
          <w:rStyle w:val="Hyperlink"/>
        </w:rPr>
        <w:t>https://australiandisabilitynetwork.org.au/resources/disability-data-at-work</w:t>
      </w:r>
    </w:p>
    <w:p w14:paraId="0A7D92E7" w14:textId="77777777" w:rsidR="009D1BB1" w:rsidRPr="009D1BB1" w:rsidRDefault="009D1BB1" w:rsidP="00AD2C29">
      <w:pPr>
        <w:pStyle w:val="EndNoteBibliography"/>
      </w:pPr>
      <w:r w:rsidRPr="009D1BB1">
        <w:t xml:space="preserve">Baker, O., Ingold, J., Crichton, E., &amp; Carr, T. (2023). Practice case study: Programme commissioning and co-opetition in the UK and Australia. In </w:t>
      </w:r>
      <w:r w:rsidRPr="009D1BB1">
        <w:rPr>
          <w:i/>
        </w:rPr>
        <w:t>Employer Engagement</w:t>
      </w:r>
      <w:r w:rsidRPr="009D1BB1">
        <w:t xml:space="preserve"> (pp. 75-84). Bristol University Press. </w:t>
      </w:r>
    </w:p>
    <w:p w14:paraId="4392E5F9" w14:textId="36E381F9" w:rsidR="009D1BB1" w:rsidRPr="009D1BB1" w:rsidRDefault="009D1BB1" w:rsidP="00AD2C29">
      <w:pPr>
        <w:pStyle w:val="EndNoteBibliography"/>
      </w:pPr>
      <w:r w:rsidRPr="009D1BB1">
        <w:t xml:space="preserve">Bezyak, J., Chan, F., Tansey, T. N., Wu, J.-R., Iwanaga, K., &amp; Lee, D. (2025). Changing human resource professionals from gatekeepers to enablers of disability employment: Lessons learned from disability-employment research. </w:t>
      </w:r>
      <w:r w:rsidRPr="009D1BB1">
        <w:rPr>
          <w:i/>
        </w:rPr>
        <w:t>Journal of Vocational Rehabilitation</w:t>
      </w:r>
      <w:r w:rsidRPr="009D1BB1">
        <w:t>,</w:t>
      </w:r>
      <w:r w:rsidRPr="009D1BB1">
        <w:rPr>
          <w:i/>
        </w:rPr>
        <w:t xml:space="preserve"> 62</w:t>
      </w:r>
      <w:r w:rsidRPr="009D1BB1">
        <w:t xml:space="preserve">(1), 76-81. </w:t>
      </w:r>
      <w:r w:rsidR="00460017" w:rsidRPr="00460017">
        <w:rPr>
          <w:rStyle w:val="Hyperlink"/>
        </w:rPr>
        <w:t>https://doi.org/</w:t>
      </w:r>
      <w:r w:rsidRPr="00460017">
        <w:rPr>
          <w:rStyle w:val="Hyperlink"/>
        </w:rPr>
        <w:t>10.1177/10522263241300813</w:t>
      </w:r>
      <w:r w:rsidRPr="009D1BB1">
        <w:t xml:space="preserve"> </w:t>
      </w:r>
    </w:p>
    <w:p w14:paraId="367C50B2" w14:textId="39DE3DA4" w:rsidR="009D1BB1" w:rsidRPr="009D1BB1" w:rsidRDefault="009D1BB1" w:rsidP="00AD2C29">
      <w:pPr>
        <w:pStyle w:val="EndNoteBibliography"/>
      </w:pPr>
      <w:r w:rsidRPr="009D1BB1">
        <w:t xml:space="preserve">Blajeski, S. M., Smith, M. J., Harrington, M. M., Johnson, J. M., Oulvey, E. A., Mueser, K. T., McGurk, S. R., &amp; Razzano, L. A. (2023). Critical elements in the experience of virtual reality job interview training for unemployed individuals with serious mental illness: Implications for IPS supported employment. </w:t>
      </w:r>
      <w:r w:rsidRPr="009D1BB1">
        <w:rPr>
          <w:i/>
        </w:rPr>
        <w:t>Psychiatric rehabilitation journal</w:t>
      </w:r>
      <w:r w:rsidRPr="009D1BB1">
        <w:t>,</w:t>
      </w:r>
      <w:r w:rsidRPr="009D1BB1">
        <w:rPr>
          <w:i/>
        </w:rPr>
        <w:t xml:space="preserve"> 46</w:t>
      </w:r>
      <w:r w:rsidRPr="009D1BB1">
        <w:t xml:space="preserve">(4), 353. </w:t>
      </w:r>
      <w:r w:rsidR="00460017" w:rsidRPr="00460017">
        <w:rPr>
          <w:rStyle w:val="Hyperlink"/>
        </w:rPr>
        <w:t>https://doi.org/</w:t>
      </w:r>
      <w:r w:rsidRPr="00460017">
        <w:rPr>
          <w:rStyle w:val="Hyperlink"/>
        </w:rPr>
        <w:t>10.1037/prj0000574</w:t>
      </w:r>
      <w:r w:rsidRPr="009D1BB1">
        <w:t xml:space="preserve"> </w:t>
      </w:r>
    </w:p>
    <w:p w14:paraId="451FD4A6" w14:textId="77777777" w:rsidR="009D1BB1" w:rsidRPr="009D1BB1" w:rsidRDefault="009D1BB1" w:rsidP="00AD2C29">
      <w:pPr>
        <w:pStyle w:val="EndNoteBibliography"/>
      </w:pPr>
      <w:r w:rsidRPr="009D1BB1">
        <w:t xml:space="preserve">Borghouts, I., &amp; Freese, C. (2023). HRM and social security: It takes two to create a transitional labour market. In </w:t>
      </w:r>
      <w:r w:rsidRPr="009D1BB1">
        <w:rPr>
          <w:i/>
        </w:rPr>
        <w:t>Employer Engagement</w:t>
      </w:r>
      <w:r w:rsidRPr="009D1BB1">
        <w:t xml:space="preserve"> (pp. 182-200). Bristol University Press. </w:t>
      </w:r>
    </w:p>
    <w:p w14:paraId="2480C174" w14:textId="07CFA20F" w:rsidR="009D1BB1" w:rsidRPr="009D1BB1" w:rsidRDefault="009D1BB1" w:rsidP="00AD2C29">
      <w:pPr>
        <w:pStyle w:val="EndNoteBibliography"/>
      </w:pPr>
      <w:r w:rsidRPr="009D1BB1">
        <w:t xml:space="preserve">Bosman, R., van Heijster, H., Borghouts, I., &amp; Freese, C. (2025). A Scoping Review on the Conceptualisation of Employer Engagement in the Employment of Vulnerable Workers: An Interdisciplinary Perspective. </w:t>
      </w:r>
      <w:r w:rsidRPr="009D1BB1">
        <w:rPr>
          <w:i/>
        </w:rPr>
        <w:t>Social Policy and Society</w:t>
      </w:r>
      <w:r w:rsidRPr="009D1BB1">
        <w:t xml:space="preserve">, 1-30. </w:t>
      </w:r>
      <w:r w:rsidR="00460017" w:rsidRPr="00460017">
        <w:rPr>
          <w:rStyle w:val="Hyperlink"/>
        </w:rPr>
        <w:t>https://doi.org/</w:t>
      </w:r>
      <w:r w:rsidRPr="00460017">
        <w:rPr>
          <w:rStyle w:val="Hyperlink"/>
        </w:rPr>
        <w:t>10.1017/S1474746425100870</w:t>
      </w:r>
      <w:r w:rsidRPr="009D1BB1">
        <w:t xml:space="preserve"> </w:t>
      </w:r>
    </w:p>
    <w:p w14:paraId="35AB8647" w14:textId="77777777" w:rsidR="009D1BB1" w:rsidRPr="009D1BB1" w:rsidRDefault="009D1BB1" w:rsidP="00AD2C29">
      <w:pPr>
        <w:pStyle w:val="EndNoteBibliography"/>
      </w:pPr>
      <w:r w:rsidRPr="009D1BB1">
        <w:t xml:space="preserve">Bredgaard, T., Ingold, J., &amp; Van Berkel, R. (2023). Varieties of policy approaches to employer engagement in activation policies. In </w:t>
      </w:r>
      <w:r w:rsidRPr="009D1BB1">
        <w:rPr>
          <w:i/>
        </w:rPr>
        <w:t>Employer Engagement</w:t>
      </w:r>
      <w:r w:rsidRPr="009D1BB1">
        <w:t xml:space="preserve"> (pp. 15-33). Bristol University Press. </w:t>
      </w:r>
    </w:p>
    <w:p w14:paraId="1AA9A210" w14:textId="77777777" w:rsidR="009D1BB1" w:rsidRPr="009D1BB1" w:rsidRDefault="009D1BB1" w:rsidP="00AD2C29">
      <w:pPr>
        <w:pStyle w:val="EndNoteBibliography"/>
      </w:pPr>
      <w:r w:rsidRPr="009D1BB1">
        <w:t xml:space="preserve">Breit, E., Bråthen, M., &amp; Sadeghi, T. (2025). Distinctions between inclusive and non-inclusive companies for persons with disability: Exploring the impact of COM-B and HRM practices. </w:t>
      </w:r>
      <w:r w:rsidRPr="009D1BB1">
        <w:rPr>
          <w:i/>
        </w:rPr>
        <w:t>Work</w:t>
      </w:r>
      <w:r w:rsidRPr="009D1BB1">
        <w:t>,</w:t>
      </w:r>
      <w:r w:rsidRPr="009D1BB1">
        <w:rPr>
          <w:i/>
        </w:rPr>
        <w:t xml:space="preserve"> 81</w:t>
      </w:r>
      <w:r w:rsidRPr="009D1BB1">
        <w:t xml:space="preserve">(2), 2651-2661. </w:t>
      </w:r>
    </w:p>
    <w:p w14:paraId="364538DE" w14:textId="3744D989" w:rsidR="009D1BB1" w:rsidRPr="009D1BB1" w:rsidRDefault="009D1BB1" w:rsidP="00AD2C29">
      <w:pPr>
        <w:pStyle w:val="EndNoteBibliography"/>
      </w:pPr>
      <w:r w:rsidRPr="009D1BB1">
        <w:t xml:space="preserve">British Association for Supported Employment. (2024a). Supported Employment Manager’s Guide. </w:t>
      </w:r>
      <w:r w:rsidRPr="00460017">
        <w:rPr>
          <w:rStyle w:val="Hyperlink"/>
        </w:rPr>
        <w:t>https://cdn.ymaws.com/base-uk.site-ym.com/resource/resmgr/quality/Supported_Employment_Manager.pdf</w:t>
      </w:r>
      <w:r w:rsidRPr="009D1BB1">
        <w:t xml:space="preserve"> </w:t>
      </w:r>
    </w:p>
    <w:p w14:paraId="09DB218C" w14:textId="675A2081" w:rsidR="009D1BB1" w:rsidRPr="00460017" w:rsidRDefault="009D1BB1" w:rsidP="00AD2C29">
      <w:pPr>
        <w:pStyle w:val="EndNoteBibliography"/>
        <w:rPr>
          <w:rStyle w:val="Hyperlink"/>
        </w:rPr>
      </w:pPr>
      <w:r w:rsidRPr="009D1BB1">
        <w:t xml:space="preserve">British Association for Supported Employment. (2024b). Supported </w:t>
      </w:r>
      <w:r w:rsidRPr="009D1BB1">
        <w:lastRenderedPageBreak/>
        <w:t xml:space="preserve">Employment Quality Framework (SEQF) model fidelity assessment handbook. </w:t>
      </w:r>
      <w:r w:rsidRPr="00460017">
        <w:rPr>
          <w:rStyle w:val="Hyperlink"/>
        </w:rPr>
        <w:t xml:space="preserve">https://cdn.ymaws.com/base-uk.site-ym.com/resource/resmgr/quality/seqf_model_fidelity_assessme.pdf </w:t>
      </w:r>
    </w:p>
    <w:p w14:paraId="54F15603" w14:textId="74DF3299" w:rsidR="009D1BB1" w:rsidRPr="009D1BB1" w:rsidRDefault="009D1BB1" w:rsidP="00AD2C29">
      <w:pPr>
        <w:pStyle w:val="EndNoteBibliography"/>
      </w:pPr>
      <w:r w:rsidRPr="009D1BB1">
        <w:t xml:space="preserve">Burke, J., Bezyak, J., Fraser, R. T., Pete, J., Ditchman, N., &amp; Chan, F. (2013). Employers' attitudes towards hiring and retaining people with disabilities: A review of the literature. </w:t>
      </w:r>
      <w:r w:rsidRPr="009D1BB1">
        <w:rPr>
          <w:i/>
        </w:rPr>
        <w:t>The Australian Journal of Rehabilitation Counselling</w:t>
      </w:r>
      <w:r w:rsidRPr="009D1BB1">
        <w:t>,</w:t>
      </w:r>
      <w:r w:rsidRPr="009D1BB1">
        <w:rPr>
          <w:i/>
        </w:rPr>
        <w:t xml:space="preserve"> 19</w:t>
      </w:r>
      <w:r w:rsidRPr="009D1BB1">
        <w:t xml:space="preserve">(1), 21-38. </w:t>
      </w:r>
      <w:r w:rsidR="00460017" w:rsidRPr="00460017">
        <w:rPr>
          <w:rStyle w:val="Hyperlink"/>
        </w:rPr>
        <w:t>https://doi.org/</w:t>
      </w:r>
      <w:r w:rsidRPr="00460017">
        <w:rPr>
          <w:rStyle w:val="Hyperlink"/>
        </w:rPr>
        <w:t>10.1017/jrc.2013.2</w:t>
      </w:r>
      <w:r w:rsidRPr="009D1BB1">
        <w:t xml:space="preserve"> </w:t>
      </w:r>
    </w:p>
    <w:p w14:paraId="29BF49BF" w14:textId="77777777" w:rsidR="009D1BB1" w:rsidRPr="009D1BB1" w:rsidRDefault="009D1BB1" w:rsidP="00AD2C29">
      <w:pPr>
        <w:pStyle w:val="EndNoteBibliography"/>
      </w:pPr>
      <w:r w:rsidRPr="009D1BB1">
        <w:t xml:space="preserve">Carpenter, C., &amp; Daly, J. (2019). Creating an employment collaborative. </w:t>
      </w:r>
      <w:r w:rsidRPr="009D1BB1">
        <w:rPr>
          <w:i/>
        </w:rPr>
        <w:t>Journal of Vocational Rehabilitation</w:t>
      </w:r>
      <w:r w:rsidRPr="009D1BB1">
        <w:t>,</w:t>
      </w:r>
      <w:r w:rsidRPr="009D1BB1">
        <w:rPr>
          <w:i/>
        </w:rPr>
        <w:t xml:space="preserve"> 50</w:t>
      </w:r>
      <w:r w:rsidRPr="009D1BB1">
        <w:t xml:space="preserve">(3), 331-338. </w:t>
      </w:r>
    </w:p>
    <w:p w14:paraId="15C83942" w14:textId="2620E519" w:rsidR="009D1BB1" w:rsidRPr="00460017" w:rsidRDefault="009D1BB1" w:rsidP="00AD2C29">
      <w:pPr>
        <w:pStyle w:val="EndNoteBibliography"/>
        <w:rPr>
          <w:rStyle w:val="Hyperlink"/>
        </w:rPr>
      </w:pPr>
      <w:r w:rsidRPr="009D1BB1">
        <w:t xml:space="preserve">Chan, F., Strauser, D., Maher, P., Lee, E.-J., Jones, R., &amp; Johnson, E. T. (2010). Demand-side factors related to employment of people with disabilities: A survey of employers in the Midwest region of the United States. </w:t>
      </w:r>
      <w:r w:rsidRPr="009D1BB1">
        <w:rPr>
          <w:i/>
        </w:rPr>
        <w:t>Journal of Occupational Rehabilitation</w:t>
      </w:r>
      <w:r w:rsidRPr="009D1BB1">
        <w:t>,</w:t>
      </w:r>
      <w:r w:rsidRPr="009D1BB1">
        <w:rPr>
          <w:i/>
        </w:rPr>
        <w:t xml:space="preserve"> 20</w:t>
      </w:r>
      <w:r w:rsidRPr="009D1BB1">
        <w:t xml:space="preserve">(4), 412-419. </w:t>
      </w:r>
      <w:r w:rsidR="00460017" w:rsidRPr="00460017">
        <w:rPr>
          <w:rStyle w:val="Hyperlink"/>
        </w:rPr>
        <w:t>https://doi.org/</w:t>
      </w:r>
      <w:r w:rsidRPr="00460017">
        <w:rPr>
          <w:rStyle w:val="Hyperlink"/>
        </w:rPr>
        <w:t xml:space="preserve">10.1007/s10926-010-9252-6 </w:t>
      </w:r>
    </w:p>
    <w:p w14:paraId="28CF1D22" w14:textId="77777777" w:rsidR="009D1BB1" w:rsidRPr="009D1BB1" w:rsidRDefault="009D1BB1" w:rsidP="00AD2C29">
      <w:pPr>
        <w:pStyle w:val="EndNoteBibliography"/>
      </w:pPr>
      <w:r w:rsidRPr="009D1BB1">
        <w:t>Che, X. X., &amp; Liu, W. (2017). The Best Practice in Researcher Employer Collaboration: A Study about Employer Practices around Disability. In: Wiley Online Library.</w:t>
      </w:r>
    </w:p>
    <w:p w14:paraId="0BE24029" w14:textId="77DAB4DD" w:rsidR="009D1BB1" w:rsidRPr="00460017" w:rsidRDefault="009D1BB1" w:rsidP="00AD2C29">
      <w:pPr>
        <w:pStyle w:val="EndNoteBibliography"/>
        <w:rPr>
          <w:rStyle w:val="Hyperlink"/>
        </w:rPr>
      </w:pPr>
      <w:r w:rsidRPr="009D1BB1">
        <w:t xml:space="preserve">Choudhury Kaul, S., Alam, Q., &amp; Sandhu, M. S. (2022). Why disability mainstreaming is good for business: A new narrative. </w:t>
      </w:r>
      <w:r w:rsidRPr="009D1BB1">
        <w:rPr>
          <w:i/>
        </w:rPr>
        <w:t>Journal of business ethics</w:t>
      </w:r>
      <w:r w:rsidRPr="009D1BB1">
        <w:t>,</w:t>
      </w:r>
      <w:r w:rsidRPr="009D1BB1">
        <w:rPr>
          <w:i/>
        </w:rPr>
        <w:t xml:space="preserve"> 177</w:t>
      </w:r>
      <w:r w:rsidRPr="009D1BB1">
        <w:t xml:space="preserve">(4), 861-873. </w:t>
      </w:r>
      <w:r w:rsidR="00460017" w:rsidRPr="00460017">
        <w:rPr>
          <w:rStyle w:val="Hyperlink"/>
        </w:rPr>
        <w:t>https://doi.org/</w:t>
      </w:r>
      <w:r w:rsidRPr="00460017">
        <w:rPr>
          <w:rStyle w:val="Hyperlink"/>
        </w:rPr>
        <w:t xml:space="preserve">10.1007/s10551-022-05095-0 </w:t>
      </w:r>
    </w:p>
    <w:p w14:paraId="5C719477" w14:textId="4BE13FC6" w:rsidR="009D1BB1" w:rsidRPr="009D1BB1" w:rsidRDefault="009D1BB1" w:rsidP="00AD2C29">
      <w:pPr>
        <w:pStyle w:val="EndNoteBibliography"/>
      </w:pPr>
      <w:r w:rsidRPr="009D1BB1">
        <w:t xml:space="preserve">Colmar Brunton Social Research. (2019). </w:t>
      </w:r>
      <w:r w:rsidRPr="009D1BB1">
        <w:rPr>
          <w:i/>
        </w:rPr>
        <w:t>Evaluation of JobAccess Service - June 2019</w:t>
      </w:r>
      <w:r w:rsidRPr="009D1BB1">
        <w:t xml:space="preserve">. </w:t>
      </w:r>
      <w:r w:rsidRPr="00460017">
        <w:rPr>
          <w:rStyle w:val="Hyperlink"/>
        </w:rPr>
        <w:t>https://www.dss.gov.au/disability-employment-reforms/resource/evaluation-jobaccess-service-june-2019</w:t>
      </w:r>
    </w:p>
    <w:p w14:paraId="2A20271C" w14:textId="77777777" w:rsidR="009D1BB1" w:rsidRPr="009D1BB1" w:rsidRDefault="009D1BB1" w:rsidP="00AD2C29">
      <w:pPr>
        <w:pStyle w:val="EndNoteBibliography"/>
      </w:pPr>
      <w:r w:rsidRPr="009D1BB1">
        <w:t>Crosbie, J., Wilson, E., Anderson, J., &amp; Riseley, E. (2025). Employing 100 evaluation: Final report. In Centre for Social Impact (Ed.).</w:t>
      </w:r>
    </w:p>
    <w:p w14:paraId="07514EF3" w14:textId="00D99091" w:rsidR="009D1BB1" w:rsidRPr="009D1BB1" w:rsidRDefault="009D1BB1" w:rsidP="00AD2C29">
      <w:pPr>
        <w:pStyle w:val="EndNoteBibliography"/>
      </w:pPr>
      <w:r w:rsidRPr="009D1BB1">
        <w:t xml:space="preserve">Daguerre, A., Vincent, S., Ingold, J., &amp; Lee, Q. Y. (2025). The Politics of Regulation in the UK, the US and Australia: Final Report of the ESRC-funded Project. </w:t>
      </w:r>
      <w:r w:rsidR="00460017" w:rsidRPr="00460017">
        <w:rPr>
          <w:rStyle w:val="Hyperlink"/>
        </w:rPr>
        <w:t>https://www.activatingemployers.org/uploads/publications/Activation_Through_Procurement_Final.pdf&amp;ved=2ahUKEwjk-vX7h_mUAxXe1jgGHbXFO0UQFnoECBkQAQ&amp;usg=AOvVaw3kHzyKYu9EeXllnmg1aUMq</w:t>
      </w:r>
    </w:p>
    <w:p w14:paraId="18E2780A" w14:textId="77777777" w:rsidR="009D1BB1" w:rsidRPr="009D1BB1" w:rsidRDefault="009D1BB1" w:rsidP="00AD2C29">
      <w:pPr>
        <w:pStyle w:val="EndNoteBibliography"/>
      </w:pPr>
      <w:r w:rsidRPr="009D1BB1">
        <w:t xml:space="preserve">Dall, T., Larsen, F., &amp; Madsen, M. B. (2023). Opening the Black Box: promoting employer engagement at the street level of employment services. In </w:t>
      </w:r>
      <w:r w:rsidRPr="009D1BB1">
        <w:rPr>
          <w:i/>
        </w:rPr>
        <w:t>Employer Engagement</w:t>
      </w:r>
      <w:r w:rsidRPr="009D1BB1">
        <w:t xml:space="preserve"> (pp. 106-125). Bristol University Press. </w:t>
      </w:r>
    </w:p>
    <w:p w14:paraId="72274EEF" w14:textId="30A7EA51" w:rsidR="009D1BB1" w:rsidRPr="009D1BB1" w:rsidRDefault="009D1BB1" w:rsidP="00AD2C29">
      <w:pPr>
        <w:pStyle w:val="EndNoteBibliography"/>
      </w:pPr>
      <w:r w:rsidRPr="009D1BB1">
        <w:t xml:space="preserve">De Dios Pérez, B., das Nair, R., &amp; Radford, K. (2024). A mixed-methods feasibility case series of a job retention vocational rehabilitation intervention for people with multiple sclerosis. </w:t>
      </w:r>
      <w:r w:rsidRPr="009D1BB1">
        <w:rPr>
          <w:i/>
        </w:rPr>
        <w:t>Disability and Rehabilitation</w:t>
      </w:r>
      <w:r w:rsidRPr="009D1BB1">
        <w:t>,</w:t>
      </w:r>
      <w:r w:rsidRPr="009D1BB1">
        <w:rPr>
          <w:i/>
        </w:rPr>
        <w:t xml:space="preserve"> 46</w:t>
      </w:r>
      <w:r w:rsidRPr="009D1BB1">
        <w:t xml:space="preserve">(5), 875-886. </w:t>
      </w:r>
      <w:r w:rsidR="00460017" w:rsidRPr="00460017">
        <w:rPr>
          <w:rStyle w:val="Hyperlink"/>
        </w:rPr>
        <w:t>https://doi.org/</w:t>
      </w:r>
      <w:r w:rsidRPr="00460017">
        <w:rPr>
          <w:rStyle w:val="Hyperlink"/>
        </w:rPr>
        <w:t>10.1080/09638288.2023.2181411</w:t>
      </w:r>
      <w:r w:rsidRPr="009D1BB1">
        <w:t xml:space="preserve"> </w:t>
      </w:r>
    </w:p>
    <w:p w14:paraId="31AC3097" w14:textId="72C97671" w:rsidR="009D1BB1" w:rsidRPr="009D1BB1" w:rsidRDefault="009D1BB1" w:rsidP="00AD2C29">
      <w:pPr>
        <w:pStyle w:val="EndNoteBibliography"/>
      </w:pPr>
      <w:r w:rsidRPr="009D1BB1">
        <w:t xml:space="preserve">Department of Employment and Workplace Relations. (2023). </w:t>
      </w:r>
      <w:r w:rsidRPr="009D1BB1">
        <w:rPr>
          <w:i/>
        </w:rPr>
        <w:t xml:space="preserve">New Employment Services Trial Evaluation Phase 1 Report </w:t>
      </w:r>
      <w:r w:rsidRPr="00460017">
        <w:rPr>
          <w:rStyle w:val="Hyperlink"/>
        </w:rPr>
        <w:t>https://www.dewr.gov.au/employment-research/resources/new-employment-services-trial-evaluation-phase-1-report</w:t>
      </w:r>
    </w:p>
    <w:p w14:paraId="2A9E5D4E" w14:textId="4B05F291" w:rsidR="009D1BB1" w:rsidRPr="009D1BB1" w:rsidRDefault="009D1BB1" w:rsidP="00AD2C29">
      <w:pPr>
        <w:pStyle w:val="EndNoteBibliography"/>
      </w:pPr>
      <w:r w:rsidRPr="009D1BB1">
        <w:lastRenderedPageBreak/>
        <w:t xml:space="preserve">Department of Employment and Workplace Relations. (2024). </w:t>
      </w:r>
      <w:r w:rsidRPr="009D1BB1">
        <w:rPr>
          <w:i/>
        </w:rPr>
        <w:t>Online Employment Services Evaluation 2020–2022</w:t>
      </w:r>
      <w:r w:rsidRPr="009D1BB1">
        <w:t xml:space="preserve">. </w:t>
      </w:r>
      <w:r w:rsidRPr="00460017">
        <w:rPr>
          <w:rStyle w:val="Hyperlink"/>
        </w:rPr>
        <w:t>https://www.dewr.gov.au/employment-services-evaluations/resources/online-employment-services-evaluation-2020-2022</w:t>
      </w:r>
    </w:p>
    <w:p w14:paraId="1E82BA9A" w14:textId="60F51F0A" w:rsidR="009D1BB1" w:rsidRPr="009D1BB1" w:rsidRDefault="009D1BB1" w:rsidP="00AD2C29">
      <w:pPr>
        <w:pStyle w:val="EndNoteBibliography"/>
      </w:pPr>
      <w:r w:rsidRPr="009D1BB1">
        <w:t xml:space="preserve">Department of Social Services. (2026). </w:t>
      </w:r>
      <w:r w:rsidRPr="009D1BB1">
        <w:rPr>
          <w:i/>
        </w:rPr>
        <w:t>Inclusive Employment Australia</w:t>
      </w:r>
      <w:r w:rsidRPr="009D1BB1">
        <w:t xml:space="preserve">. </w:t>
      </w:r>
      <w:r w:rsidRPr="00460017">
        <w:rPr>
          <w:rStyle w:val="Hyperlink"/>
        </w:rPr>
        <w:t>https://www.dss.gov.au/inclusive-employment-australia</w:t>
      </w:r>
    </w:p>
    <w:p w14:paraId="4B58A194" w14:textId="39790655" w:rsidR="009D1BB1" w:rsidRDefault="009D1BB1" w:rsidP="00AD2C29">
      <w:pPr>
        <w:pStyle w:val="EndNoteBibliography"/>
      </w:pPr>
      <w:r w:rsidRPr="00AD2C29">
        <w:t>Derbyshire, D. W., Jeanes, E., Morasae, E. K., Reh, S., &amp; Rogers, M. (2024). Employer</w:t>
      </w:r>
      <w:r w:rsidRPr="009D1BB1">
        <w:t xml:space="preserve">-focused interventions targeting disability employment: A systematic review. </w:t>
      </w:r>
      <w:r w:rsidRPr="009D1BB1">
        <w:rPr>
          <w:i/>
        </w:rPr>
        <w:t>Social Science &amp; Medicine</w:t>
      </w:r>
      <w:r w:rsidRPr="009D1BB1">
        <w:t>,</w:t>
      </w:r>
      <w:r w:rsidRPr="009D1BB1">
        <w:rPr>
          <w:i/>
        </w:rPr>
        <w:t xml:space="preserve"> 347</w:t>
      </w:r>
      <w:r w:rsidRPr="009D1BB1">
        <w:t xml:space="preserve">, 116742. </w:t>
      </w:r>
      <w:r w:rsidR="00460017" w:rsidRPr="00460017">
        <w:rPr>
          <w:rStyle w:val="Hyperlink"/>
        </w:rPr>
        <w:t>https://doi.org/</w:t>
      </w:r>
      <w:r w:rsidRPr="00460017">
        <w:rPr>
          <w:rStyle w:val="Hyperlink"/>
        </w:rPr>
        <w:t>10.1016/j.socscimed.2024.116742</w:t>
      </w:r>
      <w:r w:rsidRPr="009D1BB1">
        <w:t xml:space="preserve"> </w:t>
      </w:r>
    </w:p>
    <w:p w14:paraId="54A29318" w14:textId="2628F674" w:rsidR="00E64E48" w:rsidRPr="00AD2C29" w:rsidRDefault="00AD2C29" w:rsidP="00AD2C29">
      <w:pPr>
        <w:pStyle w:val="EndNoteBibliography"/>
        <w:rPr>
          <w:b/>
          <w:i/>
          <w:iCs/>
        </w:rPr>
      </w:pPr>
      <w:r w:rsidRPr="00CC6638">
        <w:t>Donmanige, I.</w:t>
      </w:r>
      <w:r>
        <w:t xml:space="preserve">, </w:t>
      </w:r>
      <w:r w:rsidRPr="00CC6638">
        <w:t>Lee, Q.Y. &amp; Ingold, J.</w:t>
      </w:r>
      <w:r>
        <w:t xml:space="preserve"> </w:t>
      </w:r>
      <w:r w:rsidRPr="00CC6638">
        <w:t>(2026)</w:t>
      </w:r>
      <w:r w:rsidRPr="00CC6638">
        <w:rPr>
          <w:i/>
          <w:iCs/>
        </w:rPr>
        <w:t xml:space="preserve"> </w:t>
      </w:r>
      <w:r w:rsidRPr="00CC6638">
        <w:t xml:space="preserve">Engaging employers to </w:t>
      </w:r>
      <w:r>
        <w:t xml:space="preserve">increase the employment of </w:t>
      </w:r>
      <w:r w:rsidRPr="00CC6638">
        <w:t xml:space="preserve">people with disability in Australia. </w:t>
      </w:r>
      <w:r>
        <w:t xml:space="preserve">Appendices and references. </w:t>
      </w:r>
      <w:r w:rsidRPr="00CC6638">
        <w:t>Centre for Inclusive Employment</w:t>
      </w:r>
      <w:r>
        <w:t>.</w:t>
      </w:r>
    </w:p>
    <w:p w14:paraId="6339AB0D" w14:textId="3159ED78" w:rsidR="009D1BB1" w:rsidRPr="009D1BB1" w:rsidRDefault="009D1BB1" w:rsidP="00AD2C29">
      <w:pPr>
        <w:pStyle w:val="EndNoteBibliography"/>
      </w:pPr>
      <w:r w:rsidRPr="009D1BB1">
        <w:t xml:space="preserve">Dos Santos, B. B., Nascimento, J. d. S., &amp; Alonso, C. M. d. C. (2025). Accommodations in the workplace for cancer survivors: A systematic review. </w:t>
      </w:r>
      <w:r w:rsidRPr="009D1BB1">
        <w:rPr>
          <w:i/>
        </w:rPr>
        <w:t>Work</w:t>
      </w:r>
      <w:r w:rsidRPr="009D1BB1">
        <w:t>,</w:t>
      </w:r>
      <w:r w:rsidRPr="009D1BB1">
        <w:rPr>
          <w:i/>
        </w:rPr>
        <w:t xml:space="preserve"> 82</w:t>
      </w:r>
      <w:r w:rsidRPr="009D1BB1">
        <w:t xml:space="preserve">(4), 982-993. </w:t>
      </w:r>
      <w:r w:rsidR="00460017" w:rsidRPr="00460017">
        <w:rPr>
          <w:rStyle w:val="Hyperlink"/>
        </w:rPr>
        <w:t>https://doi.org/</w:t>
      </w:r>
      <w:r w:rsidRPr="00460017">
        <w:rPr>
          <w:rStyle w:val="Hyperlink"/>
        </w:rPr>
        <w:t>10.1177/10519815251357580</w:t>
      </w:r>
      <w:r w:rsidRPr="009D1BB1">
        <w:t xml:space="preserve"> </w:t>
      </w:r>
    </w:p>
    <w:p w14:paraId="362D987F" w14:textId="7C021258" w:rsidR="009D1BB1" w:rsidRPr="009D1BB1" w:rsidRDefault="009D1BB1" w:rsidP="00AD2C29">
      <w:pPr>
        <w:pStyle w:val="EndNoteBibliography"/>
      </w:pPr>
      <w:r w:rsidRPr="009D1BB1">
        <w:t xml:space="preserve">Enehaug, H., Spjelkavik, Ø., Falkum, E., &amp; Frøyland, K. (2022). Workplace inclusion competence and employer engagement. </w:t>
      </w:r>
      <w:r w:rsidRPr="009D1BB1">
        <w:rPr>
          <w:i/>
        </w:rPr>
        <w:t>Nordic Journal of working life studies</w:t>
      </w:r>
      <w:r w:rsidRPr="009D1BB1">
        <w:t xml:space="preserve">. </w:t>
      </w:r>
      <w:r w:rsidR="00460017" w:rsidRPr="00460017">
        <w:rPr>
          <w:rStyle w:val="Hyperlink"/>
        </w:rPr>
        <w:t>https://doi.org/</w:t>
      </w:r>
      <w:r w:rsidRPr="00460017">
        <w:rPr>
          <w:rStyle w:val="Hyperlink"/>
        </w:rPr>
        <w:t>10.18291/njwls.128260</w:t>
      </w:r>
      <w:r w:rsidRPr="009D1BB1">
        <w:t xml:space="preserve"> </w:t>
      </w:r>
    </w:p>
    <w:p w14:paraId="5DCFF631" w14:textId="77777777" w:rsidR="009D1BB1" w:rsidRPr="009D1BB1" w:rsidRDefault="009D1BB1" w:rsidP="00AD2C29">
      <w:pPr>
        <w:pStyle w:val="EndNoteBibliography"/>
      </w:pPr>
      <w:r w:rsidRPr="009D1BB1">
        <w:t xml:space="preserve">Etherington, D., &amp; Jones, M. (2023). Political Economy of the Inclusive Labour Market Revisited: Welfare through Work in Denmark. In </w:t>
      </w:r>
      <w:r w:rsidRPr="009D1BB1">
        <w:rPr>
          <w:i/>
        </w:rPr>
        <w:t>Employer Engagement</w:t>
      </w:r>
      <w:r w:rsidRPr="009D1BB1">
        <w:t xml:space="preserve"> (pp. 34-51). Bristol University Press. </w:t>
      </w:r>
    </w:p>
    <w:p w14:paraId="5AE44DC4" w14:textId="7427385C" w:rsidR="009D1BB1" w:rsidRPr="009D1BB1" w:rsidRDefault="009D1BB1" w:rsidP="00AD2C29">
      <w:pPr>
        <w:pStyle w:val="EndNoteBibliography"/>
      </w:pPr>
      <w:r w:rsidRPr="009D1BB1">
        <w:t>European Commission. (2014). PES to PES Dialogue Conference  Targeted Services for Employers Toolkit</w:t>
      </w:r>
      <w:r w:rsidR="00460017">
        <w:t xml:space="preserve">. </w:t>
      </w:r>
      <w:r w:rsidRPr="00460017">
        <w:rPr>
          <w:rStyle w:val="Hyperlink"/>
        </w:rPr>
        <w:t>https://ec.europa.eu/social/BlobServlet%3FdocId%3D14083%26langId&amp;ved=2ahUKEwiD45b9g_mUAxWZSGcHHbfHEUIQFnoECBgQAQ&amp;usg=AOvVaw0iMMQFCk7hZ5IZ5kvU-O3B</w:t>
      </w:r>
      <w:r w:rsidRPr="009D1BB1">
        <w:t xml:space="preserve"> </w:t>
      </w:r>
    </w:p>
    <w:p w14:paraId="7EB83302" w14:textId="44A121DB" w:rsidR="009D1BB1" w:rsidRPr="009D1BB1" w:rsidRDefault="009D1BB1" w:rsidP="00AD2C29">
      <w:pPr>
        <w:pStyle w:val="EndNoteBibliography"/>
      </w:pPr>
      <w:r w:rsidRPr="009D1BB1">
        <w:t xml:space="preserve">European Commission. (2018). Employer’s Toolkit: Engaging with and Improving Services to Employers. </w:t>
      </w:r>
      <w:r w:rsidRPr="00460017">
        <w:rPr>
          <w:rStyle w:val="Hyperlink"/>
        </w:rPr>
        <w:t>https://op.europa.eu/en/publication-detail/-/publication/3004b931-c77f-11e8-9424-01aa75ed71a1/language-en</w:t>
      </w:r>
      <w:r w:rsidRPr="009D1BB1">
        <w:t xml:space="preserve"> </w:t>
      </w:r>
    </w:p>
    <w:p w14:paraId="0274BA46" w14:textId="3EBDD942" w:rsidR="009D1BB1" w:rsidRPr="009D1BB1" w:rsidRDefault="009D1BB1" w:rsidP="00AD2C29">
      <w:pPr>
        <w:pStyle w:val="EndNoteBibliography"/>
      </w:pPr>
      <w:r w:rsidRPr="009D1BB1">
        <w:t xml:space="preserve">European Commission. (2024). </w:t>
      </w:r>
      <w:r w:rsidRPr="009D1BB1">
        <w:rPr>
          <w:i/>
        </w:rPr>
        <w:t>Reasonable accommodation at work: Guidance and good practice</w:t>
      </w:r>
      <w:r w:rsidRPr="009D1BB1">
        <w:t xml:space="preserve">. </w:t>
      </w:r>
      <w:r w:rsidRPr="00460017">
        <w:rPr>
          <w:rStyle w:val="Hyperlink"/>
        </w:rPr>
        <w:t>https://op.europa.eu/webpub/empl/reasonable-accommodation-at-work/en/</w:t>
      </w:r>
    </w:p>
    <w:p w14:paraId="444C949C" w14:textId="26C6DC95" w:rsidR="009D1BB1" w:rsidRPr="009D1BB1" w:rsidRDefault="009D1BB1" w:rsidP="00AD2C29">
      <w:pPr>
        <w:pStyle w:val="EndNoteBibliography"/>
      </w:pPr>
      <w:r w:rsidRPr="009D1BB1">
        <w:t xml:space="preserve">Frøyland, K., &amp; Nordberg, T. H. (2025). Wadel’s Concept of ‘incorporation’: A Means of Improving Sustainable Work Inclusion? </w:t>
      </w:r>
      <w:r w:rsidRPr="009D1BB1">
        <w:rPr>
          <w:i/>
        </w:rPr>
        <w:t>Nordic Journal of working life studies</w:t>
      </w:r>
      <w:r w:rsidRPr="009D1BB1">
        <w:t xml:space="preserve">. </w:t>
      </w:r>
      <w:r w:rsidR="00460017" w:rsidRPr="00460017">
        <w:rPr>
          <w:rStyle w:val="Hyperlink"/>
        </w:rPr>
        <w:t>https://doi.org/</w:t>
      </w:r>
      <w:r w:rsidRPr="00460017">
        <w:rPr>
          <w:rStyle w:val="Hyperlink"/>
        </w:rPr>
        <w:t>10.18291/njwls.147335</w:t>
      </w:r>
      <w:r w:rsidRPr="009D1BB1">
        <w:t xml:space="preserve"> </w:t>
      </w:r>
    </w:p>
    <w:p w14:paraId="1C178B68" w14:textId="1316F4B9" w:rsidR="009D1BB1" w:rsidRPr="009D1BB1" w:rsidRDefault="009D1BB1" w:rsidP="00AD2C29">
      <w:pPr>
        <w:pStyle w:val="EndNoteBibliography"/>
      </w:pPr>
      <w:r w:rsidRPr="009D1BB1">
        <w:t xml:space="preserve">Habeck, R., Hunt, A., Rachel, C. H., Kregel, J., &amp; Chan, F. (2010). Employee retention and integrated disability management practices as demand side factors. </w:t>
      </w:r>
      <w:r w:rsidRPr="009D1BB1">
        <w:rPr>
          <w:i/>
        </w:rPr>
        <w:t>Journal of Occupational Rehabilitation</w:t>
      </w:r>
      <w:r w:rsidRPr="009D1BB1">
        <w:t>,</w:t>
      </w:r>
      <w:r w:rsidRPr="009D1BB1">
        <w:rPr>
          <w:i/>
        </w:rPr>
        <w:t xml:space="preserve"> 20</w:t>
      </w:r>
      <w:r w:rsidRPr="009D1BB1">
        <w:t xml:space="preserve">(4), 443-455. </w:t>
      </w:r>
      <w:r w:rsidR="00460017" w:rsidRPr="00460017">
        <w:rPr>
          <w:rStyle w:val="Hyperlink"/>
        </w:rPr>
        <w:t>https://doi.org/</w:t>
      </w:r>
      <w:r w:rsidRPr="00460017">
        <w:rPr>
          <w:rStyle w:val="Hyperlink"/>
        </w:rPr>
        <w:t>10.1007/s10926-009-9225-9</w:t>
      </w:r>
      <w:r w:rsidRPr="009D1BB1">
        <w:t xml:space="preserve"> </w:t>
      </w:r>
    </w:p>
    <w:p w14:paraId="4DCD3707" w14:textId="732D6512" w:rsidR="009D1BB1" w:rsidRPr="009D1BB1" w:rsidRDefault="009D1BB1" w:rsidP="00AD2C29">
      <w:pPr>
        <w:pStyle w:val="EndNoteBibliography"/>
      </w:pPr>
      <w:r w:rsidRPr="009D1BB1">
        <w:t xml:space="preserve">Habeck, R., Kregel, J., Head, C., &amp; Yasuda, S. (2007). Salient and subtle aspects of </w:t>
      </w:r>
      <w:r w:rsidRPr="009D1BB1">
        <w:lastRenderedPageBreak/>
        <w:t xml:space="preserve">demand side approaches for employment retention: Lessons for public policymakers. </w:t>
      </w:r>
      <w:r w:rsidRPr="009D1BB1">
        <w:rPr>
          <w:i/>
        </w:rPr>
        <w:t>Journal of Vocational Rehabilitation</w:t>
      </w:r>
      <w:r w:rsidRPr="009D1BB1">
        <w:t>,</w:t>
      </w:r>
      <w:r w:rsidRPr="009D1BB1">
        <w:rPr>
          <w:i/>
        </w:rPr>
        <w:t xml:space="preserve"> 26</w:t>
      </w:r>
      <w:r w:rsidRPr="009D1BB1">
        <w:t xml:space="preserve">(1), 21-27. </w:t>
      </w:r>
      <w:r w:rsidR="00460017" w:rsidRPr="00460017">
        <w:rPr>
          <w:rStyle w:val="Hyperlink"/>
        </w:rPr>
        <w:t>https://doi.org/</w:t>
      </w:r>
      <w:r w:rsidRPr="00460017">
        <w:rPr>
          <w:rStyle w:val="Hyperlink"/>
        </w:rPr>
        <w:t>10.3233/jvr-2007-00359</w:t>
      </w:r>
      <w:r w:rsidRPr="009D1BB1">
        <w:t xml:space="preserve"> </w:t>
      </w:r>
    </w:p>
    <w:p w14:paraId="1F8E83B5" w14:textId="41ACB419" w:rsidR="009D1BB1" w:rsidRPr="009D1BB1" w:rsidRDefault="009D1BB1" w:rsidP="00AD2C29">
      <w:pPr>
        <w:pStyle w:val="EndNoteBibliography"/>
      </w:pPr>
      <w:r w:rsidRPr="009D1BB1">
        <w:t xml:space="preserve">Hackney Council. (n.d.). JO Has a Diagnosis of Autism. </w:t>
      </w:r>
    </w:p>
    <w:p w14:paraId="029B6836" w14:textId="125E77B0" w:rsidR="009D1BB1" w:rsidRPr="009D1BB1" w:rsidRDefault="009D1BB1" w:rsidP="00AD2C29">
      <w:pPr>
        <w:pStyle w:val="EndNoteBibliography"/>
      </w:pPr>
      <w:r w:rsidRPr="009D1BB1">
        <w:t xml:space="preserve">Haines, K., Soldner, J. L., Zhang, L., Saint Laurent, M.-L., Knabe, B., West-Evans, K., Mock, L., &amp; Foley, S. (2018). Vocational rehabilitation and business relations: Preliminary indicators of state VR agency capacity. </w:t>
      </w:r>
      <w:r w:rsidRPr="009D1BB1">
        <w:rPr>
          <w:i/>
        </w:rPr>
        <w:t>Journal of Vocational Rehabilitation</w:t>
      </w:r>
      <w:r w:rsidRPr="009D1BB1">
        <w:t>,</w:t>
      </w:r>
      <w:r w:rsidRPr="009D1BB1">
        <w:rPr>
          <w:i/>
        </w:rPr>
        <w:t xml:space="preserve"> 48</w:t>
      </w:r>
      <w:r w:rsidRPr="009D1BB1">
        <w:t xml:space="preserve">(1), 133-145. </w:t>
      </w:r>
      <w:r w:rsidR="00460017" w:rsidRPr="00460017">
        <w:rPr>
          <w:rStyle w:val="Hyperlink"/>
        </w:rPr>
        <w:t>https://doi.org/</w:t>
      </w:r>
      <w:r w:rsidRPr="00460017">
        <w:rPr>
          <w:rStyle w:val="Hyperlink"/>
        </w:rPr>
        <w:t>10.3233/JVR-170921</w:t>
      </w:r>
      <w:r w:rsidRPr="009D1BB1">
        <w:t xml:space="preserve"> </w:t>
      </w:r>
    </w:p>
    <w:p w14:paraId="2211A0AE" w14:textId="77777777" w:rsidR="009D1BB1" w:rsidRPr="009D1BB1" w:rsidRDefault="009D1BB1" w:rsidP="00AD2C29">
      <w:pPr>
        <w:pStyle w:val="EndNoteBibliography"/>
      </w:pPr>
      <w:r w:rsidRPr="009D1BB1">
        <w:t xml:space="preserve">Hamilton, A. (2023). Practice Case Study: Reconnecting Employee and Employer Engagement through Continuous Improvement of Policy. In </w:t>
      </w:r>
      <w:r w:rsidRPr="009D1BB1">
        <w:rPr>
          <w:i/>
        </w:rPr>
        <w:t>Employer Engagement</w:t>
      </w:r>
      <w:r w:rsidRPr="009D1BB1">
        <w:t xml:space="preserve"> (pp. 145-156). Bristol University Press. </w:t>
      </w:r>
    </w:p>
    <w:p w14:paraId="699B5605" w14:textId="77777777" w:rsidR="009D1BB1" w:rsidRPr="009D1BB1" w:rsidRDefault="009D1BB1" w:rsidP="00AD2C29">
      <w:pPr>
        <w:pStyle w:val="EndNoteBibliography"/>
      </w:pPr>
      <w:r w:rsidRPr="009D1BB1">
        <w:t xml:space="preserve">Hanson, W., &amp; Moore, J. (2023). Conditions, processes and pressures promoting inclusive organizations. In </w:t>
      </w:r>
      <w:r w:rsidRPr="009D1BB1">
        <w:rPr>
          <w:i/>
        </w:rPr>
        <w:t>Employer Engagement</w:t>
      </w:r>
      <w:r w:rsidRPr="009D1BB1">
        <w:t xml:space="preserve"> (pp. 201-216). Bristol University Press. </w:t>
      </w:r>
    </w:p>
    <w:p w14:paraId="3EFD9F84" w14:textId="36F37805" w:rsidR="009D1BB1" w:rsidRPr="009D1BB1" w:rsidRDefault="009D1BB1" w:rsidP="00AD2C29">
      <w:pPr>
        <w:pStyle w:val="EndNoteBibliography"/>
      </w:pPr>
      <w:r w:rsidRPr="009D1BB1">
        <w:t xml:space="preserve">Harris, C., Switzer, E., &amp; Gower, W. S. (2017). The Diversity Partners Project: Multi-systemic knowledge translation and business engagement strategies to improve employment of people with disabilities. </w:t>
      </w:r>
      <w:r w:rsidRPr="009D1BB1">
        <w:rPr>
          <w:i/>
        </w:rPr>
        <w:t>Journal of Vocational Rehabilitation</w:t>
      </w:r>
      <w:r w:rsidRPr="009D1BB1">
        <w:t>,</w:t>
      </w:r>
      <w:r w:rsidRPr="009D1BB1">
        <w:rPr>
          <w:i/>
        </w:rPr>
        <w:t xml:space="preserve"> 46</w:t>
      </w:r>
      <w:r w:rsidRPr="009D1BB1">
        <w:t xml:space="preserve">(3), 273-285. </w:t>
      </w:r>
      <w:r w:rsidR="00460017" w:rsidRPr="00460017">
        <w:rPr>
          <w:rStyle w:val="Hyperlink"/>
        </w:rPr>
        <w:t>https://doi.org/</w:t>
      </w:r>
      <w:r w:rsidRPr="00460017">
        <w:rPr>
          <w:rStyle w:val="Hyperlink"/>
        </w:rPr>
        <w:t>10.3233/JVR-170862</w:t>
      </w:r>
      <w:r w:rsidRPr="009D1BB1">
        <w:t xml:space="preserve"> </w:t>
      </w:r>
    </w:p>
    <w:p w14:paraId="60F6E8D0" w14:textId="5D940DF9" w:rsidR="009D1BB1" w:rsidRPr="009D1BB1" w:rsidRDefault="009D1BB1" w:rsidP="00AD2C29">
      <w:pPr>
        <w:pStyle w:val="EndNoteBibliography"/>
      </w:pPr>
      <w:r w:rsidRPr="009D1BB1">
        <w:t xml:space="preserve">Hyggen, C., &amp; Vedeler, J. S. (2021). Employer engagement and active labour market policies. Evidence from a Norwegian multi-method study. </w:t>
      </w:r>
      <w:r w:rsidRPr="009D1BB1">
        <w:rPr>
          <w:i/>
        </w:rPr>
        <w:t>Social Policy and Society</w:t>
      </w:r>
      <w:r w:rsidRPr="009D1BB1">
        <w:t>,</w:t>
      </w:r>
      <w:r w:rsidRPr="009D1BB1">
        <w:rPr>
          <w:i/>
        </w:rPr>
        <w:t xml:space="preserve"> 20</w:t>
      </w:r>
      <w:r w:rsidRPr="009D1BB1">
        <w:t xml:space="preserve">(4), 548-560. </w:t>
      </w:r>
      <w:r w:rsidR="00460017" w:rsidRPr="00460017">
        <w:rPr>
          <w:rStyle w:val="Hyperlink"/>
        </w:rPr>
        <w:t>https://doi.org/</w:t>
      </w:r>
      <w:r w:rsidRPr="00460017">
        <w:rPr>
          <w:rStyle w:val="Hyperlink"/>
        </w:rPr>
        <w:t>10.1017/S1474746420000421</w:t>
      </w:r>
      <w:r w:rsidRPr="009D1BB1">
        <w:t xml:space="preserve"> </w:t>
      </w:r>
    </w:p>
    <w:p w14:paraId="08FE976F" w14:textId="6B026E25" w:rsidR="009D1BB1" w:rsidRPr="009D1BB1" w:rsidRDefault="009D1BB1" w:rsidP="00AD2C29">
      <w:pPr>
        <w:pStyle w:val="EndNoteBibliography"/>
      </w:pPr>
      <w:r w:rsidRPr="009D1BB1">
        <w:t xml:space="preserve">Ingold, J. (2018). Employer engagement in active labour market programmes: The role of boundary spanners. </w:t>
      </w:r>
      <w:r w:rsidRPr="009D1BB1">
        <w:rPr>
          <w:i/>
        </w:rPr>
        <w:t>Public Administration</w:t>
      </w:r>
      <w:r w:rsidRPr="009D1BB1">
        <w:t>,</w:t>
      </w:r>
      <w:r w:rsidRPr="009D1BB1">
        <w:rPr>
          <w:i/>
        </w:rPr>
        <w:t xml:space="preserve"> 96</w:t>
      </w:r>
      <w:r w:rsidRPr="009D1BB1">
        <w:t xml:space="preserve">(4), 707-720. </w:t>
      </w:r>
      <w:r w:rsidR="00460017" w:rsidRPr="00460017">
        <w:rPr>
          <w:rStyle w:val="Hyperlink"/>
        </w:rPr>
        <w:t>https://doi.org/</w:t>
      </w:r>
      <w:r w:rsidRPr="00460017">
        <w:rPr>
          <w:rStyle w:val="Hyperlink"/>
        </w:rPr>
        <w:t>10.1111/padm.12545</w:t>
      </w:r>
      <w:r w:rsidRPr="009D1BB1">
        <w:t xml:space="preserve"> </w:t>
      </w:r>
    </w:p>
    <w:p w14:paraId="452767AE" w14:textId="77777777" w:rsidR="009D1BB1" w:rsidRPr="009D1BB1" w:rsidRDefault="009D1BB1" w:rsidP="00AD2C29">
      <w:pPr>
        <w:pStyle w:val="EndNoteBibliography"/>
      </w:pPr>
      <w:r w:rsidRPr="009D1BB1">
        <w:t xml:space="preserve">Ingold, J. (2021). Insights from research with employers. </w:t>
      </w:r>
    </w:p>
    <w:p w14:paraId="799B5091" w14:textId="77777777" w:rsidR="009D1BB1" w:rsidRPr="009D1BB1" w:rsidRDefault="009D1BB1" w:rsidP="00AD2C29">
      <w:pPr>
        <w:pStyle w:val="EndNoteBibliography"/>
      </w:pPr>
      <w:r w:rsidRPr="009D1BB1">
        <w:t xml:space="preserve">Ingold, J. (2024). Welfare policy: the role of social protection and active labour market programmes in the future of work. In </w:t>
      </w:r>
      <w:r w:rsidRPr="009D1BB1">
        <w:rPr>
          <w:i/>
        </w:rPr>
        <w:t>The Handbook for the Future of Work</w:t>
      </w:r>
      <w:r w:rsidRPr="009D1BB1">
        <w:t xml:space="preserve"> (pp. 344-358). Routledge. </w:t>
      </w:r>
    </w:p>
    <w:p w14:paraId="41BA0E9E" w14:textId="13660B55" w:rsidR="009D1BB1" w:rsidRPr="009D1BB1" w:rsidRDefault="009D1BB1" w:rsidP="00AD2C29">
      <w:pPr>
        <w:pStyle w:val="EndNoteBibliography"/>
      </w:pPr>
      <w:r w:rsidRPr="009D1BB1">
        <w:t xml:space="preserve">Ingold, J., Kakhkharov, J., &amp; Lee, Q. Y. (2025). The Case for Reorienting Active Labour Market Policies Towards the Demand‐Side. </w:t>
      </w:r>
      <w:r w:rsidRPr="009D1BB1">
        <w:rPr>
          <w:i/>
        </w:rPr>
        <w:t>Australian Economic Review</w:t>
      </w:r>
      <w:r w:rsidRPr="009D1BB1">
        <w:t>,</w:t>
      </w:r>
      <w:r w:rsidRPr="009D1BB1">
        <w:rPr>
          <w:i/>
        </w:rPr>
        <w:t xml:space="preserve"> 58</w:t>
      </w:r>
      <w:r w:rsidRPr="009D1BB1">
        <w:t xml:space="preserve">(4), 326-331. </w:t>
      </w:r>
      <w:r w:rsidR="00460017" w:rsidRPr="00460017">
        <w:rPr>
          <w:rStyle w:val="Hyperlink"/>
        </w:rPr>
        <w:t>https://doi.org/</w:t>
      </w:r>
      <w:r w:rsidRPr="00460017">
        <w:rPr>
          <w:rStyle w:val="Hyperlink"/>
        </w:rPr>
        <w:t>10.1111/1467-8462.70035</w:t>
      </w:r>
      <w:r w:rsidRPr="009D1BB1">
        <w:t xml:space="preserve"> </w:t>
      </w:r>
    </w:p>
    <w:p w14:paraId="078BE0D7" w14:textId="0D680765" w:rsidR="009D1BB1" w:rsidRPr="009D1BB1" w:rsidRDefault="009D1BB1" w:rsidP="00AD2C29">
      <w:pPr>
        <w:pStyle w:val="EndNoteBibliography"/>
      </w:pPr>
      <w:r w:rsidRPr="009D1BB1">
        <w:t xml:space="preserve">Ingold, J., Knox, A., &amp; Lee, Q. Y. (2024). Accessing hidden talent to improve organisational outcomes. In </w:t>
      </w:r>
      <w:r w:rsidRPr="009D1BB1">
        <w:rPr>
          <w:i/>
        </w:rPr>
        <w:t>Good Work Research Group</w:t>
      </w:r>
      <w:r w:rsidRPr="009D1BB1">
        <w:t xml:space="preserve">. </w:t>
      </w:r>
      <w:r w:rsidRPr="00460017">
        <w:rPr>
          <w:rStyle w:val="Hyperlink"/>
        </w:rPr>
        <w:t>https://www.goodworkresearchgroup.com/providers</w:t>
      </w:r>
      <w:r w:rsidRPr="009D1BB1">
        <w:t xml:space="preserve"> </w:t>
      </w:r>
    </w:p>
    <w:p w14:paraId="78022F21" w14:textId="019D1792" w:rsidR="009D1BB1" w:rsidRPr="009D1BB1" w:rsidRDefault="009D1BB1" w:rsidP="00AD2C29">
      <w:pPr>
        <w:pStyle w:val="EndNoteBibliography"/>
      </w:pPr>
      <w:r w:rsidRPr="009D1BB1">
        <w:t xml:space="preserve">Ingold, J., Knox, A., Macaulay, L., &amp; Senewiratne, S. (2023). ‘What about me?’: An analysis of employers’ engagement with employment service providers in Australia. </w:t>
      </w:r>
      <w:r w:rsidRPr="009D1BB1">
        <w:rPr>
          <w:i/>
        </w:rPr>
        <w:t>Journal of industrial relations</w:t>
      </w:r>
      <w:r w:rsidRPr="009D1BB1">
        <w:t>,</w:t>
      </w:r>
      <w:r w:rsidRPr="009D1BB1">
        <w:rPr>
          <w:i/>
        </w:rPr>
        <w:t xml:space="preserve"> 65</w:t>
      </w:r>
      <w:r w:rsidRPr="009D1BB1">
        <w:t xml:space="preserve">(3), 251-273. </w:t>
      </w:r>
      <w:r w:rsidR="00460017" w:rsidRPr="00460017">
        <w:rPr>
          <w:rStyle w:val="Hyperlink"/>
        </w:rPr>
        <w:t>https://doi.org/</w:t>
      </w:r>
      <w:r w:rsidRPr="00460017">
        <w:rPr>
          <w:rStyle w:val="Hyperlink"/>
        </w:rPr>
        <w:t>10.1177/00221856231159512</w:t>
      </w:r>
      <w:r w:rsidRPr="009D1BB1">
        <w:t xml:space="preserve"> </w:t>
      </w:r>
    </w:p>
    <w:p w14:paraId="7F033680" w14:textId="77777777" w:rsidR="009D1BB1" w:rsidRPr="009D1BB1" w:rsidRDefault="009D1BB1" w:rsidP="00AD2C29">
      <w:pPr>
        <w:pStyle w:val="EndNoteBibliography"/>
      </w:pPr>
      <w:r w:rsidRPr="009D1BB1">
        <w:t xml:space="preserve">Ingold, J., &amp; McGurk, P. (2023). Introduction: Why Is Employer Engagement Important? In </w:t>
      </w:r>
      <w:r w:rsidRPr="009D1BB1">
        <w:rPr>
          <w:i/>
        </w:rPr>
        <w:t>Employer Engagement</w:t>
      </w:r>
      <w:r w:rsidRPr="009D1BB1">
        <w:t xml:space="preserve"> (pp. 1-12). Bristol University Press. </w:t>
      </w:r>
    </w:p>
    <w:p w14:paraId="1C751C12" w14:textId="77777777" w:rsidR="009D1BB1" w:rsidRPr="009D1BB1" w:rsidRDefault="009D1BB1" w:rsidP="00AD2C29">
      <w:pPr>
        <w:pStyle w:val="EndNoteBibliography"/>
      </w:pPr>
      <w:r w:rsidRPr="009D1BB1">
        <w:lastRenderedPageBreak/>
        <w:t xml:space="preserve">Ingold, J., &amp; Stuart, M. (2014). Employer engagement in the Work Programme. </w:t>
      </w:r>
    </w:p>
    <w:p w14:paraId="6E482881" w14:textId="74076192" w:rsidR="009D1BB1" w:rsidRPr="009D1BB1" w:rsidRDefault="009D1BB1" w:rsidP="00AD2C29">
      <w:pPr>
        <w:pStyle w:val="EndNoteBibliography"/>
      </w:pPr>
      <w:r w:rsidRPr="009D1BB1">
        <w:t xml:space="preserve">International Labour Organization. (n.d.). </w:t>
      </w:r>
      <w:r w:rsidRPr="009D1BB1">
        <w:rPr>
          <w:i/>
        </w:rPr>
        <w:t>ILO GBDN Self-Assessment</w:t>
      </w:r>
      <w:r w:rsidRPr="009D1BB1">
        <w:t xml:space="preserve">. </w:t>
      </w:r>
      <w:r w:rsidRPr="00460017">
        <w:rPr>
          <w:rStyle w:val="Hyperlink"/>
        </w:rPr>
        <w:t>https://sat.businessanddisability.org/</w:t>
      </w:r>
    </w:p>
    <w:p w14:paraId="5C2F5E44" w14:textId="7D73A9B9" w:rsidR="009D1BB1" w:rsidRPr="009D1BB1" w:rsidRDefault="009D1BB1" w:rsidP="00AD2C29">
      <w:pPr>
        <w:pStyle w:val="EndNoteBibliography"/>
      </w:pPr>
      <w:r w:rsidRPr="009D1BB1">
        <w:t xml:space="preserve">Jammaers, E., &amp; Zanoni, P. (2021). The identity regulation of disabled employees: Unveiling the ‘varieties of ableism’in employers’ socio-ideological control. </w:t>
      </w:r>
      <w:r w:rsidRPr="009D1BB1">
        <w:rPr>
          <w:i/>
        </w:rPr>
        <w:t>Organization Studies</w:t>
      </w:r>
      <w:r w:rsidRPr="009D1BB1">
        <w:t>,</w:t>
      </w:r>
      <w:r w:rsidRPr="009D1BB1">
        <w:rPr>
          <w:i/>
        </w:rPr>
        <w:t xml:space="preserve"> 42</w:t>
      </w:r>
      <w:r w:rsidRPr="009D1BB1">
        <w:t xml:space="preserve">(3), 429-452. </w:t>
      </w:r>
      <w:r w:rsidR="00460017" w:rsidRPr="00460017">
        <w:rPr>
          <w:rStyle w:val="Hyperlink"/>
        </w:rPr>
        <w:t>https://doi.org/</w:t>
      </w:r>
      <w:r w:rsidRPr="00460017">
        <w:rPr>
          <w:rStyle w:val="Hyperlink"/>
        </w:rPr>
        <w:t>10.1177/0170840619900292</w:t>
      </w:r>
      <w:r w:rsidRPr="009D1BB1">
        <w:t xml:space="preserve"> </w:t>
      </w:r>
    </w:p>
    <w:p w14:paraId="12156E35" w14:textId="17BE26D6" w:rsidR="009D1BB1" w:rsidRPr="009D1BB1" w:rsidRDefault="009D1BB1" w:rsidP="00AD2C29">
      <w:pPr>
        <w:pStyle w:val="EndNoteBibliography"/>
      </w:pPr>
      <w:r w:rsidRPr="009D1BB1">
        <w:t xml:space="preserve">JobAccess. (2024). Communication and language cheat sheet. </w:t>
      </w:r>
      <w:r w:rsidRPr="00460017">
        <w:rPr>
          <w:rStyle w:val="Hyperlink"/>
        </w:rPr>
        <w:t>https://jobaccess.gov.au/sites/default/files/documents/2024-11/5471-23-communication-and.pdf&amp;ved=2ahUKEwix6ezss--UAxUny6ACHbWhCV8QFnoECBgQAQ&amp;usg=AOvVaw3lEYiAzGLZE7BtIvGJDePF</w:t>
      </w:r>
      <w:r w:rsidRPr="009D1BB1">
        <w:t xml:space="preserve"> </w:t>
      </w:r>
    </w:p>
    <w:p w14:paraId="4A9DED99" w14:textId="573E8D84" w:rsidR="009D1BB1" w:rsidRPr="009D1BB1" w:rsidRDefault="009D1BB1" w:rsidP="00AD2C29">
      <w:pPr>
        <w:pStyle w:val="EndNoteBibliography"/>
      </w:pPr>
      <w:r w:rsidRPr="009D1BB1">
        <w:t xml:space="preserve">JobAccess. (2025). </w:t>
      </w:r>
      <w:r w:rsidRPr="009D1BB1">
        <w:rPr>
          <w:i/>
        </w:rPr>
        <w:t>Workplace Adjustment Passport</w:t>
      </w:r>
      <w:r w:rsidRPr="009D1BB1">
        <w:t xml:space="preserve">. </w:t>
      </w:r>
      <w:r w:rsidRPr="00460017">
        <w:rPr>
          <w:rStyle w:val="Hyperlink"/>
        </w:rPr>
        <w:t>https://www.jobaccess.gov.au/resource/workplace-adjustment-passport</w:t>
      </w:r>
    </w:p>
    <w:p w14:paraId="731BF911" w14:textId="379F04B0" w:rsidR="009D1BB1" w:rsidRPr="00460017" w:rsidRDefault="009D1BB1" w:rsidP="00AD2C29">
      <w:pPr>
        <w:pStyle w:val="EndNoteBibliography"/>
        <w:rPr>
          <w:rStyle w:val="Hyperlink"/>
        </w:rPr>
      </w:pPr>
      <w:r w:rsidRPr="009D1BB1">
        <w:t xml:space="preserve">Keating, B., Beatson, A., Worsteling, A., &amp; Alahakoon, T. (2023). </w:t>
      </w:r>
      <w:r w:rsidRPr="009D1BB1">
        <w:rPr>
          <w:i/>
        </w:rPr>
        <w:t>How to support employees with psychosocial disabilities</w:t>
      </w:r>
      <w:r w:rsidRPr="009D1BB1">
        <w:t xml:space="preserve">. </w:t>
      </w:r>
      <w:r w:rsidRPr="00460017">
        <w:rPr>
          <w:rStyle w:val="Hyperlink"/>
        </w:rPr>
        <w:t>https://www.centreforinclusiveemployment.au/resources/332058</w:t>
      </w:r>
    </w:p>
    <w:p w14:paraId="70D71B02" w14:textId="7BD4B0A9" w:rsidR="009D1BB1" w:rsidRPr="00460017" w:rsidRDefault="009D1BB1" w:rsidP="00AD2C29">
      <w:pPr>
        <w:pStyle w:val="EndNoteBibliography"/>
        <w:rPr>
          <w:rStyle w:val="Hyperlink"/>
        </w:rPr>
      </w:pPr>
      <w:r w:rsidRPr="009D1BB1">
        <w:t xml:space="preserve">Kersten, A., van Woerkom, M., Geuskens, G. A., &amp; Blonk, R. W. (2023). Organisational policies and practices for the inclusion of vulnerable workers: a scoping review of the employer’s perspective. </w:t>
      </w:r>
      <w:r w:rsidRPr="009D1BB1">
        <w:rPr>
          <w:i/>
        </w:rPr>
        <w:t>Journal of Occupational Rehabilitation</w:t>
      </w:r>
      <w:r w:rsidRPr="009D1BB1">
        <w:t>,</w:t>
      </w:r>
      <w:r w:rsidRPr="009D1BB1">
        <w:rPr>
          <w:i/>
        </w:rPr>
        <w:t xml:space="preserve"> 33</w:t>
      </w:r>
      <w:r w:rsidRPr="009D1BB1">
        <w:t xml:space="preserve">(2), 245-266. </w:t>
      </w:r>
      <w:r w:rsidR="00460017" w:rsidRPr="00460017">
        <w:rPr>
          <w:rStyle w:val="Hyperlink"/>
        </w:rPr>
        <w:t>https://doi.org/</w:t>
      </w:r>
      <w:r w:rsidRPr="00460017">
        <w:rPr>
          <w:rStyle w:val="Hyperlink"/>
        </w:rPr>
        <w:t xml:space="preserve">10.1007/s10926-022-10067-2 </w:t>
      </w:r>
    </w:p>
    <w:p w14:paraId="5D89CF7B" w14:textId="37FCBA01" w:rsidR="009D1BB1" w:rsidRPr="009D1BB1" w:rsidRDefault="009D1BB1" w:rsidP="00AD2C29">
      <w:pPr>
        <w:pStyle w:val="EndNoteBibliography"/>
      </w:pPr>
      <w:r w:rsidRPr="009D1BB1">
        <w:t xml:space="preserve">Kersten, A., van Woerkom, M., Geuskens, G. A., &amp; Blonk, R. W. (2025). The relationship between strategic human resource management practices and the employment of vulnerable workers: A two-wave study among employers. </w:t>
      </w:r>
      <w:r w:rsidRPr="009D1BB1">
        <w:rPr>
          <w:i/>
        </w:rPr>
        <w:t>Journal of Occupational Rehabilitation</w:t>
      </w:r>
      <w:r w:rsidRPr="009D1BB1">
        <w:t>,</w:t>
      </w:r>
      <w:r w:rsidRPr="009D1BB1">
        <w:rPr>
          <w:i/>
        </w:rPr>
        <w:t xml:space="preserve"> 35</w:t>
      </w:r>
      <w:r w:rsidRPr="009D1BB1">
        <w:t xml:space="preserve">(2), 294-305. </w:t>
      </w:r>
      <w:r w:rsidR="00460017" w:rsidRPr="00460017">
        <w:rPr>
          <w:rStyle w:val="Hyperlink"/>
        </w:rPr>
        <w:t>https://doi.org/</w:t>
      </w:r>
      <w:r w:rsidRPr="00460017">
        <w:rPr>
          <w:rStyle w:val="Hyperlink"/>
        </w:rPr>
        <w:t>10.1007/s10926-024-10197-9</w:t>
      </w:r>
      <w:r w:rsidRPr="009D1BB1">
        <w:t xml:space="preserve"> </w:t>
      </w:r>
    </w:p>
    <w:p w14:paraId="472DE46F" w14:textId="77777777" w:rsidR="009D1BB1" w:rsidRPr="009D1BB1" w:rsidRDefault="009D1BB1" w:rsidP="00AD2C29">
      <w:pPr>
        <w:pStyle w:val="EndNoteBibliography"/>
      </w:pPr>
      <w:r w:rsidRPr="009D1BB1">
        <w:t xml:space="preserve">Khodakarami, F., Kuo, H. J., Narayanan, S., Piatt, J., Ealy, N., George, S., Hammond, B., Hickox, S., &amp; Sung, C. (2025). A Service Quality Lens in Examining the Dual-Customer Strategy of State Vocational Rehabilitation Agencies in the United States. In </w:t>
      </w:r>
      <w:r w:rsidRPr="009D1BB1">
        <w:rPr>
          <w:i/>
        </w:rPr>
        <w:t>Nonprofit Operations and Supply Chain Management: Theory and Practice</w:t>
      </w:r>
      <w:r w:rsidRPr="009D1BB1">
        <w:t xml:space="preserve"> (pp. 349-368). Springer. </w:t>
      </w:r>
    </w:p>
    <w:p w14:paraId="4ED4BD86" w14:textId="1985F9A0" w:rsidR="009D1BB1" w:rsidRPr="009D1BB1" w:rsidRDefault="009D1BB1" w:rsidP="00AD2C29">
      <w:pPr>
        <w:pStyle w:val="EndNoteBibliography"/>
      </w:pPr>
      <w:r w:rsidRPr="009D1BB1">
        <w:t xml:space="preserve">Komesaroff, F., Monson-Wilbraham, L., DeLiseo, M., &amp; Clarke, K. (2025). Community Investment Committee Practice Guide. </w:t>
      </w:r>
    </w:p>
    <w:p w14:paraId="3750CC9C" w14:textId="2E25FFB6" w:rsidR="009D1BB1" w:rsidRPr="009D1BB1" w:rsidRDefault="009D1BB1" w:rsidP="00AD2C29">
      <w:pPr>
        <w:pStyle w:val="EndNoteBibliography"/>
      </w:pPr>
      <w:r w:rsidRPr="009D1BB1">
        <w:t xml:space="preserve">Luecking, R. G., Cuozzo, L., &amp; Buchanan, L. (2006). Demand-side workforce needs and the potential for job customization. </w:t>
      </w:r>
      <w:r w:rsidRPr="009D1BB1">
        <w:rPr>
          <w:i/>
        </w:rPr>
        <w:t>Journal of Applied Rehabilitation Counseling</w:t>
      </w:r>
      <w:r w:rsidRPr="009D1BB1">
        <w:t>,</w:t>
      </w:r>
      <w:r w:rsidRPr="009D1BB1">
        <w:rPr>
          <w:i/>
        </w:rPr>
        <w:t xml:space="preserve"> 37</w:t>
      </w:r>
      <w:r w:rsidRPr="009D1BB1">
        <w:t xml:space="preserve">(4), 5. </w:t>
      </w:r>
      <w:r w:rsidR="00460017" w:rsidRPr="00460017">
        <w:rPr>
          <w:rStyle w:val="Hyperlink"/>
        </w:rPr>
        <w:t>https://doi.org/</w:t>
      </w:r>
      <w:r w:rsidRPr="00460017">
        <w:rPr>
          <w:rStyle w:val="Hyperlink"/>
        </w:rPr>
        <w:t>10.1891/0047-2220.37.4.5</w:t>
      </w:r>
      <w:r w:rsidRPr="009D1BB1">
        <w:t xml:space="preserve"> </w:t>
      </w:r>
    </w:p>
    <w:p w14:paraId="32D2503C" w14:textId="736C313B" w:rsidR="009D1BB1" w:rsidRPr="00460017" w:rsidRDefault="009D1BB1" w:rsidP="00AD2C29">
      <w:pPr>
        <w:pStyle w:val="EndNoteBibliography"/>
        <w:rPr>
          <w:rStyle w:val="Hyperlink"/>
        </w:rPr>
      </w:pPr>
      <w:r w:rsidRPr="009D1BB1">
        <w:t xml:space="preserve">Main, C. J., &amp; Shaw, W. S. (2016). Employer policies and practices to manage and prevent disability: conclusion to the special issue. </w:t>
      </w:r>
      <w:r w:rsidRPr="009D1BB1">
        <w:rPr>
          <w:i/>
        </w:rPr>
        <w:t>Journal of Occupational Rehabilitation</w:t>
      </w:r>
      <w:r w:rsidRPr="009D1BB1">
        <w:t>,</w:t>
      </w:r>
      <w:r w:rsidRPr="009D1BB1">
        <w:rPr>
          <w:i/>
        </w:rPr>
        <w:t xml:space="preserve"> 26</w:t>
      </w:r>
      <w:r w:rsidRPr="009D1BB1">
        <w:t xml:space="preserve">(4), 490-498. </w:t>
      </w:r>
      <w:r w:rsidR="00460017" w:rsidRPr="00460017">
        <w:rPr>
          <w:rStyle w:val="Hyperlink"/>
        </w:rPr>
        <w:t>https://doi.org/</w:t>
      </w:r>
      <w:r w:rsidRPr="00460017">
        <w:rPr>
          <w:rStyle w:val="Hyperlink"/>
        </w:rPr>
        <w:t xml:space="preserve">10.1007/s10926-016-9655-0 </w:t>
      </w:r>
    </w:p>
    <w:p w14:paraId="28889B60" w14:textId="77777777" w:rsidR="009D1BB1" w:rsidRPr="009D1BB1" w:rsidRDefault="009D1BB1" w:rsidP="00AD2C29">
      <w:pPr>
        <w:pStyle w:val="EndNoteBibliography"/>
      </w:pPr>
      <w:r w:rsidRPr="009D1BB1">
        <w:t xml:space="preserve">Mann, A., Rehill, J., &amp; Kashefpakdel, E. T. (2018). Employer Engagement in </w:t>
      </w:r>
      <w:r w:rsidRPr="009D1BB1">
        <w:lastRenderedPageBreak/>
        <w:t xml:space="preserve">Education: Insights from International Evidence for Effective Practice and Future Research. </w:t>
      </w:r>
      <w:r w:rsidRPr="009D1BB1">
        <w:rPr>
          <w:i/>
        </w:rPr>
        <w:t>Education Endowment Foundation</w:t>
      </w:r>
      <w:r w:rsidRPr="009D1BB1">
        <w:t xml:space="preserve">. </w:t>
      </w:r>
    </w:p>
    <w:p w14:paraId="4E670287" w14:textId="77777777" w:rsidR="009D1BB1" w:rsidRPr="009D1BB1" w:rsidRDefault="009D1BB1" w:rsidP="00AD2C29">
      <w:pPr>
        <w:pStyle w:val="EndNoteBibliography"/>
      </w:pPr>
      <w:r w:rsidRPr="009D1BB1">
        <w:t xml:space="preserve">McDonnall, M. C. (2017). Working With Business: Counselor Expectations, Actions, and Challenges. </w:t>
      </w:r>
      <w:r w:rsidRPr="009D1BB1">
        <w:rPr>
          <w:i/>
        </w:rPr>
        <w:t>Rehabilitation Research, Policy &amp; Education</w:t>
      </w:r>
      <w:r w:rsidRPr="009D1BB1">
        <w:t>,</w:t>
      </w:r>
      <w:r w:rsidRPr="009D1BB1">
        <w:rPr>
          <w:i/>
        </w:rPr>
        <w:t xml:space="preserve"> 31</w:t>
      </w:r>
      <w:r w:rsidRPr="009D1BB1">
        <w:t xml:space="preserve">(2). </w:t>
      </w:r>
    </w:p>
    <w:p w14:paraId="0816DE77" w14:textId="2E4C8620" w:rsidR="009D1BB1" w:rsidRPr="009D1BB1" w:rsidRDefault="009D1BB1" w:rsidP="00AD2C29">
      <w:pPr>
        <w:pStyle w:val="EndNoteBibliography"/>
      </w:pPr>
      <w:r w:rsidRPr="009D1BB1">
        <w:t xml:space="preserve">McGillivray, R., Schichtel, B., Hedges, J., Nelson, N., Pedrick, L., Schieber, C., &amp; Minjares, Y. (n.d.). Employer engagement best practices toolkit. A resource for institutions of higher education to establish industry partnerships. </w:t>
      </w:r>
    </w:p>
    <w:p w14:paraId="0C67E5A5" w14:textId="77777777" w:rsidR="009D1BB1" w:rsidRPr="009D1BB1" w:rsidRDefault="009D1BB1" w:rsidP="00AD2C29">
      <w:pPr>
        <w:pStyle w:val="EndNoteBibliography"/>
      </w:pPr>
      <w:r w:rsidRPr="009D1BB1">
        <w:t xml:space="preserve">McGurk, P., &amp; Olaleye, O. (2023). Skills, Apprenticeships and Diversity: Employer Engagement with Further and Higher Education. In </w:t>
      </w:r>
      <w:r w:rsidRPr="009D1BB1">
        <w:rPr>
          <w:i/>
        </w:rPr>
        <w:t>Employer Engagement</w:t>
      </w:r>
      <w:r w:rsidRPr="009D1BB1">
        <w:t xml:space="preserve"> (pp. 52-74). Bristol University Press. </w:t>
      </w:r>
    </w:p>
    <w:p w14:paraId="2DB0D31F" w14:textId="3D29C065" w:rsidR="009D1BB1" w:rsidRPr="009D1BB1" w:rsidRDefault="009D1BB1" w:rsidP="00AD2C29">
      <w:pPr>
        <w:pStyle w:val="EndNoteBibliography"/>
      </w:pPr>
      <w:r w:rsidRPr="009D1BB1">
        <w:t xml:space="preserve">Muenchberger, H., Kendall, E., &amp; Mills, E. (2006). Creating successful rehabilitation partnerships between health professionals and employers. </w:t>
      </w:r>
      <w:r w:rsidRPr="009D1BB1">
        <w:rPr>
          <w:i/>
        </w:rPr>
        <w:t>International Journal of Disability Management</w:t>
      </w:r>
      <w:r w:rsidRPr="009D1BB1">
        <w:t>,</w:t>
      </w:r>
      <w:r w:rsidRPr="009D1BB1">
        <w:rPr>
          <w:i/>
        </w:rPr>
        <w:t xml:space="preserve"> 1</w:t>
      </w:r>
      <w:r w:rsidRPr="009D1BB1">
        <w:t xml:space="preserve">(1), 10-20. </w:t>
      </w:r>
      <w:r w:rsidR="00460017" w:rsidRPr="00460017">
        <w:rPr>
          <w:rStyle w:val="Hyperlink"/>
        </w:rPr>
        <w:t>https://doi.org/</w:t>
      </w:r>
      <w:r w:rsidRPr="00460017">
        <w:rPr>
          <w:rStyle w:val="Hyperlink"/>
        </w:rPr>
        <w:t>10.1375/jdmr.1.1.10</w:t>
      </w:r>
      <w:r w:rsidRPr="009D1BB1">
        <w:t xml:space="preserve"> </w:t>
      </w:r>
    </w:p>
    <w:p w14:paraId="19180669" w14:textId="310843F0" w:rsidR="009D1BB1" w:rsidRPr="009D1BB1" w:rsidRDefault="009D1BB1" w:rsidP="00AD2C29">
      <w:pPr>
        <w:pStyle w:val="EndNoteBibliography"/>
      </w:pPr>
      <w:r w:rsidRPr="009D1BB1">
        <w:t xml:space="preserve">Munsell, E. G., Kudla, A., Su, H., Wong, J., Crown, D., Capraro, P., Trierweiler, R., Park, M., &amp; Heinemann, A. W. (2024). Employers’ perceptions of challenges and strategies in hiring, retaining, and promoting employees with physical disabilities. </w:t>
      </w:r>
      <w:r w:rsidRPr="009D1BB1">
        <w:rPr>
          <w:i/>
        </w:rPr>
        <w:t>Rehabilitation Counseling Bulletin</w:t>
      </w:r>
      <w:r w:rsidRPr="009D1BB1">
        <w:t>,</w:t>
      </w:r>
      <w:r w:rsidRPr="009D1BB1">
        <w:rPr>
          <w:i/>
        </w:rPr>
        <w:t xml:space="preserve"> 67</w:t>
      </w:r>
      <w:r w:rsidRPr="009D1BB1">
        <w:t xml:space="preserve">(3), 177-189. </w:t>
      </w:r>
      <w:r w:rsidR="00460017" w:rsidRPr="00460017">
        <w:rPr>
          <w:rStyle w:val="Hyperlink"/>
        </w:rPr>
        <w:t>https://doi.org/</w:t>
      </w:r>
      <w:r w:rsidRPr="00460017">
        <w:rPr>
          <w:rStyle w:val="Hyperlink"/>
        </w:rPr>
        <w:t>10.1177/00343552221130304</w:t>
      </w:r>
      <w:r w:rsidRPr="009D1BB1">
        <w:t xml:space="preserve"> </w:t>
      </w:r>
    </w:p>
    <w:p w14:paraId="1456F64E" w14:textId="4E7BE078" w:rsidR="009D1BB1" w:rsidRPr="009D1BB1" w:rsidRDefault="009D1BB1" w:rsidP="00AD2C29">
      <w:pPr>
        <w:pStyle w:val="EndNoteBibliography"/>
      </w:pPr>
      <w:r w:rsidRPr="009D1BB1">
        <w:t xml:space="preserve">Murphy, K. M., Rasmussen, J., Trevino, S., &amp; Scardaville, M. (2024). Business Engagement Strategies for Vocational Rehabilitation Professionals: A Scoping Review. </w:t>
      </w:r>
      <w:r w:rsidRPr="009D1BB1">
        <w:rPr>
          <w:i/>
        </w:rPr>
        <w:t>Rehabilitation Counseling Bulletin</w:t>
      </w:r>
      <w:r w:rsidRPr="009D1BB1">
        <w:t>,</w:t>
      </w:r>
      <w:r w:rsidRPr="009D1BB1">
        <w:rPr>
          <w:i/>
        </w:rPr>
        <w:t xml:space="preserve"> 68</w:t>
      </w:r>
      <w:r w:rsidRPr="009D1BB1">
        <w:t xml:space="preserve">(1), 55-70. </w:t>
      </w:r>
      <w:r w:rsidR="00460017" w:rsidRPr="00460017">
        <w:rPr>
          <w:rStyle w:val="Hyperlink"/>
        </w:rPr>
        <w:t>https://doi.org/</w:t>
      </w:r>
      <w:r w:rsidRPr="00460017">
        <w:rPr>
          <w:rStyle w:val="Hyperlink"/>
        </w:rPr>
        <w:t>10.1177/00343552231176535</w:t>
      </w:r>
      <w:r w:rsidRPr="009D1BB1">
        <w:t xml:space="preserve"> </w:t>
      </w:r>
    </w:p>
    <w:p w14:paraId="3F66F309" w14:textId="3B63E293" w:rsidR="009D1BB1" w:rsidRPr="00460017" w:rsidRDefault="009D1BB1" w:rsidP="00AD2C29">
      <w:pPr>
        <w:pStyle w:val="EndNoteBibliography"/>
        <w:rPr>
          <w:rStyle w:val="Hyperlink"/>
        </w:rPr>
      </w:pPr>
      <w:r w:rsidRPr="009D1BB1">
        <w:t xml:space="preserve">O'Bryan, A., Daston, M. M., &amp; Riehle, E. (2014). Employer engagement that works: The European expansion of Project SEARCH. </w:t>
      </w:r>
      <w:r w:rsidRPr="009D1BB1">
        <w:rPr>
          <w:i/>
        </w:rPr>
        <w:t>Journal of Vocational Rehabilitation</w:t>
      </w:r>
      <w:r w:rsidRPr="009D1BB1">
        <w:t>,</w:t>
      </w:r>
      <w:r w:rsidRPr="009D1BB1">
        <w:rPr>
          <w:i/>
        </w:rPr>
        <w:t xml:space="preserve"> 41</w:t>
      </w:r>
      <w:r w:rsidRPr="009D1BB1">
        <w:t xml:space="preserve">(1), 45-51. </w:t>
      </w:r>
      <w:r w:rsidR="00460017" w:rsidRPr="00460017">
        <w:rPr>
          <w:rStyle w:val="Hyperlink"/>
        </w:rPr>
        <w:t>https://doi.org/</w:t>
      </w:r>
      <w:r w:rsidRPr="00460017">
        <w:rPr>
          <w:rStyle w:val="Hyperlink"/>
        </w:rPr>
        <w:t xml:space="preserve">10.3233/JVR-140697 </w:t>
      </w:r>
    </w:p>
    <w:p w14:paraId="684A851C" w14:textId="3E9F89BE" w:rsidR="009D1BB1" w:rsidRDefault="009D1BB1" w:rsidP="00AD2C29">
      <w:pPr>
        <w:pStyle w:val="EndNoteBibliography"/>
        <w:rPr>
          <w:rStyle w:val="Hyperlink"/>
        </w:rPr>
      </w:pPr>
      <w:r w:rsidRPr="009D1BB1">
        <w:t xml:space="preserve">Patel, Y. (2026). </w:t>
      </w:r>
      <w:r w:rsidRPr="009D1BB1">
        <w:rPr>
          <w:i/>
        </w:rPr>
        <w:t>Strengths-based interviewing : a real-world guide for hiring managers &amp; talent teams</w:t>
      </w:r>
      <w:r w:rsidRPr="009D1BB1">
        <w:t xml:space="preserve">. </w:t>
      </w:r>
      <w:hyperlink r:id="rId18" w:history="1">
        <w:r w:rsidR="00460017" w:rsidRPr="00550859">
          <w:rPr>
            <w:rStyle w:val="Hyperlink"/>
          </w:rPr>
          <w:t>https://testlify.com/strengths-based-interviewing-for-hiring-managers/</w:t>
        </w:r>
      </w:hyperlink>
    </w:p>
    <w:p w14:paraId="24E34F2A" w14:textId="4C29B582" w:rsidR="00460017" w:rsidRPr="00460017" w:rsidRDefault="00460017" w:rsidP="00AD2C29">
      <w:pPr>
        <w:pStyle w:val="EndNoteBibliography"/>
        <w:rPr>
          <w:rStyle w:val="Hyperlink"/>
        </w:rPr>
      </w:pPr>
      <w:r>
        <w:t>Queensland University of Technology</w:t>
      </w:r>
      <w:r w:rsidRPr="009D1BB1">
        <w:t xml:space="preserve">. (n.d.). </w:t>
      </w:r>
      <w:r w:rsidRPr="009D1BB1">
        <w:rPr>
          <w:i/>
        </w:rPr>
        <w:t>Workplace psychosocial safety checklist: Analysis for staff with psychosocial disabilities</w:t>
      </w:r>
      <w:r w:rsidRPr="009D1BB1">
        <w:t xml:space="preserve">. </w:t>
      </w:r>
      <w:r w:rsidRPr="00460017">
        <w:rPr>
          <w:rStyle w:val="Hyperlink"/>
        </w:rPr>
        <w:t>https://www.canva.com/design/DAG6NA2-QAk/yjcQ2klydPjwNNvP3y6cdA/view?utm_content=DAG6NA2-QAk&amp;utm_campaign=designshare&amp;utm_medium=link2&amp;utm_source=uniquelinks&amp;utlId=ha6bcd8ed77</w:t>
      </w:r>
    </w:p>
    <w:p w14:paraId="61F87AE1" w14:textId="22F824F2" w:rsidR="009D1BB1" w:rsidRPr="009D1BB1" w:rsidRDefault="009D1BB1" w:rsidP="00AD2C29">
      <w:pPr>
        <w:pStyle w:val="EndNoteBibliography"/>
      </w:pPr>
      <w:r w:rsidRPr="009D1BB1">
        <w:t xml:space="preserve">Raynor, O., Hayward, K., Semenza, G., &amp; Stoffmacher, B. (2018). Community conversations to increase employment opportunities for young adults with developmental disabilities in California. </w:t>
      </w:r>
      <w:r w:rsidRPr="009D1BB1">
        <w:rPr>
          <w:i/>
        </w:rPr>
        <w:t>Journal of Disability Policy Studies</w:t>
      </w:r>
      <w:r w:rsidRPr="009D1BB1">
        <w:t>,</w:t>
      </w:r>
      <w:r w:rsidRPr="009D1BB1">
        <w:rPr>
          <w:i/>
        </w:rPr>
        <w:t xml:space="preserve"> 28</w:t>
      </w:r>
      <w:r w:rsidRPr="009D1BB1">
        <w:t xml:space="preserve">(4), 203-215. </w:t>
      </w:r>
      <w:r w:rsidR="00460017" w:rsidRPr="00460017">
        <w:rPr>
          <w:rStyle w:val="Hyperlink"/>
        </w:rPr>
        <w:t>https://doi.org/</w:t>
      </w:r>
      <w:r w:rsidRPr="00460017">
        <w:rPr>
          <w:rStyle w:val="Hyperlink"/>
        </w:rPr>
        <w:t>10.1177/1044207317739405</w:t>
      </w:r>
      <w:r w:rsidRPr="009D1BB1">
        <w:t xml:space="preserve"> </w:t>
      </w:r>
    </w:p>
    <w:p w14:paraId="5A9C413C" w14:textId="4453DFDD" w:rsidR="009D1BB1" w:rsidRPr="00460017" w:rsidRDefault="009D1BB1" w:rsidP="00AD2C29">
      <w:pPr>
        <w:pStyle w:val="EndNoteBibliography"/>
        <w:rPr>
          <w:rStyle w:val="Hyperlink"/>
        </w:rPr>
      </w:pPr>
      <w:r w:rsidRPr="009D1BB1">
        <w:t xml:space="preserve">Reardon, K., Rowe, D. A., Unruh, D. K., &amp; Bromley, K. W. (2025). Business Factors That Influence Employer Perceptions Toward Hiring, Recruiting, and </w:t>
      </w:r>
      <w:r w:rsidRPr="009D1BB1">
        <w:lastRenderedPageBreak/>
        <w:t xml:space="preserve">Retaining Individuals With Disabilities. </w:t>
      </w:r>
      <w:r w:rsidRPr="009D1BB1">
        <w:rPr>
          <w:i/>
        </w:rPr>
        <w:t>Journal of Applied Rehabilitation Counseling</w:t>
      </w:r>
      <w:r w:rsidRPr="009D1BB1">
        <w:t>,</w:t>
      </w:r>
      <w:r w:rsidRPr="009D1BB1">
        <w:rPr>
          <w:i/>
        </w:rPr>
        <w:t xml:space="preserve"> 56</w:t>
      </w:r>
      <w:r w:rsidRPr="009D1BB1">
        <w:t xml:space="preserve">(4). </w:t>
      </w:r>
      <w:r w:rsidR="00460017" w:rsidRPr="00460017">
        <w:rPr>
          <w:rStyle w:val="Hyperlink"/>
        </w:rPr>
        <w:t>https://doi.org/</w:t>
      </w:r>
      <w:r w:rsidRPr="00460017">
        <w:rPr>
          <w:rStyle w:val="Hyperlink"/>
        </w:rPr>
        <w:t xml:space="preserve">10.1891/JARC-2025-0021 </w:t>
      </w:r>
    </w:p>
    <w:p w14:paraId="71C02096" w14:textId="41E0977A" w:rsidR="009D1BB1" w:rsidRPr="009D1BB1" w:rsidRDefault="009D1BB1" w:rsidP="00AD2C29">
      <w:pPr>
        <w:pStyle w:val="EndNoteBibliography"/>
      </w:pPr>
      <w:r w:rsidRPr="009D1BB1">
        <w:t xml:space="preserve">Reindrawati, D. Y., Noviyanti, U. D. E., Azmi, A., &amp; Wiranti, D. A. (2025). Disability-friendly hospitality services as a catalyst for empowering inclusive tourism in Indonesia. </w:t>
      </w:r>
      <w:r w:rsidRPr="009D1BB1">
        <w:rPr>
          <w:i/>
        </w:rPr>
        <w:t>Sustainability</w:t>
      </w:r>
      <w:r w:rsidRPr="009D1BB1">
        <w:t>,</w:t>
      </w:r>
      <w:r w:rsidRPr="009D1BB1">
        <w:rPr>
          <w:i/>
        </w:rPr>
        <w:t xml:space="preserve"> 17</w:t>
      </w:r>
      <w:r w:rsidRPr="009D1BB1">
        <w:t xml:space="preserve">(9), 3785. </w:t>
      </w:r>
      <w:r w:rsidR="00460017" w:rsidRPr="00460017">
        <w:rPr>
          <w:rStyle w:val="Hyperlink"/>
        </w:rPr>
        <w:t>https://doi.org/</w:t>
      </w:r>
      <w:r w:rsidRPr="00460017">
        <w:rPr>
          <w:rStyle w:val="Hyperlink"/>
        </w:rPr>
        <w:t>10.3390/su17093785</w:t>
      </w:r>
      <w:r w:rsidRPr="009D1BB1">
        <w:t xml:space="preserve"> </w:t>
      </w:r>
    </w:p>
    <w:p w14:paraId="6FD2FB30" w14:textId="77777777" w:rsidR="009D1BB1" w:rsidRPr="009D1BB1" w:rsidRDefault="009D1BB1" w:rsidP="00AD2C29">
      <w:pPr>
        <w:pStyle w:val="EndNoteBibliography"/>
      </w:pPr>
      <w:r w:rsidRPr="009D1BB1">
        <w:t xml:space="preserve">Scott, M. T. (2017). The integrated employment success tool (IESTTM): Development and trial of an autism-specific workplace tool to assist employers in modifying the work environment [Doctor of Philosophy]. </w:t>
      </w:r>
      <w:r w:rsidRPr="009D1BB1">
        <w:rPr>
          <w:i/>
        </w:rPr>
        <w:t>Curtin University</w:t>
      </w:r>
      <w:r w:rsidRPr="009D1BB1">
        <w:t xml:space="preserve">. </w:t>
      </w:r>
    </w:p>
    <w:p w14:paraId="0B6C32A9" w14:textId="7714C538" w:rsidR="009D1BB1" w:rsidRPr="009D1BB1" w:rsidRDefault="009D1BB1" w:rsidP="00AD2C29">
      <w:pPr>
        <w:pStyle w:val="EndNoteBibliography"/>
      </w:pPr>
      <w:r w:rsidRPr="009D1BB1">
        <w:t xml:space="preserve">Scott-Parker OBE, S. (2016). The business and ethical rationale for the corporate best practice branded ‘Disability Confidence’. In </w:t>
      </w:r>
      <w:r w:rsidRPr="009D1BB1">
        <w:rPr>
          <w:i/>
        </w:rPr>
        <w:t>Business Disability International</w:t>
      </w:r>
      <w:r w:rsidRPr="009D1BB1">
        <w:t xml:space="preserve">. </w:t>
      </w:r>
      <w:r w:rsidRPr="00460017">
        <w:rPr>
          <w:rStyle w:val="Hyperlink"/>
        </w:rPr>
        <w:t>https://www.businessdisabilityinternational.org/wp-content/uploads/2024/06/bdi_business_and_ethical_case_for_best_practice.pdf&amp;ved=2ahUKEwjR7sHntPmUAxWhnq8BHT4wIAAQFnoECBgQAQ&amp;usg=AOvVaw3AkaCuDLLcNFe8256w8tre</w:t>
      </w:r>
      <w:r w:rsidRPr="009D1BB1">
        <w:t xml:space="preserve"> </w:t>
      </w:r>
    </w:p>
    <w:p w14:paraId="431BD40E" w14:textId="28489A70" w:rsidR="009D1BB1" w:rsidRPr="00460017" w:rsidRDefault="009D1BB1" w:rsidP="00AD2C29">
      <w:pPr>
        <w:pStyle w:val="EndNoteBibliography"/>
        <w:rPr>
          <w:rStyle w:val="Hyperlink"/>
        </w:rPr>
      </w:pPr>
      <w:r w:rsidRPr="009D1BB1">
        <w:t xml:space="preserve">Scott-Parker OBE, S. (2025). </w:t>
      </w:r>
      <w:r w:rsidRPr="009D1BB1">
        <w:rPr>
          <w:i/>
        </w:rPr>
        <w:t>‘Everyone Wins a Balloon! – The Business Value of Workplace Adjustment Management</w:t>
      </w:r>
      <w:r w:rsidRPr="009D1BB1">
        <w:t xml:space="preserve">. </w:t>
      </w:r>
      <w:r w:rsidRPr="00460017">
        <w:rPr>
          <w:rStyle w:val="Hyperlink"/>
        </w:rPr>
        <w:t>https://www.businessdisabilityinternational.org/everyone-wins-a-balloon/</w:t>
      </w:r>
    </w:p>
    <w:p w14:paraId="5495F9B9" w14:textId="5C5F7622" w:rsidR="009D1BB1" w:rsidRPr="009D1BB1" w:rsidRDefault="009D1BB1" w:rsidP="00AD2C29">
      <w:pPr>
        <w:pStyle w:val="EndNoteBibliography"/>
      </w:pPr>
      <w:r w:rsidRPr="009D1BB1">
        <w:t xml:space="preserve">Social Mobility Commission. (2020). </w:t>
      </w:r>
      <w:r w:rsidRPr="009D1BB1">
        <w:rPr>
          <w:i/>
        </w:rPr>
        <w:t>Employer toolkits</w:t>
      </w:r>
      <w:r w:rsidRPr="009D1BB1">
        <w:t xml:space="preserve">. </w:t>
      </w:r>
      <w:r w:rsidRPr="00460017">
        <w:rPr>
          <w:rStyle w:val="Hyperlink"/>
        </w:rPr>
        <w:t>https://socialmobility.independent-commission.uk/all-resources/employer-resources/employer-toolkits/</w:t>
      </w:r>
    </w:p>
    <w:p w14:paraId="1B6B8016" w14:textId="47005DA1" w:rsidR="009D1BB1" w:rsidRPr="00460017" w:rsidRDefault="009D1BB1" w:rsidP="00AD2C29">
      <w:pPr>
        <w:pStyle w:val="EndNoteBibliography"/>
        <w:rPr>
          <w:rStyle w:val="Hyperlink"/>
        </w:rPr>
      </w:pPr>
      <w:r w:rsidRPr="009D1BB1">
        <w:t xml:space="preserve">Social Ventures Australia. (2024a). </w:t>
      </w:r>
      <w:r w:rsidRPr="009D1BB1">
        <w:rPr>
          <w:i/>
        </w:rPr>
        <w:t>Sparking opportunities: building inclusive work pathways in events</w:t>
      </w:r>
      <w:r w:rsidRPr="009D1BB1">
        <w:t xml:space="preserve">. </w:t>
      </w:r>
      <w:r w:rsidRPr="00460017">
        <w:rPr>
          <w:rStyle w:val="Hyperlink"/>
        </w:rPr>
        <w:t>https://www.socialventures.org.au/our-impact/sparking-opportunities-building-inclusive-work-pathways-in-events/</w:t>
      </w:r>
    </w:p>
    <w:p w14:paraId="09F431F4" w14:textId="6D5662EA" w:rsidR="009D1BB1" w:rsidRPr="009D1BB1" w:rsidRDefault="009D1BB1" w:rsidP="00AD2C29">
      <w:pPr>
        <w:pStyle w:val="EndNoteBibliography"/>
      </w:pPr>
      <w:r w:rsidRPr="009D1BB1">
        <w:t xml:space="preserve">Social Ventures Australia. (2024b). Working with employers to advance opportunity: A roadmap to strengthen the  eco-system. </w:t>
      </w:r>
      <w:r w:rsidRPr="00460017">
        <w:rPr>
          <w:rStyle w:val="Hyperlink"/>
        </w:rPr>
        <w:t>https://www.socialventures.org.au/wp-content/uploads/2025/03/SVA_Employment_Webinar_26032025-Working-with-employers-to-advance-opportunity.pdf&amp;ved=2ahUKEwjsus7kiPmUAxU9yDgGHYfiM0sQFnoECBkQAQ&amp;usg=AOvVaw13ZoWv9fptF5AXCRtgg5rd</w:t>
      </w:r>
      <w:r w:rsidRPr="009D1BB1">
        <w:t xml:space="preserve"> </w:t>
      </w:r>
    </w:p>
    <w:p w14:paraId="7D0CA5AF" w14:textId="43C64119" w:rsidR="009D1BB1" w:rsidRPr="00460017" w:rsidRDefault="009D1BB1" w:rsidP="00AD2C29">
      <w:pPr>
        <w:pStyle w:val="EndNoteBibliography"/>
        <w:rPr>
          <w:rStyle w:val="Hyperlink"/>
        </w:rPr>
      </w:pPr>
      <w:r w:rsidRPr="009D1BB1">
        <w:t xml:space="preserve">Social Ventures Australia, &amp; Children and Young People with Disability. (n.d.). How to discuss workplace adjustments: a quick guide.  </w:t>
      </w:r>
      <w:r w:rsidRPr="00460017">
        <w:rPr>
          <w:rStyle w:val="Hyperlink"/>
        </w:rPr>
        <w:t xml:space="preserve">https://www.socialventures.org.au/wp-content/uploads/2025/12/SVA-CYDA-Guide_How-to-discuss-workplace-adjustments.pdf </w:t>
      </w:r>
    </w:p>
    <w:p w14:paraId="52FB3617" w14:textId="27BC2AFC" w:rsidR="009D1BB1" w:rsidRPr="009D1BB1" w:rsidRDefault="009D1BB1" w:rsidP="00AD2C29">
      <w:pPr>
        <w:pStyle w:val="EndNoteBibliography"/>
      </w:pPr>
      <w:r w:rsidRPr="009D1BB1">
        <w:t xml:space="preserve">Spaulding, S., &amp; Martin-Caughey, A. (2015). The Goals and Dimensions of Employer Engagement in Workforce Development Programs.  </w:t>
      </w:r>
      <w:r w:rsidRPr="00460017">
        <w:rPr>
          <w:rStyle w:val="Hyperlink"/>
        </w:rPr>
        <w:t>https://www.urban.org/research/publication/goals-and-dimensions-employer-engagement-workforce-development-programs</w:t>
      </w:r>
      <w:r w:rsidRPr="009D1BB1">
        <w:t xml:space="preserve"> </w:t>
      </w:r>
    </w:p>
    <w:p w14:paraId="31B393C4" w14:textId="25AA5CA3" w:rsidR="007A03B2" w:rsidRDefault="007A03B2" w:rsidP="00AD2C29">
      <w:pPr>
        <w:pStyle w:val="EndNoteBibliography"/>
      </w:pPr>
      <w:r w:rsidRPr="007A03B2">
        <w:t xml:space="preserve">Strauser, D. G., Price, R. A., Brehmer, C. E., &amp; Strauser, D. R. (2026). Exploring employer’s successful hiring and retention practices of individuals with </w:t>
      </w:r>
      <w:r w:rsidRPr="007A03B2">
        <w:lastRenderedPageBreak/>
        <w:t>disabilities. Rehabilitation Counseling Bulletin, 69(2), 109-119.</w:t>
      </w:r>
    </w:p>
    <w:p w14:paraId="4FFD1B93" w14:textId="03997895" w:rsidR="009D1BB1" w:rsidRPr="00460017" w:rsidRDefault="009D1BB1" w:rsidP="00AD2C29">
      <w:pPr>
        <w:pStyle w:val="EndNoteBibliography"/>
        <w:rPr>
          <w:rStyle w:val="Hyperlink"/>
        </w:rPr>
      </w:pPr>
      <w:r w:rsidRPr="009D1BB1">
        <w:t xml:space="preserve">Strindlund, L., Abrandt-Dahlgren, M., &amp; Ståhl, C. (2019). Employers’ views on disability, employability, and labor market inclusion: a phenomenographic study. </w:t>
      </w:r>
      <w:r w:rsidRPr="009D1BB1">
        <w:rPr>
          <w:i/>
        </w:rPr>
        <w:t>Disability and Rehabilitation</w:t>
      </w:r>
      <w:r w:rsidRPr="009D1BB1">
        <w:t>,</w:t>
      </w:r>
      <w:r w:rsidRPr="009D1BB1">
        <w:rPr>
          <w:i/>
        </w:rPr>
        <w:t xml:space="preserve"> 41</w:t>
      </w:r>
      <w:r w:rsidRPr="009D1BB1">
        <w:t xml:space="preserve">(24), 2910-2917. </w:t>
      </w:r>
      <w:r w:rsidR="00460017" w:rsidRPr="00460017">
        <w:rPr>
          <w:rStyle w:val="Hyperlink"/>
        </w:rPr>
        <w:t>https://doi.org/</w:t>
      </w:r>
      <w:r w:rsidRPr="00460017">
        <w:rPr>
          <w:rStyle w:val="Hyperlink"/>
        </w:rPr>
        <w:t xml:space="preserve">10.1080/09638288.2018.1481150 </w:t>
      </w:r>
    </w:p>
    <w:p w14:paraId="33CFA42B" w14:textId="43930591" w:rsidR="009D1BB1" w:rsidRPr="00460017" w:rsidRDefault="009D1BB1" w:rsidP="00AD2C29">
      <w:pPr>
        <w:pStyle w:val="EndNoteBibliography"/>
        <w:rPr>
          <w:rStyle w:val="Hyperlink"/>
        </w:rPr>
      </w:pPr>
      <w:r w:rsidRPr="009D1BB1">
        <w:t xml:space="preserve">Tamburo, J., Switzer, E., &amp; Gower, W. S. (2019). Lessons from the Diversity Partners Project: Using knowledge translation to strengthen business engagement strategies and improve employment outcomes for job seekers with disabilities. </w:t>
      </w:r>
      <w:r w:rsidRPr="009D1BB1">
        <w:rPr>
          <w:i/>
        </w:rPr>
        <w:t>Journal of Vocational Rehabilitation</w:t>
      </w:r>
      <w:r w:rsidRPr="009D1BB1">
        <w:t>,</w:t>
      </w:r>
      <w:r w:rsidRPr="009D1BB1">
        <w:rPr>
          <w:i/>
        </w:rPr>
        <w:t xml:space="preserve"> 50</w:t>
      </w:r>
      <w:r w:rsidRPr="009D1BB1">
        <w:t xml:space="preserve">(3), 291-299. </w:t>
      </w:r>
      <w:r w:rsidR="00460017" w:rsidRPr="00460017">
        <w:rPr>
          <w:rStyle w:val="Hyperlink"/>
        </w:rPr>
        <w:t>https://doi.org/</w:t>
      </w:r>
      <w:r w:rsidRPr="00460017">
        <w:rPr>
          <w:rStyle w:val="Hyperlink"/>
        </w:rPr>
        <w:t xml:space="preserve">10.3233/JVR-191010 </w:t>
      </w:r>
    </w:p>
    <w:p w14:paraId="7843FA39" w14:textId="215B5FA7" w:rsidR="009D1BB1" w:rsidRPr="009D1BB1" w:rsidRDefault="009D1BB1" w:rsidP="00460017">
      <w:pPr>
        <w:pStyle w:val="EndNoteBibliography"/>
      </w:pPr>
      <w:r w:rsidRPr="009D1BB1">
        <w:t xml:space="preserve">Te Uru Tāngata. (2021). </w:t>
      </w:r>
      <w:r w:rsidRPr="009D1BB1">
        <w:rPr>
          <w:i/>
        </w:rPr>
        <w:t>Aotearoa Inclusivity Matrix</w:t>
      </w:r>
      <w:r w:rsidRPr="009D1BB1">
        <w:t xml:space="preserve">. </w:t>
      </w:r>
      <w:r w:rsidRPr="00460017">
        <w:rPr>
          <w:rStyle w:val="Hyperlink"/>
        </w:rPr>
        <w:t>https://mynetwork.workplaceinclusion.org.nz/resources/aotearoa-inclusivity-matrix</w:t>
      </w:r>
    </w:p>
    <w:p w14:paraId="01AD762A" w14:textId="6D0D4785" w:rsidR="009D1BB1" w:rsidRPr="009D1BB1" w:rsidRDefault="009D1BB1" w:rsidP="00AD2C29">
      <w:pPr>
        <w:pStyle w:val="EndNoteBibliography"/>
      </w:pPr>
      <w:r w:rsidRPr="009D1BB1">
        <w:t xml:space="preserve">Tsagaris, G. S., Keeler, J., Carpenter, C., Blatt, G. R., &amp; Seck, M. M. (2026). An Alternative Approach to Employment Service Supports: Utilizing Localized Collaboration and Business Engagement. </w:t>
      </w:r>
      <w:r w:rsidRPr="009D1BB1">
        <w:rPr>
          <w:i/>
        </w:rPr>
        <w:t>Journal of Vocational Rehabilitation</w:t>
      </w:r>
      <w:r w:rsidRPr="009D1BB1">
        <w:t>,</w:t>
      </w:r>
      <w:r w:rsidRPr="009D1BB1">
        <w:rPr>
          <w:i/>
        </w:rPr>
        <w:t xml:space="preserve"> 64</w:t>
      </w:r>
      <w:r w:rsidRPr="009D1BB1">
        <w:t xml:space="preserve">(1), 103-112. </w:t>
      </w:r>
      <w:r w:rsidR="00460017" w:rsidRPr="00460017">
        <w:rPr>
          <w:rStyle w:val="Hyperlink"/>
        </w:rPr>
        <w:t>https://doi.org/</w:t>
      </w:r>
      <w:r w:rsidRPr="00460017">
        <w:rPr>
          <w:rStyle w:val="Hyperlink"/>
        </w:rPr>
        <w:t>10.1177/10522263251394313</w:t>
      </w:r>
      <w:r w:rsidRPr="009D1BB1">
        <w:t xml:space="preserve"> </w:t>
      </w:r>
    </w:p>
    <w:p w14:paraId="42402129" w14:textId="3BDEDC1F" w:rsidR="009D1BB1" w:rsidRPr="009D1BB1" w:rsidRDefault="009D1BB1" w:rsidP="00AD2C29">
      <w:pPr>
        <w:pStyle w:val="EndNoteBibliography"/>
      </w:pPr>
      <w:r w:rsidRPr="009D1BB1">
        <w:t xml:space="preserve">Ulstein, J. (2025). The impact of employer characteristics on sustaining employment for workers with reduced capacity: evidence from Norwegian register data. </w:t>
      </w:r>
      <w:r w:rsidRPr="009D1BB1">
        <w:rPr>
          <w:i/>
        </w:rPr>
        <w:t>Social Policy and Society</w:t>
      </w:r>
      <w:r w:rsidRPr="009D1BB1">
        <w:t>,</w:t>
      </w:r>
      <w:r w:rsidRPr="009D1BB1">
        <w:rPr>
          <w:i/>
        </w:rPr>
        <w:t xml:space="preserve"> 24</w:t>
      </w:r>
      <w:r w:rsidRPr="009D1BB1">
        <w:t xml:space="preserve">(2), 232-247. </w:t>
      </w:r>
      <w:r w:rsidR="00460017" w:rsidRPr="00460017">
        <w:rPr>
          <w:rStyle w:val="Hyperlink"/>
        </w:rPr>
        <w:t>https://doi.org/</w:t>
      </w:r>
      <w:r w:rsidRPr="00460017">
        <w:rPr>
          <w:rStyle w:val="Hyperlink"/>
        </w:rPr>
        <w:t>10.1017/S1474746423000027</w:t>
      </w:r>
      <w:r w:rsidRPr="009D1BB1">
        <w:t xml:space="preserve"> </w:t>
      </w:r>
    </w:p>
    <w:p w14:paraId="13700E99" w14:textId="35708FDB" w:rsidR="009D1BB1" w:rsidRPr="009D1BB1" w:rsidRDefault="009D1BB1" w:rsidP="00AD2C29">
      <w:pPr>
        <w:pStyle w:val="EndNoteBibliography"/>
      </w:pPr>
      <w:r w:rsidRPr="009D1BB1">
        <w:t xml:space="preserve">Valizade, D., Ingold, J., &amp; Stuart, M. (2023). Employer participation in active labour market policies in the United Kingdom and Denmark: The effect of employer associations as social networks and the mediating role of collective voice. </w:t>
      </w:r>
      <w:r w:rsidRPr="009D1BB1">
        <w:rPr>
          <w:i/>
        </w:rPr>
        <w:t>Work, Employment and Society</w:t>
      </w:r>
      <w:r w:rsidRPr="009D1BB1">
        <w:t>,</w:t>
      </w:r>
      <w:r w:rsidRPr="009D1BB1">
        <w:rPr>
          <w:i/>
        </w:rPr>
        <w:t xml:space="preserve"> 37</w:t>
      </w:r>
      <w:r w:rsidRPr="009D1BB1">
        <w:t xml:space="preserve">(4), 991-1012. </w:t>
      </w:r>
      <w:r w:rsidR="00460017" w:rsidRPr="00460017">
        <w:rPr>
          <w:rStyle w:val="Hyperlink"/>
        </w:rPr>
        <w:t>https://doi.org/</w:t>
      </w:r>
      <w:r w:rsidRPr="00460017">
        <w:rPr>
          <w:rStyle w:val="Hyperlink"/>
        </w:rPr>
        <w:t>10.1177/09500170211063094</w:t>
      </w:r>
      <w:r w:rsidRPr="009D1BB1">
        <w:t xml:space="preserve"> </w:t>
      </w:r>
    </w:p>
    <w:p w14:paraId="4A098928" w14:textId="77777777" w:rsidR="009D1BB1" w:rsidRPr="009D1BB1" w:rsidRDefault="009D1BB1" w:rsidP="00AD2C29">
      <w:pPr>
        <w:pStyle w:val="EndNoteBibliography"/>
      </w:pPr>
      <w:r w:rsidRPr="009D1BB1">
        <w:t xml:space="preserve">Van Berkel, R. (2021). Employer engagement in promoting the labour-market participation of jobseekers with disabilities. An employer perspective. </w:t>
      </w:r>
      <w:r w:rsidRPr="009D1BB1">
        <w:rPr>
          <w:i/>
        </w:rPr>
        <w:t>Social Policy and Society</w:t>
      </w:r>
      <w:r w:rsidRPr="009D1BB1">
        <w:t>,</w:t>
      </w:r>
      <w:r w:rsidRPr="009D1BB1">
        <w:rPr>
          <w:i/>
        </w:rPr>
        <w:t xml:space="preserve"> 20</w:t>
      </w:r>
      <w:r w:rsidRPr="009D1BB1">
        <w:t xml:space="preserve">(4), 533-547. </w:t>
      </w:r>
    </w:p>
    <w:p w14:paraId="212365FC" w14:textId="77777777" w:rsidR="009D1BB1" w:rsidRPr="009D1BB1" w:rsidRDefault="009D1BB1" w:rsidP="00AD2C29">
      <w:pPr>
        <w:pStyle w:val="EndNoteBibliography"/>
      </w:pPr>
      <w:r w:rsidRPr="009D1BB1">
        <w:t xml:space="preserve">Warhurst, C., Knox, A., &amp; Wright, S. (2025). Developing a standard measure of job quality. </w:t>
      </w:r>
      <w:r w:rsidRPr="009D1BB1">
        <w:rPr>
          <w:i/>
        </w:rPr>
        <w:t>Work, Employment and Society</w:t>
      </w:r>
      <w:r w:rsidRPr="009D1BB1">
        <w:t>,</w:t>
      </w:r>
      <w:r w:rsidRPr="009D1BB1">
        <w:rPr>
          <w:i/>
        </w:rPr>
        <w:t xml:space="preserve"> 39</w:t>
      </w:r>
      <w:r w:rsidRPr="009D1BB1">
        <w:t xml:space="preserve">(4), 927-948. </w:t>
      </w:r>
    </w:p>
    <w:p w14:paraId="7C6B5038" w14:textId="423A10D2" w:rsidR="009D1BB1" w:rsidRPr="009D1BB1" w:rsidRDefault="009D1BB1" w:rsidP="00AD2C29">
      <w:pPr>
        <w:pStyle w:val="EndNoteBibliography"/>
      </w:pPr>
      <w:r w:rsidRPr="009D1BB1">
        <w:t xml:space="preserve">Whitworth, A. (2025). </w:t>
      </w:r>
      <w:r w:rsidRPr="009D1BB1">
        <w:rPr>
          <w:i/>
        </w:rPr>
        <w:t xml:space="preserve">Supported Employment beyond severe mental health </w:t>
      </w:r>
      <w:r w:rsidRPr="00460017">
        <w:rPr>
          <w:rStyle w:val="Hyperlink"/>
        </w:rPr>
        <w:t>https://www.ipsbeyondsmi.org/resources</w:t>
      </w:r>
    </w:p>
    <w:p w14:paraId="3A4D2262" w14:textId="77777777" w:rsidR="009D1BB1" w:rsidRPr="009D1BB1" w:rsidRDefault="009D1BB1" w:rsidP="00AD2C29">
      <w:pPr>
        <w:pStyle w:val="EndNoteBibliography"/>
      </w:pPr>
      <w:r w:rsidRPr="009D1BB1">
        <w:t xml:space="preserve">Wiggan, J., &amp; Knuth, M. (2023). Active labour market programmes and employer engagement in the UK and Germany. In </w:t>
      </w:r>
      <w:r w:rsidRPr="009D1BB1">
        <w:rPr>
          <w:i/>
        </w:rPr>
        <w:t>Employer Engagement</w:t>
      </w:r>
      <w:r w:rsidRPr="009D1BB1">
        <w:t xml:space="preserve"> (pp. 126-144). Bristol University Press. </w:t>
      </w:r>
    </w:p>
    <w:p w14:paraId="0A41A3CA" w14:textId="77777777" w:rsidR="009D1BB1" w:rsidRPr="009D1BB1" w:rsidRDefault="009D1BB1" w:rsidP="00AD2C29">
      <w:pPr>
        <w:pStyle w:val="EndNoteBibliography"/>
      </w:pPr>
      <w:r w:rsidRPr="009D1BB1">
        <w:t>Wyckoff, L., &amp; Clymer, C. (2005). Job development essentials. In: New York, NY: Public/Private Ventures. Appendices.</w:t>
      </w:r>
    </w:p>
    <w:p w14:paraId="7D25FDD0" w14:textId="06CEF59C" w:rsidR="009D1BB1" w:rsidRPr="009D1BB1" w:rsidRDefault="009D1BB1" w:rsidP="00AD2C29">
      <w:pPr>
        <w:pStyle w:val="EndNoteBibliography"/>
      </w:pPr>
      <w:r w:rsidRPr="009D1BB1">
        <w:t xml:space="preserve">Wyndham City Council. (2022). </w:t>
      </w:r>
      <w:r w:rsidRPr="009D1BB1">
        <w:rPr>
          <w:i/>
        </w:rPr>
        <w:t>Wyndham Inclusive Industries Toolkit</w:t>
      </w:r>
      <w:r w:rsidRPr="009D1BB1">
        <w:t xml:space="preserve">. </w:t>
      </w:r>
      <w:r w:rsidRPr="00460017">
        <w:rPr>
          <w:rStyle w:val="Hyperlink"/>
        </w:rPr>
        <w:t>https://www.wyndham.vic.gov.au/form/wyndham-inclusive-industries-too</w:t>
      </w:r>
    </w:p>
    <w:p w14:paraId="4D615BBE" w14:textId="1AE3E663" w:rsidR="00E03BDE" w:rsidRDefault="009D1BB1" w:rsidP="00460017">
      <w:pPr>
        <w:pStyle w:val="EndNoteBibliography"/>
      </w:pPr>
      <w:r w:rsidRPr="009D1BB1">
        <w:t xml:space="preserve">Zhao, Z., &amp; Liu, J. (2025). Improving Employer Engagement in a Manufacturing </w:t>
      </w:r>
      <w:r w:rsidRPr="009D1BB1">
        <w:lastRenderedPageBreak/>
        <w:t xml:space="preserve">Professional Workforce Development Program. 2025 ASEE Annual Conference &amp; Exposition, </w:t>
      </w:r>
    </w:p>
    <w:sectPr w:rsidR="00E03BDE" w:rsidSect="00686CD1">
      <w:pgSz w:w="11906" w:h="16838" w:code="9"/>
      <w:pgMar w:top="1134" w:right="1134" w:bottom="1134"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C30F3" w14:textId="77777777" w:rsidR="00B00F4B" w:rsidRDefault="00B00F4B" w:rsidP="009F3CE2">
      <w:r>
        <w:separator/>
      </w:r>
    </w:p>
  </w:endnote>
  <w:endnote w:type="continuationSeparator" w:id="0">
    <w:p w14:paraId="3DF97FB1" w14:textId="77777777" w:rsidR="00B00F4B" w:rsidRDefault="00B00F4B" w:rsidP="009F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Univers">
    <w:panose1 w:val="020B0503020202020204"/>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Montserrat">
    <w:altName w:val="Calibri"/>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ind Colombo Light">
    <w:panose1 w:val="02000000000000000000"/>
    <w:charset w:val="4D"/>
    <w:family w:val="auto"/>
    <w:pitch w:val="variable"/>
    <w:sig w:usb0="00000007" w:usb1="00000000" w:usb2="00000200" w:usb3="00000000" w:csb0="00000093" w:csb1="00000000"/>
  </w:font>
  <w:font w:name="Lucida Grande">
    <w:panose1 w:val="020B0600040502020204"/>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824DA9" w:rsidRPr="001A33B7" w14:paraId="0BDC668F" w14:textId="77777777" w:rsidTr="00824DA9">
      <w:trPr>
        <w:trHeight w:val="601"/>
      </w:trPr>
      <w:tc>
        <w:tcPr>
          <w:tcW w:w="9849" w:type="dxa"/>
          <w:vAlign w:val="bottom"/>
        </w:tcPr>
        <w:p w14:paraId="31D4CF9D" w14:textId="31E28A61" w:rsidR="00824DA9" w:rsidRPr="001A33B7" w:rsidRDefault="00824DA9" w:rsidP="009F3CE2">
          <w:pPr>
            <w:pStyle w:val="Footer"/>
          </w:pPr>
          <w:r>
            <w:fldChar w:fldCharType="begin"/>
          </w:r>
          <w:r>
            <w:instrText xml:space="preserve"> DOCPROPERTY  CoverHeading </w:instrText>
          </w:r>
          <w:r>
            <w:fldChar w:fldCharType="separate"/>
          </w:r>
          <w:r w:rsidR="00676212">
            <w:t>Error! Unknown document property name.</w:t>
          </w:r>
          <w:r>
            <w:fldChar w:fldCharType="end"/>
          </w:r>
        </w:p>
      </w:tc>
      <w:tc>
        <w:tcPr>
          <w:tcW w:w="355" w:type="dxa"/>
          <w:vAlign w:val="bottom"/>
        </w:tcPr>
        <w:p w14:paraId="4C2D95E6" w14:textId="77777777" w:rsidR="00824DA9" w:rsidRPr="001A33B7" w:rsidRDefault="00824DA9" w:rsidP="009F3CE2">
          <w:pPr>
            <w:pStyle w:val="Footer"/>
            <w:rPr>
              <w:lang w:val="en-AU"/>
            </w:rPr>
          </w:pPr>
          <w:r>
            <w:fldChar w:fldCharType="begin"/>
          </w:r>
          <w:r>
            <w:instrText xml:space="preserve"> PAGE   \* MERGEFORMAT </w:instrText>
          </w:r>
          <w:r>
            <w:fldChar w:fldCharType="separate"/>
          </w:r>
          <w:r>
            <w:t>4</w:t>
          </w:r>
          <w:r>
            <w:rPr>
              <w:noProof/>
            </w:rPr>
            <w:fldChar w:fldCharType="end"/>
          </w:r>
        </w:p>
      </w:tc>
    </w:tr>
  </w:tbl>
  <w:p w14:paraId="215732CD" w14:textId="77777777" w:rsidR="00950BCC" w:rsidRDefault="00950BCC" w:rsidP="009F3CE2">
    <w:pPr>
      <w:pStyle w:val="Footer"/>
    </w:pPr>
  </w:p>
  <w:p w14:paraId="29449474" w14:textId="77777777" w:rsidR="00D855A8" w:rsidRDefault="00D855A8" w:rsidP="009F3CE2"/>
  <w:p w14:paraId="46FFDF89" w14:textId="77777777" w:rsidR="00D855A8" w:rsidRDefault="00D855A8" w:rsidP="009F3C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9688" w:type="dxa"/>
      <w:tblCellMar>
        <w:left w:w="0" w:type="dxa"/>
        <w:right w:w="0" w:type="dxa"/>
      </w:tblCellMar>
      <w:tblLook w:val="04A0" w:firstRow="1" w:lastRow="0" w:firstColumn="1" w:lastColumn="0" w:noHBand="0" w:noVBand="1"/>
    </w:tblPr>
    <w:tblGrid>
      <w:gridCol w:w="4874"/>
      <w:gridCol w:w="4814"/>
    </w:tblGrid>
    <w:tr w:rsidR="00F347FF" w14:paraId="662600EA" w14:textId="77777777" w:rsidTr="000D7808">
      <w:tc>
        <w:tcPr>
          <w:tcW w:w="4874" w:type="dxa"/>
          <w:tcBorders>
            <w:top w:val="nil"/>
            <w:left w:val="nil"/>
            <w:bottom w:val="nil"/>
            <w:right w:val="nil"/>
          </w:tcBorders>
        </w:tcPr>
        <w:p w14:paraId="72FCBD4A" w14:textId="1AAE8BD9" w:rsidR="00F347FF" w:rsidRDefault="00503371" w:rsidP="000D7808">
          <w:pPr>
            <w:pStyle w:val="Footer"/>
            <w:ind w:right="-232"/>
          </w:pPr>
          <w:r>
            <w:t>Engaging employers to increase the employment of people with disability in Australia. Evidence Synthesis Report</w:t>
          </w:r>
        </w:p>
      </w:tc>
      <w:tc>
        <w:tcPr>
          <w:tcW w:w="4814" w:type="dxa"/>
          <w:tcBorders>
            <w:top w:val="nil"/>
            <w:left w:val="nil"/>
            <w:bottom w:val="nil"/>
            <w:right w:val="nil"/>
          </w:tcBorders>
        </w:tcPr>
        <w:p w14:paraId="64F6ABB4" w14:textId="77777777" w:rsidR="00F347FF" w:rsidRDefault="00F347FF" w:rsidP="000D7808">
          <w:pPr>
            <w:pStyle w:val="Footer"/>
            <w:ind w:right="184"/>
            <w:jc w:val="right"/>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5AFDF9C2" w14:textId="77777777" w:rsidR="00927FA1" w:rsidRPr="0039482E" w:rsidRDefault="00927FA1" w:rsidP="009F3C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37216A" w14:paraId="492B0809" w14:textId="77777777" w:rsidTr="00F347FF">
      <w:tc>
        <w:tcPr>
          <w:tcW w:w="4111" w:type="dxa"/>
          <w:tcBorders>
            <w:top w:val="nil"/>
            <w:left w:val="nil"/>
            <w:bottom w:val="nil"/>
            <w:right w:val="nil"/>
          </w:tcBorders>
          <w:vAlign w:val="bottom"/>
        </w:tcPr>
        <w:p w14:paraId="7A7ECF77" w14:textId="77777777" w:rsidR="0037216A" w:rsidRDefault="0037216A" w:rsidP="009F3CE2">
          <w:pPr>
            <w:pStyle w:val="Footer"/>
          </w:pPr>
        </w:p>
        <w:p w14:paraId="67941010" w14:textId="7B3F8BBC" w:rsidR="00503371" w:rsidRDefault="00503371" w:rsidP="009F3CE2">
          <w:pPr>
            <w:pStyle w:val="Footer"/>
          </w:pPr>
        </w:p>
      </w:tc>
      <w:tc>
        <w:tcPr>
          <w:tcW w:w="5517" w:type="dxa"/>
          <w:tcBorders>
            <w:top w:val="nil"/>
            <w:left w:val="nil"/>
            <w:bottom w:val="nil"/>
            <w:right w:val="nil"/>
          </w:tcBorders>
        </w:tcPr>
        <w:p w14:paraId="3639241C" w14:textId="77777777" w:rsidR="0037216A" w:rsidRDefault="0037216A" w:rsidP="009F3CE2">
          <w:pPr>
            <w:pStyle w:val="Footer"/>
          </w:pPr>
          <w:r>
            <w:rPr>
              <w:noProof/>
            </w:rPr>
            <w:drawing>
              <wp:inline distT="0" distB="0" distL="0" distR="0" wp14:anchorId="754F0319" wp14:editId="1221547D">
                <wp:extent cx="3632400" cy="324000"/>
                <wp:effectExtent l="0" t="0" r="6350" b="0"/>
                <wp:docPr id="180169668" name="Picture 1" descr="Co-branded logos of consortium members – Centre for Social Impact Swinburne, Disability Employment Australia, Family Advocacy, Inclusion Australia, National Disability Services and the University of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 descr="Co-branded logos of consortium members – Centre for Social Impact Swinburne, Disability Employment Australia, Family Advocacy, Inclusion Australia, National Disability Services and the University of Melbourne."/>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12E00E26" w14:textId="77777777" w:rsidR="00927FA1" w:rsidRDefault="00927FA1" w:rsidP="009F3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03FDA" w14:textId="77777777" w:rsidR="00B00F4B" w:rsidRDefault="00B00F4B" w:rsidP="009F3CE2">
      <w:bookmarkStart w:id="0" w:name="_Hlk480808360"/>
      <w:bookmarkEnd w:id="0"/>
      <w:r>
        <w:separator/>
      </w:r>
    </w:p>
  </w:footnote>
  <w:footnote w:type="continuationSeparator" w:id="0">
    <w:p w14:paraId="7CCDA462" w14:textId="77777777" w:rsidR="00B00F4B" w:rsidRDefault="00B00F4B" w:rsidP="009F3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528E" w14:textId="3490C3CD" w:rsidR="00206DA1" w:rsidRDefault="007531E5">
    <w:pPr>
      <w:pStyle w:val="Header"/>
    </w:pPr>
    <w:r>
      <w:rPr>
        <w:noProof/>
      </w:rPr>
      <mc:AlternateContent>
        <mc:Choice Requires="wps">
          <w:drawing>
            <wp:anchor distT="0" distB="0" distL="0" distR="0" simplePos="0" relativeHeight="251658242" behindDoc="0" locked="0" layoutInCell="1" allowOverlap="1" wp14:anchorId="30B45BC0" wp14:editId="5A468199">
              <wp:simplePos x="635" y="635"/>
              <wp:positionH relativeFrom="page">
                <wp:align>left</wp:align>
              </wp:positionH>
              <wp:positionV relativeFrom="page">
                <wp:align>top</wp:align>
              </wp:positionV>
              <wp:extent cx="741045" cy="520700"/>
              <wp:effectExtent l="0" t="0" r="1905" b="12700"/>
              <wp:wrapNone/>
              <wp:docPr id="1854027406"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045" cy="520700"/>
                      </a:xfrm>
                      <a:prstGeom prst="rect">
                        <a:avLst/>
                      </a:prstGeom>
                      <a:noFill/>
                      <a:ln>
                        <a:noFill/>
                      </a:ln>
                    </wps:spPr>
                    <wps:txbx>
                      <w:txbxContent>
                        <w:p w14:paraId="73F51576" w14:textId="1C45334D" w:rsidR="007531E5" w:rsidRPr="007531E5" w:rsidRDefault="007531E5" w:rsidP="009F3CE2">
                          <w:pPr>
                            <w:rPr>
                              <w:noProof/>
                            </w:rPr>
                          </w:pPr>
                          <w:r w:rsidRPr="007531E5">
                            <w:rPr>
                              <w:noProof/>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B45BC0" id="_x0000_t202" coordsize="21600,21600" o:spt="202" path="m,l,21600r21600,l21600,xe">
              <v:stroke joinstyle="miter"/>
              <v:path gradientshapeok="t" o:connecttype="rect"/>
            </v:shapetype>
            <v:shape id="Text Box 2" o:spid="_x0000_s1026" type="#_x0000_t202" alt="Internal" style="position:absolute;margin-left:0;margin-top:0;width:58.35pt;height:41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" filled="f" stroked="f">
              <v:textbox style="mso-fit-shape-to-text:t" inset="20pt,15pt,0,0">
                <w:txbxContent>
                  <w:p w14:paraId="73F51576" w14:textId="1C45334D" w:rsidR="007531E5" w:rsidRPr="007531E5" w:rsidRDefault="007531E5" w:rsidP="009F3CE2">
                    <w:pPr>
                      <w:rPr>
                        <w:noProof/>
                      </w:rPr>
                    </w:pPr>
                    <w:r w:rsidRPr="007531E5">
                      <w:rPr>
                        <w:noProof/>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5964" w14:textId="4CC0296E" w:rsidR="0039482E" w:rsidRDefault="0039482E">
    <w:pPr>
      <w:pStyle w:val="Header"/>
    </w:pPr>
    <w:r>
      <w:rPr>
        <w:noProof/>
      </w:rPr>
      <w:drawing>
        <wp:anchor distT="0" distB="0" distL="114300" distR="114300" simplePos="0" relativeHeight="251658241" behindDoc="1" locked="0" layoutInCell="1" allowOverlap="1" wp14:anchorId="373D7012" wp14:editId="03024CC9">
          <wp:simplePos x="0" y="0"/>
          <wp:positionH relativeFrom="page">
            <wp:posOffset>5775960</wp:posOffset>
          </wp:positionH>
          <wp:positionV relativeFrom="page">
            <wp:posOffset>-106680</wp:posOffset>
          </wp:positionV>
          <wp:extent cx="1893600" cy="1893600"/>
          <wp:effectExtent l="0" t="0" r="0" b="0"/>
          <wp:wrapNone/>
          <wp:docPr id="191427700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6827"/>
    </w:tblGrid>
    <w:tr w:rsidR="006D7267" w14:paraId="49C9B230" w14:textId="77777777" w:rsidTr="0090088E">
      <w:trPr>
        <w:trHeight w:val="660"/>
      </w:trPr>
      <w:tc>
        <w:tcPr>
          <w:tcW w:w="6827" w:type="dxa"/>
          <w:tcBorders>
            <w:top w:val="nil"/>
            <w:left w:val="nil"/>
            <w:bottom w:val="nil"/>
            <w:right w:val="nil"/>
          </w:tcBorders>
        </w:tcPr>
        <w:p w14:paraId="6B37767E" w14:textId="632E77A8" w:rsidR="006D7267" w:rsidRDefault="0090088E" w:rsidP="006D7267">
          <w:pPr>
            <w:pStyle w:val="Header"/>
          </w:pPr>
          <w:r>
            <w:rPr>
              <w:noProof/>
            </w:rPr>
            <w:drawing>
              <wp:anchor distT="0" distB="0" distL="114300" distR="114300" simplePos="0" relativeHeight="251658240" behindDoc="1" locked="0" layoutInCell="1" allowOverlap="1" wp14:anchorId="5F182F01" wp14:editId="2C8A28CB">
                <wp:simplePos x="0" y="0"/>
                <wp:positionH relativeFrom="column">
                  <wp:posOffset>5353685</wp:posOffset>
                </wp:positionH>
                <wp:positionV relativeFrom="paragraph">
                  <wp:posOffset>-1165149</wp:posOffset>
                </wp:positionV>
                <wp:extent cx="1892812" cy="1892812"/>
                <wp:effectExtent l="0" t="0" r="0" b="0"/>
                <wp:wrapNone/>
                <wp:docPr id="1221295895" name="Picture 3" descr="A decorative graphic that is part of the CIE logo. It is four concentric circles that in the order of purple, red, red and then purple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decorative graphic that is part of the CIE logo. It is four concentric circles that in the order of purple, red, red and then purple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r w:rsidR="006D7267">
            <w:rPr>
              <w:noProof/>
            </w:rPr>
            <w:drawing>
              <wp:inline distT="0" distB="0" distL="0" distR="0" wp14:anchorId="06AA671E" wp14:editId="08B144CC">
                <wp:extent cx="1435611" cy="783338"/>
                <wp:effectExtent l="0" t="0" r="0" b="0"/>
                <wp:docPr id="104334313" name="Picture 2" descr="Centre for Inclusive Employment Logo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Centre for Inclusive Employment Logo on a white background."/>
                        <pic:cNvPicPr/>
                      </pic:nvPicPr>
                      <pic:blipFill>
                        <a:blip r:embed="rId2">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59C5C35D" w14:textId="4D31C45A" w:rsidR="006D7267" w:rsidRDefault="006D7267">
    <w:pPr>
      <w:pStyle w:val="Header"/>
    </w:pPr>
  </w:p>
</w:hdr>
</file>

<file path=word/intelligence2.xml><?xml version="1.0" encoding="utf-8"?>
<int2:intelligence xmlns:int2="http://schemas.microsoft.com/office/intelligence/2020/intelligence" xmlns:oel="http://schemas.microsoft.com/office/2019/extlst">
  <int2:observations>
    <int2:textHash int2:hashCode="aGANEnu0FnwEVz" int2:id="bF2xhhmF">
      <int2:state int2:value="Rejected" int2:type="spell"/>
    </int2:textHash>
    <int2:textHash int2:hashCode="Xal8bpN+KgIO5I" int2:id="sbygmpX7">
      <int2:state int2:value="Rejected" int2:type="spell"/>
    </int2:textHash>
    <int2:textHash int2:hashCode="RI8XAvsA9PDS8D" int2:id="zB49olJ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F29CF010"/>
    <w:styleLink w:val="HeadingList"/>
    <w:lvl w:ilvl="0">
      <w:start w:val="1"/>
      <w:numFmt w:val="decimal"/>
      <w:lvlText w:val="%1."/>
      <w:lvlJc w:val="left"/>
      <w:pPr>
        <w:ind w:left="340" w:hanging="340"/>
      </w:pPr>
      <w:rPr>
        <w:rFonts w:asciiTheme="minorHAnsi" w:hAnsiTheme="minorHAnsi" w:hint="default"/>
        <w:b w:val="0"/>
        <w:i w:val="0"/>
        <w:color w:val="000000" w:themeColor="text1"/>
        <w:sz w:val="24"/>
      </w:rPr>
    </w:lvl>
    <w:lvl w:ilvl="1">
      <w:start w:val="1"/>
      <w:numFmt w:val="lowerLetter"/>
      <w:lvlText w:val="%2."/>
      <w:lvlJc w:val="left"/>
      <w:pPr>
        <w:ind w:left="680" w:hanging="340"/>
      </w:pPr>
      <w:rPr>
        <w:rFonts w:asciiTheme="minorHAnsi" w:hAnsiTheme="minorHAnsi" w:hint="default"/>
        <w:b w:val="0"/>
        <w:i w:val="0"/>
        <w:color w:val="000000" w:themeColor="text1"/>
        <w:sz w:val="24"/>
      </w:rPr>
    </w:lvl>
    <w:lvl w:ilvl="2">
      <w:start w:val="1"/>
      <w:numFmt w:val="lowerRoman"/>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 w15:restartNumberingAfterBreak="0">
    <w:nsid w:val="FFFFFF7D"/>
    <w:multiLevelType w:val="multilevel"/>
    <w:tmpl w:val="82129208"/>
    <w:styleLink w:val="ArticleSection"/>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multilevel"/>
    <w:tmpl w:val="2B8CEB0E"/>
    <w:styleLink w:val="111111"/>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 w15:restartNumberingAfterBreak="0">
    <w:nsid w:val="FFFFFF89"/>
    <w:multiLevelType w:val="singleLevel"/>
    <w:tmpl w:val="F770502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00469"/>
    <w:multiLevelType w:val="multilevel"/>
    <w:tmpl w:val="BC102C32"/>
    <w:styleLink w:val="NumberedHeadings"/>
    <w:lvl w:ilvl="0">
      <w:start w:val="1"/>
      <w:numFmt w:val="decimal"/>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D7D2843"/>
    <w:multiLevelType w:val="multilevel"/>
    <w:tmpl w:val="2B8E2F66"/>
    <w:styleLink w:val="BulletList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DF2D41"/>
    <w:multiLevelType w:val="hybridMultilevel"/>
    <w:tmpl w:val="7CD2F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E364121"/>
    <w:multiLevelType w:val="multilevel"/>
    <w:tmpl w:val="8B0E3242"/>
    <w:styleLink w:val="NumberedHeadings0"/>
    <w:lvl w:ilvl="0">
      <w:start w:val="1"/>
      <w:numFmt w:val="bullet"/>
      <w:pStyle w:val="TableBullet"/>
      <w:lvlText w:val=""/>
      <w:lvlJc w:val="left"/>
      <w:pPr>
        <w:ind w:left="360" w:hanging="360"/>
      </w:pPr>
      <w:rPr>
        <w:rFonts w:ascii="Symbol" w:hAnsi="Symbol"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7C2AE1C"/>
    <w:multiLevelType w:val="hybridMultilevel"/>
    <w:tmpl w:val="24120BF0"/>
    <w:styleLink w:val="BodyTextnumberedStyles"/>
    <w:lvl w:ilvl="0" w:tplc="45D2FBF6">
      <w:start w:val="1"/>
      <w:numFmt w:val="bullet"/>
      <w:lvlText w:val="-"/>
      <w:lvlJc w:val="left"/>
      <w:pPr>
        <w:ind w:left="720" w:hanging="360"/>
      </w:pPr>
      <w:rPr>
        <w:rFonts w:ascii="Aptos" w:hAnsi="Aptos" w:hint="default"/>
      </w:rPr>
    </w:lvl>
    <w:lvl w:ilvl="1" w:tplc="BB1A6B02">
      <w:start w:val="1"/>
      <w:numFmt w:val="bullet"/>
      <w:lvlText w:val="o"/>
      <w:lvlJc w:val="left"/>
      <w:pPr>
        <w:ind w:left="1440" w:hanging="360"/>
      </w:pPr>
      <w:rPr>
        <w:rFonts w:ascii="Courier New" w:hAnsi="Courier New" w:hint="default"/>
      </w:rPr>
    </w:lvl>
    <w:lvl w:ilvl="2" w:tplc="AC908520">
      <w:start w:val="1"/>
      <w:numFmt w:val="bullet"/>
      <w:lvlText w:val=""/>
      <w:lvlJc w:val="left"/>
      <w:pPr>
        <w:ind w:left="2160" w:hanging="360"/>
      </w:pPr>
      <w:rPr>
        <w:rFonts w:ascii="Wingdings" w:hAnsi="Wingdings" w:hint="default"/>
      </w:rPr>
    </w:lvl>
    <w:lvl w:ilvl="3" w:tplc="88E09586">
      <w:start w:val="1"/>
      <w:numFmt w:val="bullet"/>
      <w:lvlText w:val=""/>
      <w:lvlJc w:val="left"/>
      <w:pPr>
        <w:ind w:left="2880" w:hanging="360"/>
      </w:pPr>
      <w:rPr>
        <w:rFonts w:ascii="Symbol" w:hAnsi="Symbol" w:hint="default"/>
      </w:rPr>
    </w:lvl>
    <w:lvl w:ilvl="4" w:tplc="E41EE570">
      <w:start w:val="1"/>
      <w:numFmt w:val="bullet"/>
      <w:lvlText w:val="o"/>
      <w:lvlJc w:val="left"/>
      <w:pPr>
        <w:ind w:left="3600" w:hanging="360"/>
      </w:pPr>
      <w:rPr>
        <w:rFonts w:ascii="Courier New" w:hAnsi="Courier New" w:hint="default"/>
      </w:rPr>
    </w:lvl>
    <w:lvl w:ilvl="5" w:tplc="7506F00E">
      <w:start w:val="1"/>
      <w:numFmt w:val="bullet"/>
      <w:lvlText w:val=""/>
      <w:lvlJc w:val="left"/>
      <w:pPr>
        <w:ind w:left="4320" w:hanging="360"/>
      </w:pPr>
      <w:rPr>
        <w:rFonts w:ascii="Wingdings" w:hAnsi="Wingdings" w:hint="default"/>
      </w:rPr>
    </w:lvl>
    <w:lvl w:ilvl="6" w:tplc="F0C41C90">
      <w:start w:val="1"/>
      <w:numFmt w:val="bullet"/>
      <w:lvlText w:val=""/>
      <w:lvlJc w:val="left"/>
      <w:pPr>
        <w:ind w:left="5040" w:hanging="360"/>
      </w:pPr>
      <w:rPr>
        <w:rFonts w:ascii="Symbol" w:hAnsi="Symbol" w:hint="default"/>
      </w:rPr>
    </w:lvl>
    <w:lvl w:ilvl="7" w:tplc="3056A970">
      <w:start w:val="1"/>
      <w:numFmt w:val="bullet"/>
      <w:lvlText w:val="o"/>
      <w:lvlJc w:val="left"/>
      <w:pPr>
        <w:ind w:left="5760" w:hanging="360"/>
      </w:pPr>
      <w:rPr>
        <w:rFonts w:ascii="Courier New" w:hAnsi="Courier New" w:hint="default"/>
      </w:rPr>
    </w:lvl>
    <w:lvl w:ilvl="8" w:tplc="DF6A80B8">
      <w:start w:val="1"/>
      <w:numFmt w:val="bullet"/>
      <w:lvlText w:val=""/>
      <w:lvlJc w:val="left"/>
      <w:pPr>
        <w:ind w:left="6480" w:hanging="360"/>
      </w:pPr>
      <w:rPr>
        <w:rFonts w:ascii="Wingdings" w:hAnsi="Wingdings" w:hint="default"/>
      </w:rPr>
    </w:lvl>
  </w:abstractNum>
  <w:abstractNum w:abstractNumId="10" w15:restartNumberingAfterBreak="0">
    <w:nsid w:val="2A106099"/>
    <w:multiLevelType w:val="multilevel"/>
    <w:tmpl w:val="C6D8FEE0"/>
    <w:styleLink w:val="AppendixStyl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1B5F5A"/>
    <w:multiLevelType w:val="hybridMultilevel"/>
    <w:tmpl w:val="4E206F58"/>
    <w:lvl w:ilvl="0" w:tplc="181E8F30">
      <w:numFmt w:val="bullet"/>
      <w:pStyle w:val="BlockText"/>
      <w:lvlText w:val="-"/>
      <w:lvlJc w:val="left"/>
      <w:pPr>
        <w:ind w:left="1440" w:hanging="360"/>
      </w:pPr>
      <w:rPr>
        <w:rFonts w:ascii="Montserrat" w:eastAsia="MS Mincho" w:hAnsi="Montserrat" w:cs="Times New Roman"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E51464"/>
    <w:multiLevelType w:val="multilevel"/>
    <w:tmpl w:val="BC2EAD96"/>
    <w:lvl w:ilvl="0">
      <w:start w:val="1"/>
      <w:numFmt w:val="bullet"/>
      <w:lvlText w:val=""/>
      <w:lvlJc w:val="left"/>
      <w:pPr>
        <w:ind w:left="340" w:hanging="340"/>
      </w:pPr>
      <w:rPr>
        <w:rFonts w:ascii="Symbol" w:hAnsi="Symbol" w:hint="default"/>
        <w:b w:val="0"/>
        <w:i w:val="0"/>
        <w:color w:val="000000" w:themeColor="text1"/>
        <w:sz w:val="24"/>
      </w:rPr>
    </w:lvl>
    <w:lvl w:ilvl="1">
      <w:start w:val="1"/>
      <w:numFmt w:val="bullet"/>
      <w:pStyle w:val="ListBullet2"/>
      <w:lvlText w:val=""/>
      <w:lvlJc w:val="left"/>
      <w:pPr>
        <w:ind w:left="680" w:hanging="340"/>
      </w:pPr>
      <w:rPr>
        <w:rFonts w:ascii="Symbol" w:hAnsi="Symbol" w:hint="default"/>
        <w:b w:val="0"/>
        <w:i w:val="0"/>
        <w:color w:val="000000" w:themeColor="text1"/>
        <w:sz w:val="24"/>
      </w:rPr>
    </w:lvl>
    <w:lvl w:ilvl="2">
      <w:start w:val="1"/>
      <w:numFmt w:val="bullet"/>
      <w:pStyle w:val="ListBullet3"/>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9442039"/>
    <w:multiLevelType w:val="hybridMultilevel"/>
    <w:tmpl w:val="1108C3E4"/>
    <w:lvl w:ilvl="0" w:tplc="08090001">
      <w:start w:val="1"/>
      <w:numFmt w:val="bullet"/>
      <w:lvlText w:val=""/>
      <w:lvlJc w:val="left"/>
      <w:pPr>
        <w:ind w:left="644" w:hanging="360"/>
      </w:pPr>
      <w:rPr>
        <w:rFonts w:ascii="Symbol" w:hAnsi="Symbol" w:hint="default"/>
        <w:b w:val="0"/>
      </w:rPr>
    </w:lvl>
    <w:lvl w:ilvl="1" w:tplc="08090003">
      <w:start w:val="1"/>
      <w:numFmt w:val="bullet"/>
      <w:lvlText w:val="o"/>
      <w:lvlJc w:val="left"/>
      <w:pPr>
        <w:ind w:left="1440" w:hanging="360"/>
      </w:pPr>
      <w:rPr>
        <w:rFonts w:ascii="Courier New" w:hAnsi="Courier New" w:hint="default"/>
      </w:rPr>
    </w:lvl>
    <w:lvl w:ilvl="2" w:tplc="B3961C24">
      <w:numFmt w:val="bullet"/>
      <w:lvlText w:val="-"/>
      <w:lvlJc w:val="left"/>
      <w:pPr>
        <w:ind w:left="2520" w:hanging="720"/>
      </w:pPr>
      <w:rPr>
        <w:rFonts w:ascii="Montserrat" w:eastAsiaTheme="minorHAnsi" w:hAnsi="Montserrat" w:cs="Poppin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1506EA"/>
    <w:multiLevelType w:val="multilevel"/>
    <w:tmpl w:val="E216E988"/>
    <w:styleLink w:val="BulletsStyle"/>
    <w:lvl w:ilvl="0">
      <w:start w:val="1"/>
      <w:numFmt w:val="decimal"/>
      <w:pStyle w:val="ListNumber"/>
      <w:lvlText w:val="%1."/>
      <w:lvlJc w:val="left"/>
      <w:pPr>
        <w:ind w:left="360" w:hanging="360"/>
      </w:pPr>
      <w:rPr>
        <w:rFonts w:hint="default"/>
        <w:b w:val="0"/>
        <w:i w:val="0"/>
        <w:color w:val="000000" w:themeColor="text1"/>
        <w:sz w:val="24"/>
      </w:rPr>
    </w:lvl>
    <w:lvl w:ilvl="1">
      <w:start w:val="1"/>
      <w:numFmt w:val="bullet"/>
      <w:lvlText w:val=""/>
      <w:lvlJc w:val="left"/>
      <w:pPr>
        <w:ind w:left="680" w:hanging="340"/>
      </w:pPr>
      <w:rPr>
        <w:rFonts w:ascii="Symbol" w:hAnsi="Symbol" w:hint="default"/>
        <w:b w:val="0"/>
        <w:i w:val="0"/>
        <w:color w:val="000000" w:themeColor="text1"/>
        <w:sz w:val="24"/>
      </w:rPr>
    </w:lvl>
    <w:lvl w:ilvl="2">
      <w:start w:val="1"/>
      <w:numFmt w:val="bullet"/>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69F7E1E"/>
    <w:multiLevelType w:val="hybridMultilevel"/>
    <w:tmpl w:val="563EFB68"/>
    <w:lvl w:ilvl="0" w:tplc="4D065076">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94FF8"/>
    <w:multiLevelType w:val="hybridMultilevel"/>
    <w:tmpl w:val="FEEE795E"/>
    <w:styleLink w:val="BoxListNumbers"/>
    <w:lvl w:ilvl="0" w:tplc="7FBCAC5A">
      <w:start w:val="1"/>
      <w:numFmt w:val="decimal"/>
      <w:lvlText w:val="%1."/>
      <w:lvlJc w:val="left"/>
      <w:pPr>
        <w:ind w:left="360" w:hanging="360"/>
      </w:pPr>
    </w:lvl>
    <w:lvl w:ilvl="1" w:tplc="A00692D2">
      <w:start w:val="1"/>
      <w:numFmt w:val="lowerLetter"/>
      <w:lvlText w:val="%2."/>
      <w:lvlJc w:val="left"/>
      <w:pPr>
        <w:ind w:left="1080" w:hanging="360"/>
      </w:pPr>
    </w:lvl>
    <w:lvl w:ilvl="2" w:tplc="F6FCA2CC">
      <w:start w:val="1"/>
      <w:numFmt w:val="lowerRoman"/>
      <w:lvlText w:val="%3."/>
      <w:lvlJc w:val="right"/>
      <w:pPr>
        <w:ind w:left="1800" w:hanging="180"/>
      </w:pPr>
    </w:lvl>
    <w:lvl w:ilvl="3" w:tplc="EEC004EC">
      <w:start w:val="1"/>
      <w:numFmt w:val="decimal"/>
      <w:lvlText w:val="%4."/>
      <w:lvlJc w:val="left"/>
      <w:pPr>
        <w:ind w:left="2520" w:hanging="360"/>
      </w:pPr>
    </w:lvl>
    <w:lvl w:ilvl="4" w:tplc="195AECC4">
      <w:start w:val="1"/>
      <w:numFmt w:val="lowerLetter"/>
      <w:lvlText w:val="%5."/>
      <w:lvlJc w:val="left"/>
      <w:pPr>
        <w:ind w:left="3240" w:hanging="360"/>
      </w:pPr>
    </w:lvl>
    <w:lvl w:ilvl="5" w:tplc="B8D8ACE8">
      <w:start w:val="1"/>
      <w:numFmt w:val="lowerRoman"/>
      <w:lvlText w:val="%6."/>
      <w:lvlJc w:val="right"/>
      <w:pPr>
        <w:ind w:left="3960" w:hanging="180"/>
      </w:pPr>
    </w:lvl>
    <w:lvl w:ilvl="6" w:tplc="B4EAEEFA">
      <w:start w:val="1"/>
      <w:numFmt w:val="decimal"/>
      <w:lvlText w:val="%7."/>
      <w:lvlJc w:val="left"/>
      <w:pPr>
        <w:ind w:left="4680" w:hanging="360"/>
      </w:pPr>
    </w:lvl>
    <w:lvl w:ilvl="7" w:tplc="76E48BD6">
      <w:start w:val="1"/>
      <w:numFmt w:val="lowerLetter"/>
      <w:lvlText w:val="%8."/>
      <w:lvlJc w:val="left"/>
      <w:pPr>
        <w:ind w:left="5400" w:hanging="360"/>
      </w:pPr>
    </w:lvl>
    <w:lvl w:ilvl="8" w:tplc="3AB0F946">
      <w:start w:val="1"/>
      <w:numFmt w:val="lowerRoman"/>
      <w:lvlText w:val="%9."/>
      <w:lvlJc w:val="right"/>
      <w:pPr>
        <w:ind w:left="6120" w:hanging="180"/>
      </w:pPr>
    </w:lvl>
  </w:abstractNum>
  <w:abstractNum w:abstractNumId="17" w15:restartNumberingAfterBreak="0">
    <w:nsid w:val="4A3354AE"/>
    <w:multiLevelType w:val="hybridMultilevel"/>
    <w:tmpl w:val="F8D49B00"/>
    <w:styleLink w:val="HeadingNumbers"/>
    <w:lvl w:ilvl="0" w:tplc="CDBC4DE8">
      <w:start w:val="1"/>
      <w:numFmt w:val="bullet"/>
      <w:lvlText w:val="-"/>
      <w:lvlJc w:val="left"/>
      <w:pPr>
        <w:ind w:left="720" w:hanging="360"/>
      </w:pPr>
      <w:rPr>
        <w:rFonts w:ascii="Aptos" w:hAnsi="Aptos" w:hint="default"/>
      </w:rPr>
    </w:lvl>
    <w:lvl w:ilvl="1" w:tplc="29BC6262">
      <w:start w:val="1"/>
      <w:numFmt w:val="bullet"/>
      <w:lvlText w:val="o"/>
      <w:lvlJc w:val="left"/>
      <w:pPr>
        <w:ind w:left="1440" w:hanging="360"/>
      </w:pPr>
      <w:rPr>
        <w:rFonts w:ascii="Courier New" w:hAnsi="Courier New" w:hint="default"/>
      </w:rPr>
    </w:lvl>
    <w:lvl w:ilvl="2" w:tplc="E014070E">
      <w:start w:val="1"/>
      <w:numFmt w:val="bullet"/>
      <w:lvlText w:val=""/>
      <w:lvlJc w:val="left"/>
      <w:pPr>
        <w:ind w:left="2160" w:hanging="360"/>
      </w:pPr>
      <w:rPr>
        <w:rFonts w:ascii="Wingdings" w:hAnsi="Wingdings" w:hint="default"/>
      </w:rPr>
    </w:lvl>
    <w:lvl w:ilvl="3" w:tplc="2150662C">
      <w:start w:val="1"/>
      <w:numFmt w:val="bullet"/>
      <w:lvlText w:val=""/>
      <w:lvlJc w:val="left"/>
      <w:pPr>
        <w:ind w:left="2880" w:hanging="360"/>
      </w:pPr>
      <w:rPr>
        <w:rFonts w:ascii="Symbol" w:hAnsi="Symbol" w:hint="default"/>
      </w:rPr>
    </w:lvl>
    <w:lvl w:ilvl="4" w:tplc="FD925A94">
      <w:start w:val="1"/>
      <w:numFmt w:val="bullet"/>
      <w:lvlText w:val="o"/>
      <w:lvlJc w:val="left"/>
      <w:pPr>
        <w:ind w:left="3600" w:hanging="360"/>
      </w:pPr>
      <w:rPr>
        <w:rFonts w:ascii="Courier New" w:hAnsi="Courier New" w:hint="default"/>
      </w:rPr>
    </w:lvl>
    <w:lvl w:ilvl="5" w:tplc="72E09330">
      <w:start w:val="1"/>
      <w:numFmt w:val="bullet"/>
      <w:lvlText w:val=""/>
      <w:lvlJc w:val="left"/>
      <w:pPr>
        <w:ind w:left="4320" w:hanging="360"/>
      </w:pPr>
      <w:rPr>
        <w:rFonts w:ascii="Wingdings" w:hAnsi="Wingdings" w:hint="default"/>
      </w:rPr>
    </w:lvl>
    <w:lvl w:ilvl="6" w:tplc="3D0C6358">
      <w:start w:val="1"/>
      <w:numFmt w:val="bullet"/>
      <w:lvlText w:val=""/>
      <w:lvlJc w:val="left"/>
      <w:pPr>
        <w:ind w:left="5040" w:hanging="360"/>
      </w:pPr>
      <w:rPr>
        <w:rFonts w:ascii="Symbol" w:hAnsi="Symbol" w:hint="default"/>
      </w:rPr>
    </w:lvl>
    <w:lvl w:ilvl="7" w:tplc="A2425E78">
      <w:start w:val="1"/>
      <w:numFmt w:val="bullet"/>
      <w:lvlText w:val="o"/>
      <w:lvlJc w:val="left"/>
      <w:pPr>
        <w:ind w:left="5760" w:hanging="360"/>
      </w:pPr>
      <w:rPr>
        <w:rFonts w:ascii="Courier New" w:hAnsi="Courier New" w:hint="default"/>
      </w:rPr>
    </w:lvl>
    <w:lvl w:ilvl="8" w:tplc="BBCE4792">
      <w:start w:val="1"/>
      <w:numFmt w:val="bullet"/>
      <w:lvlText w:val=""/>
      <w:lvlJc w:val="left"/>
      <w:pPr>
        <w:ind w:left="6480" w:hanging="360"/>
      </w:pPr>
      <w:rPr>
        <w:rFonts w:ascii="Wingdings" w:hAnsi="Wingdings" w:hint="default"/>
      </w:rPr>
    </w:lvl>
  </w:abstractNum>
  <w:abstractNum w:abstractNumId="18"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19" w15:restartNumberingAfterBreak="0">
    <w:nsid w:val="52F42F79"/>
    <w:multiLevelType w:val="multilevel"/>
    <w:tmpl w:val="277AC3FA"/>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E3615C8"/>
    <w:multiLevelType w:val="hybridMultilevel"/>
    <w:tmpl w:val="ADC0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605DD2"/>
    <w:multiLevelType w:val="multilevel"/>
    <w:tmpl w:val="FEEC4954"/>
    <w:styleLink w:val="ObjectiveHeading"/>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C10C30"/>
    <w:multiLevelType w:val="hybridMultilevel"/>
    <w:tmpl w:val="9ECED0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ADB2619"/>
    <w:multiLevelType w:val="multilevel"/>
    <w:tmpl w:val="E70EBE06"/>
    <w:styleLink w:val="CurrentList1"/>
    <w:lvl w:ilvl="0">
      <w:numFmt w:val="bullet"/>
      <w:lvlText w:val="-"/>
      <w:lvlJc w:val="left"/>
      <w:pPr>
        <w:ind w:left="785" w:hanging="360"/>
      </w:pPr>
      <w:rPr>
        <w:rFonts w:ascii="Montserrat" w:eastAsia="MS Mincho" w:hAnsi="Montserrat" w:cs="Times New Roman" w:hint="default"/>
      </w:rPr>
    </w:lvl>
    <w:lvl w:ilvl="1">
      <w:start w:val="1"/>
      <w:numFmt w:val="bullet"/>
      <w:lvlText w:val="o"/>
      <w:lvlJc w:val="left"/>
      <w:pPr>
        <w:ind w:left="1505" w:hanging="360"/>
      </w:pPr>
      <w:rPr>
        <w:rFonts w:ascii="Courier New" w:hAnsi="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hint="default"/>
      </w:rPr>
    </w:lvl>
    <w:lvl w:ilvl="8">
      <w:start w:val="1"/>
      <w:numFmt w:val="bullet"/>
      <w:lvlText w:val=""/>
      <w:lvlJc w:val="left"/>
      <w:pPr>
        <w:ind w:left="6545" w:hanging="360"/>
      </w:pPr>
      <w:rPr>
        <w:rFonts w:ascii="Wingdings" w:hAnsi="Wingdings" w:hint="default"/>
      </w:rPr>
    </w:lvl>
  </w:abstractNum>
  <w:abstractNum w:abstractNumId="24" w15:restartNumberingAfterBreak="0">
    <w:nsid w:val="6B2B2D97"/>
    <w:multiLevelType w:val="hybridMultilevel"/>
    <w:tmpl w:val="7EF64072"/>
    <w:styleLink w:val="TableListNumbers"/>
    <w:lvl w:ilvl="0" w:tplc="E7924AD8">
      <w:start w:val="1"/>
      <w:numFmt w:val="bullet"/>
      <w:lvlText w:val="-"/>
      <w:lvlJc w:val="left"/>
      <w:pPr>
        <w:ind w:left="720" w:hanging="360"/>
      </w:pPr>
      <w:rPr>
        <w:rFonts w:ascii="Aptos" w:hAnsi="Aptos" w:hint="default"/>
      </w:rPr>
    </w:lvl>
    <w:lvl w:ilvl="1" w:tplc="BF689762">
      <w:start w:val="1"/>
      <w:numFmt w:val="bullet"/>
      <w:lvlText w:val="o"/>
      <w:lvlJc w:val="left"/>
      <w:pPr>
        <w:ind w:left="1440" w:hanging="360"/>
      </w:pPr>
      <w:rPr>
        <w:rFonts w:ascii="Courier New" w:hAnsi="Courier New" w:hint="default"/>
      </w:rPr>
    </w:lvl>
    <w:lvl w:ilvl="2" w:tplc="FEA83D40">
      <w:start w:val="1"/>
      <w:numFmt w:val="bullet"/>
      <w:lvlText w:val=""/>
      <w:lvlJc w:val="left"/>
      <w:pPr>
        <w:ind w:left="2160" w:hanging="360"/>
      </w:pPr>
      <w:rPr>
        <w:rFonts w:ascii="Wingdings" w:hAnsi="Wingdings" w:hint="default"/>
      </w:rPr>
    </w:lvl>
    <w:lvl w:ilvl="3" w:tplc="3A7AA836">
      <w:start w:val="1"/>
      <w:numFmt w:val="bullet"/>
      <w:lvlText w:val=""/>
      <w:lvlJc w:val="left"/>
      <w:pPr>
        <w:ind w:left="2880" w:hanging="360"/>
      </w:pPr>
      <w:rPr>
        <w:rFonts w:ascii="Symbol" w:hAnsi="Symbol" w:hint="default"/>
      </w:rPr>
    </w:lvl>
    <w:lvl w:ilvl="4" w:tplc="9AA4312E">
      <w:start w:val="1"/>
      <w:numFmt w:val="bullet"/>
      <w:lvlText w:val="o"/>
      <w:lvlJc w:val="left"/>
      <w:pPr>
        <w:ind w:left="3600" w:hanging="360"/>
      </w:pPr>
      <w:rPr>
        <w:rFonts w:ascii="Courier New" w:hAnsi="Courier New" w:hint="default"/>
      </w:rPr>
    </w:lvl>
    <w:lvl w:ilvl="5" w:tplc="0D526CA2">
      <w:start w:val="1"/>
      <w:numFmt w:val="bullet"/>
      <w:lvlText w:val=""/>
      <w:lvlJc w:val="left"/>
      <w:pPr>
        <w:ind w:left="4320" w:hanging="360"/>
      </w:pPr>
      <w:rPr>
        <w:rFonts w:ascii="Wingdings" w:hAnsi="Wingdings" w:hint="default"/>
      </w:rPr>
    </w:lvl>
    <w:lvl w:ilvl="6" w:tplc="017AF574">
      <w:start w:val="1"/>
      <w:numFmt w:val="bullet"/>
      <w:lvlText w:val=""/>
      <w:lvlJc w:val="left"/>
      <w:pPr>
        <w:ind w:left="5040" w:hanging="360"/>
      </w:pPr>
      <w:rPr>
        <w:rFonts w:ascii="Symbol" w:hAnsi="Symbol" w:hint="default"/>
      </w:rPr>
    </w:lvl>
    <w:lvl w:ilvl="7" w:tplc="01C8BB4C">
      <w:start w:val="1"/>
      <w:numFmt w:val="bullet"/>
      <w:lvlText w:val="o"/>
      <w:lvlJc w:val="left"/>
      <w:pPr>
        <w:ind w:left="5760" w:hanging="360"/>
      </w:pPr>
      <w:rPr>
        <w:rFonts w:ascii="Courier New" w:hAnsi="Courier New" w:hint="default"/>
      </w:rPr>
    </w:lvl>
    <w:lvl w:ilvl="8" w:tplc="FF389E84">
      <w:start w:val="1"/>
      <w:numFmt w:val="bullet"/>
      <w:lvlText w:val=""/>
      <w:lvlJc w:val="left"/>
      <w:pPr>
        <w:ind w:left="6480" w:hanging="360"/>
      </w:pPr>
      <w:rPr>
        <w:rFonts w:ascii="Wingdings" w:hAnsi="Wingdings" w:hint="default"/>
      </w:rPr>
    </w:lvl>
  </w:abstractNum>
  <w:abstractNum w:abstractNumId="25" w15:restartNumberingAfterBreak="0">
    <w:nsid w:val="6E2E3244"/>
    <w:multiLevelType w:val="multilevel"/>
    <w:tmpl w:val="26FAA784"/>
    <w:styleLink w:val="1ai"/>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722010FB"/>
    <w:multiLevelType w:val="multilevel"/>
    <w:tmpl w:val="A998DA46"/>
    <w:styleLink w:val="Bullets"/>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8DD7FBB"/>
    <w:multiLevelType w:val="hybridMultilevel"/>
    <w:tmpl w:val="E3EEA6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F7046E"/>
    <w:multiLevelType w:val="hybridMultilevel"/>
    <w:tmpl w:val="07EE9484"/>
    <w:styleLink w:val="NumberedBulletStyle"/>
    <w:lvl w:ilvl="0" w:tplc="27BA732A">
      <w:start w:val="1"/>
      <w:numFmt w:val="bullet"/>
      <w:lvlText w:val="-"/>
      <w:lvlJc w:val="left"/>
      <w:pPr>
        <w:ind w:left="720" w:hanging="360"/>
      </w:pPr>
      <w:rPr>
        <w:rFonts w:ascii="Aptos" w:hAnsi="Aptos" w:hint="default"/>
      </w:rPr>
    </w:lvl>
    <w:lvl w:ilvl="1" w:tplc="94FC3320">
      <w:start w:val="1"/>
      <w:numFmt w:val="bullet"/>
      <w:lvlText w:val="o"/>
      <w:lvlJc w:val="left"/>
      <w:pPr>
        <w:ind w:left="1440" w:hanging="360"/>
      </w:pPr>
      <w:rPr>
        <w:rFonts w:ascii="Courier New" w:hAnsi="Courier New" w:hint="default"/>
      </w:rPr>
    </w:lvl>
    <w:lvl w:ilvl="2" w:tplc="C4CC469E">
      <w:start w:val="1"/>
      <w:numFmt w:val="bullet"/>
      <w:lvlText w:val=""/>
      <w:lvlJc w:val="left"/>
      <w:pPr>
        <w:ind w:left="2160" w:hanging="360"/>
      </w:pPr>
      <w:rPr>
        <w:rFonts w:ascii="Wingdings" w:hAnsi="Wingdings" w:hint="default"/>
      </w:rPr>
    </w:lvl>
    <w:lvl w:ilvl="3" w:tplc="95789BEA">
      <w:start w:val="1"/>
      <w:numFmt w:val="bullet"/>
      <w:lvlText w:val=""/>
      <w:lvlJc w:val="left"/>
      <w:pPr>
        <w:ind w:left="2880" w:hanging="360"/>
      </w:pPr>
      <w:rPr>
        <w:rFonts w:ascii="Symbol" w:hAnsi="Symbol" w:hint="default"/>
      </w:rPr>
    </w:lvl>
    <w:lvl w:ilvl="4" w:tplc="CA62B3C6">
      <w:start w:val="1"/>
      <w:numFmt w:val="bullet"/>
      <w:lvlText w:val="o"/>
      <w:lvlJc w:val="left"/>
      <w:pPr>
        <w:ind w:left="3600" w:hanging="360"/>
      </w:pPr>
      <w:rPr>
        <w:rFonts w:ascii="Courier New" w:hAnsi="Courier New" w:hint="default"/>
      </w:rPr>
    </w:lvl>
    <w:lvl w:ilvl="5" w:tplc="42F2A5A4">
      <w:start w:val="1"/>
      <w:numFmt w:val="bullet"/>
      <w:lvlText w:val=""/>
      <w:lvlJc w:val="left"/>
      <w:pPr>
        <w:ind w:left="4320" w:hanging="360"/>
      </w:pPr>
      <w:rPr>
        <w:rFonts w:ascii="Wingdings" w:hAnsi="Wingdings" w:hint="default"/>
      </w:rPr>
    </w:lvl>
    <w:lvl w:ilvl="6" w:tplc="256CE4DC">
      <w:start w:val="1"/>
      <w:numFmt w:val="bullet"/>
      <w:lvlText w:val=""/>
      <w:lvlJc w:val="left"/>
      <w:pPr>
        <w:ind w:left="5040" w:hanging="360"/>
      </w:pPr>
      <w:rPr>
        <w:rFonts w:ascii="Symbol" w:hAnsi="Symbol" w:hint="default"/>
      </w:rPr>
    </w:lvl>
    <w:lvl w:ilvl="7" w:tplc="59408430">
      <w:start w:val="1"/>
      <w:numFmt w:val="bullet"/>
      <w:lvlText w:val="o"/>
      <w:lvlJc w:val="left"/>
      <w:pPr>
        <w:ind w:left="5760" w:hanging="360"/>
      </w:pPr>
      <w:rPr>
        <w:rFonts w:ascii="Courier New" w:hAnsi="Courier New" w:hint="default"/>
      </w:rPr>
    </w:lvl>
    <w:lvl w:ilvl="8" w:tplc="85AC9C44">
      <w:start w:val="1"/>
      <w:numFmt w:val="bullet"/>
      <w:lvlText w:val=""/>
      <w:lvlJc w:val="left"/>
      <w:pPr>
        <w:ind w:left="6480" w:hanging="360"/>
      </w:pPr>
      <w:rPr>
        <w:rFonts w:ascii="Wingdings" w:hAnsi="Wingdings" w:hint="default"/>
      </w:rPr>
    </w:lvl>
  </w:abstractNum>
  <w:num w:numId="1" w16cid:durableId="661398837">
    <w:abstractNumId w:val="9"/>
  </w:num>
  <w:num w:numId="2" w16cid:durableId="654719767">
    <w:abstractNumId w:val="2"/>
  </w:num>
  <w:num w:numId="3" w16cid:durableId="2106270163">
    <w:abstractNumId w:val="3"/>
  </w:num>
  <w:num w:numId="4" w16cid:durableId="393092543">
    <w:abstractNumId w:val="1"/>
  </w:num>
  <w:num w:numId="5" w16cid:durableId="358355396">
    <w:abstractNumId w:val="0"/>
  </w:num>
  <w:num w:numId="6" w16cid:durableId="498084787">
    <w:abstractNumId w:val="6"/>
  </w:num>
  <w:num w:numId="7" w16cid:durableId="1153183473">
    <w:abstractNumId w:val="26"/>
  </w:num>
  <w:num w:numId="8" w16cid:durableId="707493237">
    <w:abstractNumId w:val="14"/>
  </w:num>
  <w:num w:numId="9" w16cid:durableId="2011563492">
    <w:abstractNumId w:val="8"/>
    <w:lvlOverride w:ilvl="0">
      <w:lvl w:ilvl="0">
        <w:start w:val="1"/>
        <w:numFmt w:val="bullet"/>
        <w:pStyle w:val="TableBullet"/>
        <w:lvlText w:val=""/>
        <w:lvlJc w:val="left"/>
        <w:pPr>
          <w:ind w:left="360" w:hanging="360"/>
        </w:pPr>
        <w:rPr>
          <w:rFonts w:ascii="Symbol" w:hAnsi="Symbol" w:hint="default"/>
          <w:b/>
          <w:i w:val="0"/>
          <w:caps/>
          <w:color w:val="000000" w:themeColor="text1"/>
          <w:sz w:val="24"/>
          <w:szCs w:val="24"/>
        </w:rPr>
      </w:lvl>
    </w:lvlOverride>
    <w:lvlOverride w:ilvl="1">
      <w:lvl w:ilvl="1">
        <w:start w:val="1"/>
        <w:numFmt w:val="decimal"/>
        <w:lvlText w:val="%1.%2"/>
        <w:lvlJc w:val="left"/>
        <w:pPr>
          <w:ind w:left="680" w:hanging="680"/>
        </w:pPr>
        <w:rPr>
          <w:rFonts w:ascii="Univers" w:hAnsi="Univers" w:hint="default"/>
          <w:b/>
          <w:i w:val="0"/>
          <w:color w:val="404040" w:themeColor="text2"/>
          <w:sz w:val="20"/>
        </w:rPr>
      </w:lvl>
    </w:lvlOverride>
    <w:lvlOverride w:ilvl="2">
      <w:lvl w:ilvl="2">
        <w:start w:val="1"/>
        <w:numFmt w:val="decimal"/>
        <w:lvlText w:val="%1.%2.%3"/>
        <w:lvlJc w:val="left"/>
        <w:pPr>
          <w:ind w:left="680" w:hanging="680"/>
        </w:pPr>
        <w:rPr>
          <w:rFonts w:asciiTheme="majorHAnsi" w:hAnsiTheme="majorHAnsi" w:hint="default"/>
          <w:b/>
          <w:i w:val="0"/>
          <w:caps/>
          <w:color w:val="FFFFFF" w:themeColor="background2"/>
          <w:sz w:val="20"/>
        </w:rPr>
      </w:lvl>
    </w:lvlOverride>
    <w:lvlOverride w:ilvl="3">
      <w:lvl w:ilvl="3">
        <w:start w:val="1"/>
        <w:numFmt w:val="decimal"/>
        <w:lvlText w:val="%1.%2.%3.%4"/>
        <w:lvlJc w:val="left"/>
        <w:pPr>
          <w:ind w:left="680" w:hanging="680"/>
        </w:pPr>
        <w:rPr>
          <w:rFonts w:asciiTheme="minorHAnsi" w:hAnsiTheme="minorHAnsi" w:hint="default"/>
          <w:b/>
          <w:i w:val="0"/>
          <w:caps/>
          <w:color w:val="404040" w:themeColor="text2"/>
          <w:sz w:val="20"/>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10" w16cid:durableId="283122014">
    <w:abstractNumId w:val="5"/>
  </w:num>
  <w:num w:numId="11" w16cid:durableId="781416173">
    <w:abstractNumId w:val="17"/>
  </w:num>
  <w:num w:numId="12" w16cid:durableId="1798379127">
    <w:abstractNumId w:val="19"/>
  </w:num>
  <w:num w:numId="13" w16cid:durableId="2115129295">
    <w:abstractNumId w:val="24"/>
  </w:num>
  <w:num w:numId="14" w16cid:durableId="1494103499">
    <w:abstractNumId w:val="16"/>
  </w:num>
  <w:num w:numId="15" w16cid:durableId="1832939430">
    <w:abstractNumId w:val="28"/>
  </w:num>
  <w:num w:numId="16" w16cid:durableId="1868175217">
    <w:abstractNumId w:val="25"/>
  </w:num>
  <w:num w:numId="17" w16cid:durableId="5200542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3215188">
    <w:abstractNumId w:val="10"/>
  </w:num>
  <w:num w:numId="19" w16cid:durableId="312607431">
    <w:abstractNumId w:val="21"/>
  </w:num>
  <w:num w:numId="20" w16cid:durableId="1747069015">
    <w:abstractNumId w:val="13"/>
  </w:num>
  <w:num w:numId="21" w16cid:durableId="5065533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98416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92073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9201244">
    <w:abstractNumId w:val="8"/>
  </w:num>
  <w:num w:numId="25" w16cid:durableId="1316032595">
    <w:abstractNumId w:val="22"/>
  </w:num>
  <w:num w:numId="26" w16cid:durableId="1116292243">
    <w:abstractNumId w:val="23"/>
  </w:num>
  <w:num w:numId="27" w16cid:durableId="1377705202">
    <w:abstractNumId w:val="7"/>
  </w:num>
  <w:num w:numId="28" w16cid:durableId="2069575355">
    <w:abstractNumId w:val="11"/>
  </w:num>
  <w:num w:numId="29" w16cid:durableId="776094683">
    <w:abstractNumId w:val="4"/>
  </w:num>
  <w:num w:numId="30" w16cid:durableId="1906913674">
    <w:abstractNumId w:val="8"/>
    <w:lvlOverride w:ilvl="0">
      <w:lvl w:ilvl="0">
        <w:start w:val="1"/>
        <w:numFmt w:val="bullet"/>
        <w:pStyle w:val="TableBullet"/>
        <w:lvlText w:val=""/>
        <w:lvlJc w:val="left"/>
        <w:pPr>
          <w:ind w:left="360" w:hanging="360"/>
        </w:pPr>
        <w:rPr>
          <w:rFonts w:ascii="Symbol" w:hAnsi="Symbol" w:hint="default"/>
          <w:b/>
          <w:i w:val="0"/>
          <w:caps/>
          <w:color w:val="000000" w:themeColor="text1"/>
          <w:sz w:val="24"/>
          <w:szCs w:val="24"/>
        </w:rPr>
      </w:lvl>
    </w:lvlOverride>
    <w:lvlOverride w:ilvl="1">
      <w:lvl w:ilvl="1">
        <w:start w:val="1"/>
        <w:numFmt w:val="decimal"/>
        <w:lvlText w:val="%1.%2"/>
        <w:lvlJc w:val="left"/>
        <w:pPr>
          <w:ind w:left="680" w:hanging="680"/>
        </w:pPr>
        <w:rPr>
          <w:rFonts w:ascii="Univers" w:hAnsi="Univers" w:hint="default"/>
          <w:b/>
          <w:i w:val="0"/>
          <w:color w:val="404040" w:themeColor="text2"/>
          <w:sz w:val="20"/>
        </w:rPr>
      </w:lvl>
    </w:lvlOverride>
    <w:lvlOverride w:ilvl="2">
      <w:lvl w:ilvl="2">
        <w:start w:val="1"/>
        <w:numFmt w:val="decimal"/>
        <w:lvlText w:val="%1.%2.%3"/>
        <w:lvlJc w:val="left"/>
        <w:pPr>
          <w:ind w:left="680" w:hanging="680"/>
        </w:pPr>
        <w:rPr>
          <w:rFonts w:asciiTheme="majorHAnsi" w:hAnsiTheme="majorHAnsi" w:hint="default"/>
          <w:b/>
          <w:i w:val="0"/>
          <w:caps/>
          <w:color w:val="FFFFFF" w:themeColor="background2"/>
          <w:sz w:val="20"/>
        </w:rPr>
      </w:lvl>
    </w:lvlOverride>
    <w:lvlOverride w:ilvl="3">
      <w:lvl w:ilvl="3">
        <w:start w:val="1"/>
        <w:numFmt w:val="decimal"/>
        <w:lvlText w:val="%1.%2.%3.%4"/>
        <w:lvlJc w:val="left"/>
        <w:pPr>
          <w:ind w:left="680" w:hanging="680"/>
        </w:pPr>
        <w:rPr>
          <w:rFonts w:asciiTheme="minorHAnsi" w:hAnsiTheme="minorHAnsi" w:hint="default"/>
          <w:b/>
          <w:i w:val="0"/>
          <w:caps/>
          <w:color w:val="404040" w:themeColor="text2"/>
          <w:sz w:val="20"/>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31" w16cid:durableId="571548540">
    <w:abstractNumId w:val="27"/>
  </w:num>
  <w:num w:numId="32" w16cid:durableId="1912544260">
    <w:abstractNumId w:val="8"/>
    <w:lvlOverride w:ilvl="0">
      <w:lvl w:ilvl="0">
        <w:start w:val="1"/>
        <w:numFmt w:val="bullet"/>
        <w:pStyle w:val="TableBullet"/>
        <w:lvlText w:val=""/>
        <w:lvlJc w:val="left"/>
        <w:pPr>
          <w:ind w:left="360" w:hanging="360"/>
        </w:pPr>
        <w:rPr>
          <w:rFonts w:ascii="Symbol" w:hAnsi="Symbol" w:hint="default"/>
          <w:b/>
          <w:i w:val="0"/>
          <w:caps/>
          <w:color w:val="000000" w:themeColor="text1"/>
          <w:sz w:val="24"/>
          <w:szCs w:val="24"/>
        </w:rPr>
      </w:lvl>
    </w:lvlOverride>
    <w:lvlOverride w:ilvl="1">
      <w:lvl w:ilvl="1">
        <w:start w:val="1"/>
        <w:numFmt w:val="decimal"/>
        <w:lvlText w:val="%1.%2"/>
        <w:lvlJc w:val="left"/>
        <w:pPr>
          <w:ind w:left="680" w:hanging="680"/>
        </w:pPr>
        <w:rPr>
          <w:rFonts w:ascii="Univers" w:hAnsi="Univers" w:hint="default"/>
          <w:b/>
          <w:i w:val="0"/>
          <w:color w:val="404040" w:themeColor="text2"/>
          <w:sz w:val="20"/>
        </w:rPr>
      </w:lvl>
    </w:lvlOverride>
    <w:lvlOverride w:ilvl="2">
      <w:lvl w:ilvl="2">
        <w:start w:val="1"/>
        <w:numFmt w:val="decimal"/>
        <w:lvlText w:val="%1.%2.%3"/>
        <w:lvlJc w:val="left"/>
        <w:pPr>
          <w:ind w:left="680" w:hanging="680"/>
        </w:pPr>
        <w:rPr>
          <w:rFonts w:asciiTheme="majorHAnsi" w:hAnsiTheme="majorHAnsi" w:hint="default"/>
          <w:b/>
          <w:i w:val="0"/>
          <w:caps/>
          <w:color w:val="FFFFFF" w:themeColor="background2"/>
          <w:sz w:val="20"/>
        </w:rPr>
      </w:lvl>
    </w:lvlOverride>
    <w:lvlOverride w:ilvl="3">
      <w:lvl w:ilvl="3">
        <w:start w:val="1"/>
        <w:numFmt w:val="decimal"/>
        <w:lvlText w:val="%1.%2.%3.%4"/>
        <w:lvlJc w:val="left"/>
        <w:pPr>
          <w:ind w:left="680" w:hanging="680"/>
        </w:pPr>
        <w:rPr>
          <w:rFonts w:asciiTheme="minorHAnsi" w:hAnsiTheme="minorHAnsi" w:hint="default"/>
          <w:b/>
          <w:i w:val="0"/>
          <w:caps/>
          <w:color w:val="404040" w:themeColor="text2"/>
          <w:sz w:val="20"/>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33" w16cid:durableId="1359039561">
    <w:abstractNumId w:val="20"/>
  </w:num>
  <w:num w:numId="34" w16cid:durableId="1314721163">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Montserra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sp5tfro2pv06ewxd75wstwpw0d0serp95v&quot;&gt;My EndNote Library&lt;record-ids&gt;&lt;item&gt;1&lt;/item&gt;&lt;item&gt;2&lt;/item&gt;&lt;item&gt;3&lt;/item&gt;&lt;item&gt;4&lt;/item&gt;&lt;item&gt;5&lt;/item&gt;&lt;item&gt;6&lt;/item&gt;&lt;item&gt;7&lt;/item&gt;&lt;item&gt;8&lt;/item&gt;&lt;item&gt;9&lt;/item&gt;&lt;item&gt;10&lt;/item&gt;&lt;item&gt;12&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4&lt;/item&gt;&lt;item&gt;45&lt;/item&gt;&lt;item&gt;46&lt;/item&gt;&lt;item&gt;47&lt;/item&gt;&lt;item&gt;48&lt;/item&gt;&lt;item&gt;49&lt;/item&gt;&lt;item&gt;50&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9&lt;/item&gt;&lt;item&gt;90&lt;/item&gt;&lt;item&gt;91&lt;/item&gt;&lt;item&gt;92&lt;/item&gt;&lt;item&gt;93&lt;/item&gt;&lt;item&gt;94&lt;/item&gt;&lt;item&gt;95&lt;/item&gt;&lt;item&gt;96&lt;/item&gt;&lt;item&gt;97&lt;/item&gt;&lt;item&gt;98&lt;/item&gt;&lt;item&gt;99&lt;/item&gt;&lt;item&gt;100&lt;/item&gt;&lt;/record-ids&gt;&lt;/item&gt;&lt;/Libraries&gt;"/>
    <w:docVar w:name="EN.UseJSCitationFormat" w:val="False"/>
  </w:docVars>
  <w:rsids>
    <w:rsidRoot w:val="00D2338B"/>
    <w:rsid w:val="00000481"/>
    <w:rsid w:val="000008DF"/>
    <w:rsid w:val="00000C8B"/>
    <w:rsid w:val="00000E3C"/>
    <w:rsid w:val="00001378"/>
    <w:rsid w:val="00001DC3"/>
    <w:rsid w:val="00001F48"/>
    <w:rsid w:val="000026EB"/>
    <w:rsid w:val="00002747"/>
    <w:rsid w:val="0000286A"/>
    <w:rsid w:val="0000292E"/>
    <w:rsid w:val="0000298F"/>
    <w:rsid w:val="00002B40"/>
    <w:rsid w:val="00003496"/>
    <w:rsid w:val="00003630"/>
    <w:rsid w:val="00003966"/>
    <w:rsid w:val="00003A19"/>
    <w:rsid w:val="000044A0"/>
    <w:rsid w:val="00004706"/>
    <w:rsid w:val="00004C6D"/>
    <w:rsid w:val="00005224"/>
    <w:rsid w:val="0000635B"/>
    <w:rsid w:val="000068F7"/>
    <w:rsid w:val="00006C62"/>
    <w:rsid w:val="00007C2C"/>
    <w:rsid w:val="00007C5C"/>
    <w:rsid w:val="00007CE9"/>
    <w:rsid w:val="000103F3"/>
    <w:rsid w:val="00010522"/>
    <w:rsid w:val="00010584"/>
    <w:rsid w:val="00010C09"/>
    <w:rsid w:val="000110BF"/>
    <w:rsid w:val="000111D3"/>
    <w:rsid w:val="000112BF"/>
    <w:rsid w:val="0001166E"/>
    <w:rsid w:val="00011CC4"/>
    <w:rsid w:val="00011FD5"/>
    <w:rsid w:val="000120B1"/>
    <w:rsid w:val="00012CB2"/>
    <w:rsid w:val="00013278"/>
    <w:rsid w:val="000132E7"/>
    <w:rsid w:val="00013486"/>
    <w:rsid w:val="00013748"/>
    <w:rsid w:val="000137C9"/>
    <w:rsid w:val="0001383F"/>
    <w:rsid w:val="00013B8C"/>
    <w:rsid w:val="00013BDD"/>
    <w:rsid w:val="0001400C"/>
    <w:rsid w:val="00014885"/>
    <w:rsid w:val="00014B91"/>
    <w:rsid w:val="00014C05"/>
    <w:rsid w:val="0001574C"/>
    <w:rsid w:val="00015EE1"/>
    <w:rsid w:val="0001628D"/>
    <w:rsid w:val="00017019"/>
    <w:rsid w:val="00017921"/>
    <w:rsid w:val="000200F6"/>
    <w:rsid w:val="00020B30"/>
    <w:rsid w:val="00021B36"/>
    <w:rsid w:val="00021CD3"/>
    <w:rsid w:val="00021DF0"/>
    <w:rsid w:val="00021E52"/>
    <w:rsid w:val="000225DF"/>
    <w:rsid w:val="00022661"/>
    <w:rsid w:val="0002268E"/>
    <w:rsid w:val="00022B2F"/>
    <w:rsid w:val="000232FD"/>
    <w:rsid w:val="0002332A"/>
    <w:rsid w:val="0002357F"/>
    <w:rsid w:val="000237B1"/>
    <w:rsid w:val="00023853"/>
    <w:rsid w:val="00023A87"/>
    <w:rsid w:val="00023CC7"/>
    <w:rsid w:val="00024ABE"/>
    <w:rsid w:val="00024C46"/>
    <w:rsid w:val="00024F29"/>
    <w:rsid w:val="0002516D"/>
    <w:rsid w:val="00025A53"/>
    <w:rsid w:val="00025BC1"/>
    <w:rsid w:val="00025EE6"/>
    <w:rsid w:val="00026318"/>
    <w:rsid w:val="00026C1B"/>
    <w:rsid w:val="00026ED1"/>
    <w:rsid w:val="000270AE"/>
    <w:rsid w:val="00027179"/>
    <w:rsid w:val="00027199"/>
    <w:rsid w:val="00027288"/>
    <w:rsid w:val="000300A4"/>
    <w:rsid w:val="00030341"/>
    <w:rsid w:val="00030759"/>
    <w:rsid w:val="0003133E"/>
    <w:rsid w:val="000315E9"/>
    <w:rsid w:val="00031C21"/>
    <w:rsid w:val="00031F89"/>
    <w:rsid w:val="00032047"/>
    <w:rsid w:val="0003242E"/>
    <w:rsid w:val="00032CC0"/>
    <w:rsid w:val="00032DF9"/>
    <w:rsid w:val="000348ED"/>
    <w:rsid w:val="00034E1C"/>
    <w:rsid w:val="00034E58"/>
    <w:rsid w:val="00035388"/>
    <w:rsid w:val="00035815"/>
    <w:rsid w:val="00035CC0"/>
    <w:rsid w:val="000368B3"/>
    <w:rsid w:val="00036A2C"/>
    <w:rsid w:val="00036BF9"/>
    <w:rsid w:val="00036FD8"/>
    <w:rsid w:val="00037317"/>
    <w:rsid w:val="00037557"/>
    <w:rsid w:val="00037901"/>
    <w:rsid w:val="0003794E"/>
    <w:rsid w:val="00037AD4"/>
    <w:rsid w:val="0004015B"/>
    <w:rsid w:val="00040A81"/>
    <w:rsid w:val="00040F1E"/>
    <w:rsid w:val="0004170F"/>
    <w:rsid w:val="00041FB8"/>
    <w:rsid w:val="000423EF"/>
    <w:rsid w:val="0004353A"/>
    <w:rsid w:val="000435A2"/>
    <w:rsid w:val="000438C2"/>
    <w:rsid w:val="00043AB2"/>
    <w:rsid w:val="00043FDD"/>
    <w:rsid w:val="00044532"/>
    <w:rsid w:val="000447A8"/>
    <w:rsid w:val="00044B6B"/>
    <w:rsid w:val="00044F1F"/>
    <w:rsid w:val="000459D5"/>
    <w:rsid w:val="00045B29"/>
    <w:rsid w:val="00045E20"/>
    <w:rsid w:val="00045EF7"/>
    <w:rsid w:val="000460BA"/>
    <w:rsid w:val="0004763E"/>
    <w:rsid w:val="00050365"/>
    <w:rsid w:val="000506A6"/>
    <w:rsid w:val="00050883"/>
    <w:rsid w:val="00050B02"/>
    <w:rsid w:val="00050EE0"/>
    <w:rsid w:val="00051225"/>
    <w:rsid w:val="00051680"/>
    <w:rsid w:val="000518E0"/>
    <w:rsid w:val="00051FDA"/>
    <w:rsid w:val="00052472"/>
    <w:rsid w:val="00052A06"/>
    <w:rsid w:val="000536E8"/>
    <w:rsid w:val="0005392E"/>
    <w:rsid w:val="00053BA4"/>
    <w:rsid w:val="00054227"/>
    <w:rsid w:val="0005463E"/>
    <w:rsid w:val="00054CDA"/>
    <w:rsid w:val="000551ED"/>
    <w:rsid w:val="00055774"/>
    <w:rsid w:val="00055B04"/>
    <w:rsid w:val="00055BED"/>
    <w:rsid w:val="00055D51"/>
    <w:rsid w:val="00055FC0"/>
    <w:rsid w:val="00056539"/>
    <w:rsid w:val="00057197"/>
    <w:rsid w:val="00057494"/>
    <w:rsid w:val="0005753B"/>
    <w:rsid w:val="00057849"/>
    <w:rsid w:val="00057AF8"/>
    <w:rsid w:val="00057FCB"/>
    <w:rsid w:val="00060CE9"/>
    <w:rsid w:val="00060E62"/>
    <w:rsid w:val="000615D4"/>
    <w:rsid w:val="000616DC"/>
    <w:rsid w:val="00061732"/>
    <w:rsid w:val="000617BC"/>
    <w:rsid w:val="000621E7"/>
    <w:rsid w:val="000623A7"/>
    <w:rsid w:val="00062715"/>
    <w:rsid w:val="00062AD7"/>
    <w:rsid w:val="00063C7F"/>
    <w:rsid w:val="00063DAC"/>
    <w:rsid w:val="0006404F"/>
    <w:rsid w:val="00064320"/>
    <w:rsid w:val="000647CE"/>
    <w:rsid w:val="00065C3F"/>
    <w:rsid w:val="0006627A"/>
    <w:rsid w:val="000662EB"/>
    <w:rsid w:val="00066582"/>
    <w:rsid w:val="000670BC"/>
    <w:rsid w:val="000671E2"/>
    <w:rsid w:val="00067215"/>
    <w:rsid w:val="0006754D"/>
    <w:rsid w:val="00067DDD"/>
    <w:rsid w:val="0007017B"/>
    <w:rsid w:val="00070234"/>
    <w:rsid w:val="00070883"/>
    <w:rsid w:val="00070CA6"/>
    <w:rsid w:val="00070FD4"/>
    <w:rsid w:val="00071831"/>
    <w:rsid w:val="00071FB7"/>
    <w:rsid w:val="00072A5D"/>
    <w:rsid w:val="00072B8D"/>
    <w:rsid w:val="00072BFA"/>
    <w:rsid w:val="000731F0"/>
    <w:rsid w:val="00073D4F"/>
    <w:rsid w:val="00073F19"/>
    <w:rsid w:val="00074CBA"/>
    <w:rsid w:val="00074E67"/>
    <w:rsid w:val="00075852"/>
    <w:rsid w:val="00075D39"/>
    <w:rsid w:val="00076195"/>
    <w:rsid w:val="00076BCB"/>
    <w:rsid w:val="00076F5E"/>
    <w:rsid w:val="000771AF"/>
    <w:rsid w:val="00077C9A"/>
    <w:rsid w:val="00077D71"/>
    <w:rsid w:val="00077DC8"/>
    <w:rsid w:val="00080431"/>
    <w:rsid w:val="00080461"/>
    <w:rsid w:val="00081903"/>
    <w:rsid w:val="000823BA"/>
    <w:rsid w:val="0008245F"/>
    <w:rsid w:val="000824B3"/>
    <w:rsid w:val="00082BE5"/>
    <w:rsid w:val="00082C6A"/>
    <w:rsid w:val="00082DA8"/>
    <w:rsid w:val="00083151"/>
    <w:rsid w:val="00083246"/>
    <w:rsid w:val="000835CD"/>
    <w:rsid w:val="000838E4"/>
    <w:rsid w:val="00083CB4"/>
    <w:rsid w:val="00083E10"/>
    <w:rsid w:val="00084516"/>
    <w:rsid w:val="000848D3"/>
    <w:rsid w:val="00084B19"/>
    <w:rsid w:val="00084C65"/>
    <w:rsid w:val="00084E2D"/>
    <w:rsid w:val="00085AA3"/>
    <w:rsid w:val="00085BB7"/>
    <w:rsid w:val="00085C03"/>
    <w:rsid w:val="00085EBB"/>
    <w:rsid w:val="0008617C"/>
    <w:rsid w:val="00086269"/>
    <w:rsid w:val="000863A1"/>
    <w:rsid w:val="00086D06"/>
    <w:rsid w:val="00087263"/>
    <w:rsid w:val="000879E9"/>
    <w:rsid w:val="00087FBE"/>
    <w:rsid w:val="00090208"/>
    <w:rsid w:val="0009031D"/>
    <w:rsid w:val="00090A1F"/>
    <w:rsid w:val="0009116E"/>
    <w:rsid w:val="0009118F"/>
    <w:rsid w:val="00091351"/>
    <w:rsid w:val="000913A3"/>
    <w:rsid w:val="000915D5"/>
    <w:rsid w:val="00091BA5"/>
    <w:rsid w:val="00091E30"/>
    <w:rsid w:val="00091FC0"/>
    <w:rsid w:val="00092B9E"/>
    <w:rsid w:val="00092CA3"/>
    <w:rsid w:val="00092FF8"/>
    <w:rsid w:val="00094036"/>
    <w:rsid w:val="0009445B"/>
    <w:rsid w:val="0009466C"/>
    <w:rsid w:val="00094784"/>
    <w:rsid w:val="000948A2"/>
    <w:rsid w:val="00094AA4"/>
    <w:rsid w:val="000952E8"/>
    <w:rsid w:val="000954E5"/>
    <w:rsid w:val="000955D1"/>
    <w:rsid w:val="00095DD1"/>
    <w:rsid w:val="000965E3"/>
    <w:rsid w:val="00096A26"/>
    <w:rsid w:val="00096E89"/>
    <w:rsid w:val="00096F60"/>
    <w:rsid w:val="000971DF"/>
    <w:rsid w:val="000975C1"/>
    <w:rsid w:val="000977AC"/>
    <w:rsid w:val="00097887"/>
    <w:rsid w:val="00097EDC"/>
    <w:rsid w:val="000A0203"/>
    <w:rsid w:val="000A096F"/>
    <w:rsid w:val="000A0C20"/>
    <w:rsid w:val="000A0F27"/>
    <w:rsid w:val="000A183B"/>
    <w:rsid w:val="000A1916"/>
    <w:rsid w:val="000A223F"/>
    <w:rsid w:val="000A33C0"/>
    <w:rsid w:val="000A37FB"/>
    <w:rsid w:val="000A3AF3"/>
    <w:rsid w:val="000A3BA8"/>
    <w:rsid w:val="000A431C"/>
    <w:rsid w:val="000A4652"/>
    <w:rsid w:val="000A4F82"/>
    <w:rsid w:val="000A5889"/>
    <w:rsid w:val="000A5AF4"/>
    <w:rsid w:val="000A608A"/>
    <w:rsid w:val="000A60B4"/>
    <w:rsid w:val="000A67EF"/>
    <w:rsid w:val="000A6B59"/>
    <w:rsid w:val="000A6C1C"/>
    <w:rsid w:val="000A712C"/>
    <w:rsid w:val="000A72A8"/>
    <w:rsid w:val="000A76D9"/>
    <w:rsid w:val="000B0304"/>
    <w:rsid w:val="000B0442"/>
    <w:rsid w:val="000B07DA"/>
    <w:rsid w:val="000B0849"/>
    <w:rsid w:val="000B0F6E"/>
    <w:rsid w:val="000B103B"/>
    <w:rsid w:val="000B16BE"/>
    <w:rsid w:val="000B19DA"/>
    <w:rsid w:val="000B1A5B"/>
    <w:rsid w:val="000B1DA3"/>
    <w:rsid w:val="000B1E4C"/>
    <w:rsid w:val="000B270B"/>
    <w:rsid w:val="000B280F"/>
    <w:rsid w:val="000B2F6C"/>
    <w:rsid w:val="000B3071"/>
    <w:rsid w:val="000B3875"/>
    <w:rsid w:val="000B387E"/>
    <w:rsid w:val="000B4598"/>
    <w:rsid w:val="000B462E"/>
    <w:rsid w:val="000B47C7"/>
    <w:rsid w:val="000B65C2"/>
    <w:rsid w:val="000B6CB9"/>
    <w:rsid w:val="000B6F0C"/>
    <w:rsid w:val="000B6F92"/>
    <w:rsid w:val="000B7385"/>
    <w:rsid w:val="000B763C"/>
    <w:rsid w:val="000B7A79"/>
    <w:rsid w:val="000B7CD3"/>
    <w:rsid w:val="000C022A"/>
    <w:rsid w:val="000C0681"/>
    <w:rsid w:val="000C0EB9"/>
    <w:rsid w:val="000C10BA"/>
    <w:rsid w:val="000C14A1"/>
    <w:rsid w:val="000C1CCC"/>
    <w:rsid w:val="000C203A"/>
    <w:rsid w:val="000C2B4F"/>
    <w:rsid w:val="000C2D5B"/>
    <w:rsid w:val="000C2ED1"/>
    <w:rsid w:val="000C2FFB"/>
    <w:rsid w:val="000C3E0C"/>
    <w:rsid w:val="000C45FA"/>
    <w:rsid w:val="000C470C"/>
    <w:rsid w:val="000C4865"/>
    <w:rsid w:val="000C48EA"/>
    <w:rsid w:val="000C4DF8"/>
    <w:rsid w:val="000C5092"/>
    <w:rsid w:val="000C532C"/>
    <w:rsid w:val="000C55F9"/>
    <w:rsid w:val="000C587D"/>
    <w:rsid w:val="000C61E5"/>
    <w:rsid w:val="000C6A36"/>
    <w:rsid w:val="000C6A43"/>
    <w:rsid w:val="000C7493"/>
    <w:rsid w:val="000C7BD4"/>
    <w:rsid w:val="000C7F6E"/>
    <w:rsid w:val="000C7FB2"/>
    <w:rsid w:val="000D0297"/>
    <w:rsid w:val="000D06C4"/>
    <w:rsid w:val="000D0A5C"/>
    <w:rsid w:val="000D0E95"/>
    <w:rsid w:val="000D13B6"/>
    <w:rsid w:val="000D1478"/>
    <w:rsid w:val="000D1551"/>
    <w:rsid w:val="000D1585"/>
    <w:rsid w:val="000D1A8D"/>
    <w:rsid w:val="000D2CC8"/>
    <w:rsid w:val="000D2F52"/>
    <w:rsid w:val="000D3534"/>
    <w:rsid w:val="000D3817"/>
    <w:rsid w:val="000D3971"/>
    <w:rsid w:val="000D3E81"/>
    <w:rsid w:val="000D3F86"/>
    <w:rsid w:val="000D45DE"/>
    <w:rsid w:val="000D462C"/>
    <w:rsid w:val="000D4855"/>
    <w:rsid w:val="000D48EA"/>
    <w:rsid w:val="000D4C21"/>
    <w:rsid w:val="000D5892"/>
    <w:rsid w:val="000D5A1B"/>
    <w:rsid w:val="000D616E"/>
    <w:rsid w:val="000D628A"/>
    <w:rsid w:val="000D6544"/>
    <w:rsid w:val="000D6566"/>
    <w:rsid w:val="000D7808"/>
    <w:rsid w:val="000D7EB1"/>
    <w:rsid w:val="000DB1A5"/>
    <w:rsid w:val="000E04A5"/>
    <w:rsid w:val="000E086F"/>
    <w:rsid w:val="000E08F9"/>
    <w:rsid w:val="000E0936"/>
    <w:rsid w:val="000E15A8"/>
    <w:rsid w:val="000E1935"/>
    <w:rsid w:val="000E1D1F"/>
    <w:rsid w:val="000E1D83"/>
    <w:rsid w:val="000E1F35"/>
    <w:rsid w:val="000E1FFA"/>
    <w:rsid w:val="000E2BEA"/>
    <w:rsid w:val="000E2DA0"/>
    <w:rsid w:val="000E32DF"/>
    <w:rsid w:val="000E3789"/>
    <w:rsid w:val="000E3ED7"/>
    <w:rsid w:val="000E415A"/>
    <w:rsid w:val="000E42FD"/>
    <w:rsid w:val="000E4880"/>
    <w:rsid w:val="000E4B22"/>
    <w:rsid w:val="000E5104"/>
    <w:rsid w:val="000E5221"/>
    <w:rsid w:val="000E5230"/>
    <w:rsid w:val="000E5502"/>
    <w:rsid w:val="000E59D0"/>
    <w:rsid w:val="000E5EB3"/>
    <w:rsid w:val="000E696A"/>
    <w:rsid w:val="000E706A"/>
    <w:rsid w:val="000E709A"/>
    <w:rsid w:val="000F00D9"/>
    <w:rsid w:val="000F00F9"/>
    <w:rsid w:val="000F05D7"/>
    <w:rsid w:val="000F08C3"/>
    <w:rsid w:val="000F0FAA"/>
    <w:rsid w:val="000F1CC6"/>
    <w:rsid w:val="000F1E49"/>
    <w:rsid w:val="000F1E85"/>
    <w:rsid w:val="000F2402"/>
    <w:rsid w:val="000F258F"/>
    <w:rsid w:val="000F28B4"/>
    <w:rsid w:val="000F2DE2"/>
    <w:rsid w:val="000F3149"/>
    <w:rsid w:val="000F34E0"/>
    <w:rsid w:val="000F35C4"/>
    <w:rsid w:val="000F35FF"/>
    <w:rsid w:val="000F37E3"/>
    <w:rsid w:val="000F3D62"/>
    <w:rsid w:val="000F44AE"/>
    <w:rsid w:val="000F493C"/>
    <w:rsid w:val="000F4CE3"/>
    <w:rsid w:val="000F4F58"/>
    <w:rsid w:val="000F50D0"/>
    <w:rsid w:val="000F553D"/>
    <w:rsid w:val="000F5C76"/>
    <w:rsid w:val="000F6466"/>
    <w:rsid w:val="000F64B7"/>
    <w:rsid w:val="000F6605"/>
    <w:rsid w:val="000F671A"/>
    <w:rsid w:val="000F683F"/>
    <w:rsid w:val="000F778A"/>
    <w:rsid w:val="000F7D3C"/>
    <w:rsid w:val="001002F6"/>
    <w:rsid w:val="00100454"/>
    <w:rsid w:val="001005AC"/>
    <w:rsid w:val="00100982"/>
    <w:rsid w:val="00100B48"/>
    <w:rsid w:val="001010A0"/>
    <w:rsid w:val="001012B8"/>
    <w:rsid w:val="00101576"/>
    <w:rsid w:val="00101860"/>
    <w:rsid w:val="001018FD"/>
    <w:rsid w:val="001019A1"/>
    <w:rsid w:val="00101AD6"/>
    <w:rsid w:val="001020BD"/>
    <w:rsid w:val="0010280A"/>
    <w:rsid w:val="00102ABA"/>
    <w:rsid w:val="00102F08"/>
    <w:rsid w:val="00102FD7"/>
    <w:rsid w:val="00103692"/>
    <w:rsid w:val="00103EFF"/>
    <w:rsid w:val="001041BB"/>
    <w:rsid w:val="00104A0C"/>
    <w:rsid w:val="00104BF3"/>
    <w:rsid w:val="00104D23"/>
    <w:rsid w:val="00104E11"/>
    <w:rsid w:val="00104FA9"/>
    <w:rsid w:val="0010534A"/>
    <w:rsid w:val="00105555"/>
    <w:rsid w:val="00105922"/>
    <w:rsid w:val="00105CF5"/>
    <w:rsid w:val="00106480"/>
    <w:rsid w:val="00106D42"/>
    <w:rsid w:val="00106DFC"/>
    <w:rsid w:val="001074FE"/>
    <w:rsid w:val="00107541"/>
    <w:rsid w:val="00107797"/>
    <w:rsid w:val="001077B2"/>
    <w:rsid w:val="00107912"/>
    <w:rsid w:val="0010791B"/>
    <w:rsid w:val="001100D1"/>
    <w:rsid w:val="0011040E"/>
    <w:rsid w:val="00110531"/>
    <w:rsid w:val="00110802"/>
    <w:rsid w:val="00111840"/>
    <w:rsid w:val="00112C43"/>
    <w:rsid w:val="00112E84"/>
    <w:rsid w:val="001130B5"/>
    <w:rsid w:val="00113597"/>
    <w:rsid w:val="0011398D"/>
    <w:rsid w:val="001139FB"/>
    <w:rsid w:val="00113DAB"/>
    <w:rsid w:val="001140D6"/>
    <w:rsid w:val="00114172"/>
    <w:rsid w:val="001141A4"/>
    <w:rsid w:val="001141AE"/>
    <w:rsid w:val="00114390"/>
    <w:rsid w:val="00114537"/>
    <w:rsid w:val="00114F93"/>
    <w:rsid w:val="00115128"/>
    <w:rsid w:val="00115604"/>
    <w:rsid w:val="0011572D"/>
    <w:rsid w:val="00116250"/>
    <w:rsid w:val="00116BC8"/>
    <w:rsid w:val="00116EEC"/>
    <w:rsid w:val="0011711C"/>
    <w:rsid w:val="00117241"/>
    <w:rsid w:val="00117A76"/>
    <w:rsid w:val="00117C6F"/>
    <w:rsid w:val="00117F14"/>
    <w:rsid w:val="00117FA7"/>
    <w:rsid w:val="001206BD"/>
    <w:rsid w:val="001211E2"/>
    <w:rsid w:val="00121306"/>
    <w:rsid w:val="0012157C"/>
    <w:rsid w:val="00121694"/>
    <w:rsid w:val="00121AE4"/>
    <w:rsid w:val="00122233"/>
    <w:rsid w:val="001222B1"/>
    <w:rsid w:val="0012258F"/>
    <w:rsid w:val="00122B37"/>
    <w:rsid w:val="00123368"/>
    <w:rsid w:val="00124714"/>
    <w:rsid w:val="00124B3E"/>
    <w:rsid w:val="001254E4"/>
    <w:rsid w:val="00125761"/>
    <w:rsid w:val="00126086"/>
    <w:rsid w:val="001270C1"/>
    <w:rsid w:val="00127338"/>
    <w:rsid w:val="00127BAE"/>
    <w:rsid w:val="00127FC9"/>
    <w:rsid w:val="001302A7"/>
    <w:rsid w:val="001304CA"/>
    <w:rsid w:val="00130842"/>
    <w:rsid w:val="00130AEB"/>
    <w:rsid w:val="00130CFC"/>
    <w:rsid w:val="0013103A"/>
    <w:rsid w:val="001312D1"/>
    <w:rsid w:val="001312D6"/>
    <w:rsid w:val="001314C5"/>
    <w:rsid w:val="00131670"/>
    <w:rsid w:val="001316DA"/>
    <w:rsid w:val="00132BB7"/>
    <w:rsid w:val="001333C0"/>
    <w:rsid w:val="00133493"/>
    <w:rsid w:val="00133511"/>
    <w:rsid w:val="00134576"/>
    <w:rsid w:val="001346A6"/>
    <w:rsid w:val="00134839"/>
    <w:rsid w:val="00134D67"/>
    <w:rsid w:val="00134FBB"/>
    <w:rsid w:val="00134FC2"/>
    <w:rsid w:val="001359CD"/>
    <w:rsid w:val="00135D1B"/>
    <w:rsid w:val="0013671F"/>
    <w:rsid w:val="00136A27"/>
    <w:rsid w:val="00136A2D"/>
    <w:rsid w:val="00136A74"/>
    <w:rsid w:val="00136E4E"/>
    <w:rsid w:val="001370B0"/>
    <w:rsid w:val="00140826"/>
    <w:rsid w:val="00140E4B"/>
    <w:rsid w:val="0014132D"/>
    <w:rsid w:val="00141666"/>
    <w:rsid w:val="00141D43"/>
    <w:rsid w:val="00141EAF"/>
    <w:rsid w:val="00142059"/>
    <w:rsid w:val="00142453"/>
    <w:rsid w:val="0014276D"/>
    <w:rsid w:val="001427DB"/>
    <w:rsid w:val="00142E91"/>
    <w:rsid w:val="00143435"/>
    <w:rsid w:val="00143C3B"/>
    <w:rsid w:val="00144389"/>
    <w:rsid w:val="00144F88"/>
    <w:rsid w:val="001454BE"/>
    <w:rsid w:val="00145619"/>
    <w:rsid w:val="00145ACA"/>
    <w:rsid w:val="00145D8E"/>
    <w:rsid w:val="001470BD"/>
    <w:rsid w:val="00147D09"/>
    <w:rsid w:val="00147F2F"/>
    <w:rsid w:val="00150045"/>
    <w:rsid w:val="001511D3"/>
    <w:rsid w:val="00151CD2"/>
    <w:rsid w:val="00151CD9"/>
    <w:rsid w:val="00151F09"/>
    <w:rsid w:val="00152113"/>
    <w:rsid w:val="00152E83"/>
    <w:rsid w:val="001531FF"/>
    <w:rsid w:val="0015322A"/>
    <w:rsid w:val="001533A2"/>
    <w:rsid w:val="00154484"/>
    <w:rsid w:val="00154633"/>
    <w:rsid w:val="00154951"/>
    <w:rsid w:val="0015527A"/>
    <w:rsid w:val="00155AB5"/>
    <w:rsid w:val="00155BEC"/>
    <w:rsid w:val="00155F99"/>
    <w:rsid w:val="0015625F"/>
    <w:rsid w:val="00156F49"/>
    <w:rsid w:val="001571FC"/>
    <w:rsid w:val="0015745D"/>
    <w:rsid w:val="00157B77"/>
    <w:rsid w:val="00157E37"/>
    <w:rsid w:val="0016005D"/>
    <w:rsid w:val="0016030C"/>
    <w:rsid w:val="00160491"/>
    <w:rsid w:val="001619C0"/>
    <w:rsid w:val="00161A18"/>
    <w:rsid w:val="00161AC6"/>
    <w:rsid w:val="00161D57"/>
    <w:rsid w:val="00161F26"/>
    <w:rsid w:val="0016205B"/>
    <w:rsid w:val="00162154"/>
    <w:rsid w:val="001621FF"/>
    <w:rsid w:val="00162275"/>
    <w:rsid w:val="00162425"/>
    <w:rsid w:val="00162777"/>
    <w:rsid w:val="00162F24"/>
    <w:rsid w:val="00162F8D"/>
    <w:rsid w:val="00163CB0"/>
    <w:rsid w:val="00163D07"/>
    <w:rsid w:val="001640A1"/>
    <w:rsid w:val="001649BC"/>
    <w:rsid w:val="00164BF1"/>
    <w:rsid w:val="001650B1"/>
    <w:rsid w:val="0016517B"/>
    <w:rsid w:val="001651B3"/>
    <w:rsid w:val="001652D7"/>
    <w:rsid w:val="001656B2"/>
    <w:rsid w:val="0016584F"/>
    <w:rsid w:val="00165BC4"/>
    <w:rsid w:val="001663A8"/>
    <w:rsid w:val="001668DB"/>
    <w:rsid w:val="001669DC"/>
    <w:rsid w:val="00167321"/>
    <w:rsid w:val="00167597"/>
    <w:rsid w:val="001679C5"/>
    <w:rsid w:val="00167A4B"/>
    <w:rsid w:val="001704A4"/>
    <w:rsid w:val="00170690"/>
    <w:rsid w:val="00170752"/>
    <w:rsid w:val="001708F4"/>
    <w:rsid w:val="00170DAF"/>
    <w:rsid w:val="001715A5"/>
    <w:rsid w:val="0017184D"/>
    <w:rsid w:val="00171F12"/>
    <w:rsid w:val="001724BC"/>
    <w:rsid w:val="00173079"/>
    <w:rsid w:val="00173367"/>
    <w:rsid w:val="0017337C"/>
    <w:rsid w:val="0017358E"/>
    <w:rsid w:val="001736F6"/>
    <w:rsid w:val="001737F5"/>
    <w:rsid w:val="00173AC6"/>
    <w:rsid w:val="0017414C"/>
    <w:rsid w:val="00174D41"/>
    <w:rsid w:val="00174D67"/>
    <w:rsid w:val="00174DD0"/>
    <w:rsid w:val="00174F5A"/>
    <w:rsid w:val="0017526C"/>
    <w:rsid w:val="00175465"/>
    <w:rsid w:val="00175679"/>
    <w:rsid w:val="00175E64"/>
    <w:rsid w:val="001760FC"/>
    <w:rsid w:val="00176786"/>
    <w:rsid w:val="00176AD4"/>
    <w:rsid w:val="00176FD4"/>
    <w:rsid w:val="0017710E"/>
    <w:rsid w:val="0017731E"/>
    <w:rsid w:val="00177731"/>
    <w:rsid w:val="0018043F"/>
    <w:rsid w:val="0018072E"/>
    <w:rsid w:val="001807CA"/>
    <w:rsid w:val="00181145"/>
    <w:rsid w:val="001814EE"/>
    <w:rsid w:val="00181E2A"/>
    <w:rsid w:val="001821AA"/>
    <w:rsid w:val="001823CD"/>
    <w:rsid w:val="00182B37"/>
    <w:rsid w:val="00182B39"/>
    <w:rsid w:val="00182D1F"/>
    <w:rsid w:val="001836F6"/>
    <w:rsid w:val="00184200"/>
    <w:rsid w:val="0018485F"/>
    <w:rsid w:val="00184B82"/>
    <w:rsid w:val="00185409"/>
    <w:rsid w:val="00185B71"/>
    <w:rsid w:val="00185CC8"/>
    <w:rsid w:val="00186375"/>
    <w:rsid w:val="001865CD"/>
    <w:rsid w:val="00186849"/>
    <w:rsid w:val="00186AFB"/>
    <w:rsid w:val="00186E2D"/>
    <w:rsid w:val="001876EC"/>
    <w:rsid w:val="001878F5"/>
    <w:rsid w:val="00187C29"/>
    <w:rsid w:val="00187D08"/>
    <w:rsid w:val="00187E52"/>
    <w:rsid w:val="00190311"/>
    <w:rsid w:val="00190510"/>
    <w:rsid w:val="00190764"/>
    <w:rsid w:val="00190911"/>
    <w:rsid w:val="00190A11"/>
    <w:rsid w:val="00192518"/>
    <w:rsid w:val="001928E7"/>
    <w:rsid w:val="00192F87"/>
    <w:rsid w:val="001931FD"/>
    <w:rsid w:val="00193582"/>
    <w:rsid w:val="001935FF"/>
    <w:rsid w:val="00193A30"/>
    <w:rsid w:val="00193CB7"/>
    <w:rsid w:val="00193EF9"/>
    <w:rsid w:val="00194F44"/>
    <w:rsid w:val="0019556D"/>
    <w:rsid w:val="0019584F"/>
    <w:rsid w:val="00195C39"/>
    <w:rsid w:val="00196294"/>
    <w:rsid w:val="00196A66"/>
    <w:rsid w:val="00196B82"/>
    <w:rsid w:val="00196C1A"/>
    <w:rsid w:val="00196C26"/>
    <w:rsid w:val="00197639"/>
    <w:rsid w:val="00197E04"/>
    <w:rsid w:val="001A03A7"/>
    <w:rsid w:val="001A04DD"/>
    <w:rsid w:val="001A0737"/>
    <w:rsid w:val="001A0B23"/>
    <w:rsid w:val="001A11D1"/>
    <w:rsid w:val="001A1323"/>
    <w:rsid w:val="001A14D8"/>
    <w:rsid w:val="001A1637"/>
    <w:rsid w:val="001A1A15"/>
    <w:rsid w:val="001A2B2A"/>
    <w:rsid w:val="001A2BAB"/>
    <w:rsid w:val="001A30E8"/>
    <w:rsid w:val="001A3362"/>
    <w:rsid w:val="001A33B7"/>
    <w:rsid w:val="001A3B1F"/>
    <w:rsid w:val="001A45DE"/>
    <w:rsid w:val="001A5A98"/>
    <w:rsid w:val="001A5D4D"/>
    <w:rsid w:val="001A5D9C"/>
    <w:rsid w:val="001A5E68"/>
    <w:rsid w:val="001A60DB"/>
    <w:rsid w:val="001A639A"/>
    <w:rsid w:val="001A69A2"/>
    <w:rsid w:val="001A6E74"/>
    <w:rsid w:val="001A6F4A"/>
    <w:rsid w:val="001A7274"/>
    <w:rsid w:val="001A7694"/>
    <w:rsid w:val="001A76AA"/>
    <w:rsid w:val="001A76D0"/>
    <w:rsid w:val="001A7984"/>
    <w:rsid w:val="001ABA4A"/>
    <w:rsid w:val="001B0779"/>
    <w:rsid w:val="001B0FDC"/>
    <w:rsid w:val="001B13C2"/>
    <w:rsid w:val="001B191B"/>
    <w:rsid w:val="001B1F26"/>
    <w:rsid w:val="001B2C5F"/>
    <w:rsid w:val="001B2DE3"/>
    <w:rsid w:val="001B310A"/>
    <w:rsid w:val="001B3451"/>
    <w:rsid w:val="001B38D8"/>
    <w:rsid w:val="001B3C60"/>
    <w:rsid w:val="001B424C"/>
    <w:rsid w:val="001B43FA"/>
    <w:rsid w:val="001B4559"/>
    <w:rsid w:val="001B457A"/>
    <w:rsid w:val="001B499E"/>
    <w:rsid w:val="001B4ACE"/>
    <w:rsid w:val="001B512D"/>
    <w:rsid w:val="001B526F"/>
    <w:rsid w:val="001B52A0"/>
    <w:rsid w:val="001B5B60"/>
    <w:rsid w:val="001B5F65"/>
    <w:rsid w:val="001B6074"/>
    <w:rsid w:val="001B665B"/>
    <w:rsid w:val="001B68D2"/>
    <w:rsid w:val="001B6BA6"/>
    <w:rsid w:val="001B6CCB"/>
    <w:rsid w:val="001B747C"/>
    <w:rsid w:val="001B7B5E"/>
    <w:rsid w:val="001B7C6D"/>
    <w:rsid w:val="001B7CDA"/>
    <w:rsid w:val="001B7E2B"/>
    <w:rsid w:val="001C030F"/>
    <w:rsid w:val="001C046A"/>
    <w:rsid w:val="001C0AE1"/>
    <w:rsid w:val="001C0C6B"/>
    <w:rsid w:val="001C1388"/>
    <w:rsid w:val="001C19E5"/>
    <w:rsid w:val="001C1E69"/>
    <w:rsid w:val="001C3075"/>
    <w:rsid w:val="001C32B4"/>
    <w:rsid w:val="001C35E9"/>
    <w:rsid w:val="001C40A3"/>
    <w:rsid w:val="001C4CE0"/>
    <w:rsid w:val="001C4F5A"/>
    <w:rsid w:val="001C511E"/>
    <w:rsid w:val="001C51AC"/>
    <w:rsid w:val="001C6119"/>
    <w:rsid w:val="001C6134"/>
    <w:rsid w:val="001C6199"/>
    <w:rsid w:val="001C6954"/>
    <w:rsid w:val="001C6D2A"/>
    <w:rsid w:val="001C7209"/>
    <w:rsid w:val="001D0B96"/>
    <w:rsid w:val="001D0E78"/>
    <w:rsid w:val="001D106A"/>
    <w:rsid w:val="001D11F8"/>
    <w:rsid w:val="001D195B"/>
    <w:rsid w:val="001D1EF1"/>
    <w:rsid w:val="001D293C"/>
    <w:rsid w:val="001D2ED1"/>
    <w:rsid w:val="001D2F13"/>
    <w:rsid w:val="001D3CBE"/>
    <w:rsid w:val="001D4209"/>
    <w:rsid w:val="001D4BF4"/>
    <w:rsid w:val="001D4F68"/>
    <w:rsid w:val="001D4FDE"/>
    <w:rsid w:val="001D503D"/>
    <w:rsid w:val="001D5D8E"/>
    <w:rsid w:val="001D6327"/>
    <w:rsid w:val="001D66C4"/>
    <w:rsid w:val="001D68E8"/>
    <w:rsid w:val="001D7219"/>
    <w:rsid w:val="001D741B"/>
    <w:rsid w:val="001D7549"/>
    <w:rsid w:val="001D7C91"/>
    <w:rsid w:val="001E0198"/>
    <w:rsid w:val="001E0565"/>
    <w:rsid w:val="001E08F3"/>
    <w:rsid w:val="001E0B50"/>
    <w:rsid w:val="001E0E78"/>
    <w:rsid w:val="001E11C3"/>
    <w:rsid w:val="001E1209"/>
    <w:rsid w:val="001E1404"/>
    <w:rsid w:val="001E15F5"/>
    <w:rsid w:val="001E197C"/>
    <w:rsid w:val="001E2121"/>
    <w:rsid w:val="001E216B"/>
    <w:rsid w:val="001E2A98"/>
    <w:rsid w:val="001E2C70"/>
    <w:rsid w:val="001E3099"/>
    <w:rsid w:val="001E3732"/>
    <w:rsid w:val="001E37F4"/>
    <w:rsid w:val="001E3B0D"/>
    <w:rsid w:val="001E3DB5"/>
    <w:rsid w:val="001E468B"/>
    <w:rsid w:val="001E5826"/>
    <w:rsid w:val="001E5C27"/>
    <w:rsid w:val="001E5FC4"/>
    <w:rsid w:val="001E611A"/>
    <w:rsid w:val="001E623D"/>
    <w:rsid w:val="001E67D8"/>
    <w:rsid w:val="001E6AAF"/>
    <w:rsid w:val="001E6C27"/>
    <w:rsid w:val="001E713C"/>
    <w:rsid w:val="001E756F"/>
    <w:rsid w:val="001E79E0"/>
    <w:rsid w:val="001E7E7B"/>
    <w:rsid w:val="001F01AA"/>
    <w:rsid w:val="001F0711"/>
    <w:rsid w:val="001F0823"/>
    <w:rsid w:val="001F1007"/>
    <w:rsid w:val="001F1B5D"/>
    <w:rsid w:val="001F1F94"/>
    <w:rsid w:val="001F231B"/>
    <w:rsid w:val="001F2ADD"/>
    <w:rsid w:val="001F30D0"/>
    <w:rsid w:val="001F3693"/>
    <w:rsid w:val="001F3913"/>
    <w:rsid w:val="001F3A5C"/>
    <w:rsid w:val="001F3EBB"/>
    <w:rsid w:val="001F4089"/>
    <w:rsid w:val="001F4346"/>
    <w:rsid w:val="001F435C"/>
    <w:rsid w:val="001F4AD5"/>
    <w:rsid w:val="001F4C7F"/>
    <w:rsid w:val="001F4E34"/>
    <w:rsid w:val="001F5F9F"/>
    <w:rsid w:val="001F60F4"/>
    <w:rsid w:val="001F6563"/>
    <w:rsid w:val="001F6783"/>
    <w:rsid w:val="001F69EC"/>
    <w:rsid w:val="001F6C35"/>
    <w:rsid w:val="001F7161"/>
    <w:rsid w:val="00200D5C"/>
    <w:rsid w:val="0020292B"/>
    <w:rsid w:val="00202B37"/>
    <w:rsid w:val="002033DF"/>
    <w:rsid w:val="00203907"/>
    <w:rsid w:val="002039DC"/>
    <w:rsid w:val="002042DA"/>
    <w:rsid w:val="0020452C"/>
    <w:rsid w:val="002045CD"/>
    <w:rsid w:val="002051B8"/>
    <w:rsid w:val="00205887"/>
    <w:rsid w:val="00205972"/>
    <w:rsid w:val="00205F92"/>
    <w:rsid w:val="0020679D"/>
    <w:rsid w:val="00206A27"/>
    <w:rsid w:val="00206B27"/>
    <w:rsid w:val="00206DA1"/>
    <w:rsid w:val="00207019"/>
    <w:rsid w:val="00207489"/>
    <w:rsid w:val="00207F18"/>
    <w:rsid w:val="002102B3"/>
    <w:rsid w:val="00210795"/>
    <w:rsid w:val="0021085F"/>
    <w:rsid w:val="00210873"/>
    <w:rsid w:val="002114A3"/>
    <w:rsid w:val="00211E67"/>
    <w:rsid w:val="00211E9E"/>
    <w:rsid w:val="002127BB"/>
    <w:rsid w:val="00212916"/>
    <w:rsid w:val="00212AC5"/>
    <w:rsid w:val="00212CF8"/>
    <w:rsid w:val="00212F0E"/>
    <w:rsid w:val="00213680"/>
    <w:rsid w:val="00213771"/>
    <w:rsid w:val="002137C0"/>
    <w:rsid w:val="00214398"/>
    <w:rsid w:val="00214649"/>
    <w:rsid w:val="00214B49"/>
    <w:rsid w:val="00215A55"/>
    <w:rsid w:val="002163FD"/>
    <w:rsid w:val="00216B45"/>
    <w:rsid w:val="00216CF7"/>
    <w:rsid w:val="00216EDE"/>
    <w:rsid w:val="002174C7"/>
    <w:rsid w:val="00217863"/>
    <w:rsid w:val="002203F8"/>
    <w:rsid w:val="00220844"/>
    <w:rsid w:val="002214D8"/>
    <w:rsid w:val="00221630"/>
    <w:rsid w:val="0022165B"/>
    <w:rsid w:val="0022199C"/>
    <w:rsid w:val="002219F1"/>
    <w:rsid w:val="00222191"/>
    <w:rsid w:val="002221A8"/>
    <w:rsid w:val="002221DD"/>
    <w:rsid w:val="002224F7"/>
    <w:rsid w:val="00222FEE"/>
    <w:rsid w:val="00223230"/>
    <w:rsid w:val="002232E8"/>
    <w:rsid w:val="00223A6A"/>
    <w:rsid w:val="00223B41"/>
    <w:rsid w:val="00223D28"/>
    <w:rsid w:val="00224353"/>
    <w:rsid w:val="002245E6"/>
    <w:rsid w:val="0022470A"/>
    <w:rsid w:val="0022476B"/>
    <w:rsid w:val="00224AC0"/>
    <w:rsid w:val="00225761"/>
    <w:rsid w:val="002267EE"/>
    <w:rsid w:val="00226A28"/>
    <w:rsid w:val="00226CF4"/>
    <w:rsid w:val="00226F13"/>
    <w:rsid w:val="0022767E"/>
    <w:rsid w:val="00229042"/>
    <w:rsid w:val="0023022E"/>
    <w:rsid w:val="0023038C"/>
    <w:rsid w:val="0023065D"/>
    <w:rsid w:val="00230F57"/>
    <w:rsid w:val="00231A11"/>
    <w:rsid w:val="00231C6F"/>
    <w:rsid w:val="00231ED4"/>
    <w:rsid w:val="00232A33"/>
    <w:rsid w:val="00232E40"/>
    <w:rsid w:val="00232FB9"/>
    <w:rsid w:val="002347AA"/>
    <w:rsid w:val="00235040"/>
    <w:rsid w:val="00235C7B"/>
    <w:rsid w:val="00236EE6"/>
    <w:rsid w:val="00237441"/>
    <w:rsid w:val="002374D4"/>
    <w:rsid w:val="00237798"/>
    <w:rsid w:val="00237E5C"/>
    <w:rsid w:val="0024006F"/>
    <w:rsid w:val="0024007F"/>
    <w:rsid w:val="00240131"/>
    <w:rsid w:val="0024035F"/>
    <w:rsid w:val="002408B1"/>
    <w:rsid w:val="00241227"/>
    <w:rsid w:val="00241360"/>
    <w:rsid w:val="002418F1"/>
    <w:rsid w:val="00242238"/>
    <w:rsid w:val="002425DD"/>
    <w:rsid w:val="002431D4"/>
    <w:rsid w:val="0024356A"/>
    <w:rsid w:val="00243B89"/>
    <w:rsid w:val="00243C09"/>
    <w:rsid w:val="00243FA5"/>
    <w:rsid w:val="00244191"/>
    <w:rsid w:val="00244247"/>
    <w:rsid w:val="002443EE"/>
    <w:rsid w:val="0024440F"/>
    <w:rsid w:val="0024455F"/>
    <w:rsid w:val="00244791"/>
    <w:rsid w:val="002448E0"/>
    <w:rsid w:val="00244AEC"/>
    <w:rsid w:val="00244B56"/>
    <w:rsid w:val="00244BE9"/>
    <w:rsid w:val="00244BEE"/>
    <w:rsid w:val="00244EE5"/>
    <w:rsid w:val="002466C0"/>
    <w:rsid w:val="0024675B"/>
    <w:rsid w:val="00246C10"/>
    <w:rsid w:val="00246CCF"/>
    <w:rsid w:val="00247799"/>
    <w:rsid w:val="002477A5"/>
    <w:rsid w:val="00250064"/>
    <w:rsid w:val="00250646"/>
    <w:rsid w:val="00250E24"/>
    <w:rsid w:val="00251209"/>
    <w:rsid w:val="00251624"/>
    <w:rsid w:val="00251AD4"/>
    <w:rsid w:val="00251FCF"/>
    <w:rsid w:val="00252332"/>
    <w:rsid w:val="00252CA2"/>
    <w:rsid w:val="00253386"/>
    <w:rsid w:val="00253561"/>
    <w:rsid w:val="002537B3"/>
    <w:rsid w:val="002538A4"/>
    <w:rsid w:val="00253A18"/>
    <w:rsid w:val="00253AA5"/>
    <w:rsid w:val="00253AFD"/>
    <w:rsid w:val="002542E8"/>
    <w:rsid w:val="00254F60"/>
    <w:rsid w:val="00255D9B"/>
    <w:rsid w:val="00255E87"/>
    <w:rsid w:val="0025649F"/>
    <w:rsid w:val="002564EB"/>
    <w:rsid w:val="00256BBA"/>
    <w:rsid w:val="00256C8E"/>
    <w:rsid w:val="002575EC"/>
    <w:rsid w:val="00257752"/>
    <w:rsid w:val="0025F428"/>
    <w:rsid w:val="00260056"/>
    <w:rsid w:val="002600E8"/>
    <w:rsid w:val="002601C8"/>
    <w:rsid w:val="002602E7"/>
    <w:rsid w:val="0026035D"/>
    <w:rsid w:val="00260527"/>
    <w:rsid w:val="00260A16"/>
    <w:rsid w:val="00261372"/>
    <w:rsid w:val="002613F2"/>
    <w:rsid w:val="00261A35"/>
    <w:rsid w:val="00261A73"/>
    <w:rsid w:val="00261EEB"/>
    <w:rsid w:val="002621BE"/>
    <w:rsid w:val="0026275A"/>
    <w:rsid w:val="00263425"/>
    <w:rsid w:val="00263661"/>
    <w:rsid w:val="00263835"/>
    <w:rsid w:val="002638B7"/>
    <w:rsid w:val="0026399B"/>
    <w:rsid w:val="00263FF8"/>
    <w:rsid w:val="0026402B"/>
    <w:rsid w:val="0026437E"/>
    <w:rsid w:val="00264A75"/>
    <w:rsid w:val="00265154"/>
    <w:rsid w:val="002654B5"/>
    <w:rsid w:val="002659F3"/>
    <w:rsid w:val="00265B25"/>
    <w:rsid w:val="00265B35"/>
    <w:rsid w:val="00265E51"/>
    <w:rsid w:val="00265F3D"/>
    <w:rsid w:val="0026633C"/>
    <w:rsid w:val="0026654A"/>
    <w:rsid w:val="002665E3"/>
    <w:rsid w:val="00267270"/>
    <w:rsid w:val="002672BA"/>
    <w:rsid w:val="00267428"/>
    <w:rsid w:val="002677C8"/>
    <w:rsid w:val="00267AF7"/>
    <w:rsid w:val="002708CA"/>
    <w:rsid w:val="00271CB6"/>
    <w:rsid w:val="00271DAE"/>
    <w:rsid w:val="00271E49"/>
    <w:rsid w:val="00272518"/>
    <w:rsid w:val="002726FA"/>
    <w:rsid w:val="0027299A"/>
    <w:rsid w:val="00272D19"/>
    <w:rsid w:val="00272E43"/>
    <w:rsid w:val="00272F41"/>
    <w:rsid w:val="00273151"/>
    <w:rsid w:val="002731AE"/>
    <w:rsid w:val="00273217"/>
    <w:rsid w:val="002732C1"/>
    <w:rsid w:val="002750CE"/>
    <w:rsid w:val="00275546"/>
    <w:rsid w:val="00275828"/>
    <w:rsid w:val="00276375"/>
    <w:rsid w:val="002763D4"/>
    <w:rsid w:val="002766E0"/>
    <w:rsid w:val="002766F3"/>
    <w:rsid w:val="00276707"/>
    <w:rsid w:val="0027671E"/>
    <w:rsid w:val="002768C2"/>
    <w:rsid w:val="00277115"/>
    <w:rsid w:val="00277455"/>
    <w:rsid w:val="00277EBD"/>
    <w:rsid w:val="0028049D"/>
    <w:rsid w:val="00280815"/>
    <w:rsid w:val="00280B4F"/>
    <w:rsid w:val="00280D8D"/>
    <w:rsid w:val="0028151A"/>
    <w:rsid w:val="002815F6"/>
    <w:rsid w:val="002817B0"/>
    <w:rsid w:val="00281AC1"/>
    <w:rsid w:val="00281FE0"/>
    <w:rsid w:val="002827F9"/>
    <w:rsid w:val="00283003"/>
    <w:rsid w:val="00283787"/>
    <w:rsid w:val="00283D5E"/>
    <w:rsid w:val="0028524F"/>
    <w:rsid w:val="002852C7"/>
    <w:rsid w:val="00285518"/>
    <w:rsid w:val="00285549"/>
    <w:rsid w:val="0028568D"/>
    <w:rsid w:val="00285821"/>
    <w:rsid w:val="00285880"/>
    <w:rsid w:val="002858B2"/>
    <w:rsid w:val="00286672"/>
    <w:rsid w:val="00286A37"/>
    <w:rsid w:val="00286EB4"/>
    <w:rsid w:val="00286F8A"/>
    <w:rsid w:val="00287E17"/>
    <w:rsid w:val="002901B8"/>
    <w:rsid w:val="00290222"/>
    <w:rsid w:val="002906AB"/>
    <w:rsid w:val="00290C74"/>
    <w:rsid w:val="00290CF8"/>
    <w:rsid w:val="00291A57"/>
    <w:rsid w:val="0029232D"/>
    <w:rsid w:val="00292565"/>
    <w:rsid w:val="00292A0A"/>
    <w:rsid w:val="002931B1"/>
    <w:rsid w:val="00293A1B"/>
    <w:rsid w:val="00293DF3"/>
    <w:rsid w:val="00293E9B"/>
    <w:rsid w:val="00293F96"/>
    <w:rsid w:val="0029459C"/>
    <w:rsid w:val="002950D4"/>
    <w:rsid w:val="002954B6"/>
    <w:rsid w:val="00295681"/>
    <w:rsid w:val="00295B7E"/>
    <w:rsid w:val="002961A1"/>
    <w:rsid w:val="002962A5"/>
    <w:rsid w:val="00296436"/>
    <w:rsid w:val="002969F7"/>
    <w:rsid w:val="00296BB4"/>
    <w:rsid w:val="00297DF9"/>
    <w:rsid w:val="002A0099"/>
    <w:rsid w:val="002A05AE"/>
    <w:rsid w:val="002A0815"/>
    <w:rsid w:val="002A0CC9"/>
    <w:rsid w:val="002A1293"/>
    <w:rsid w:val="002A1F0E"/>
    <w:rsid w:val="002A2A6B"/>
    <w:rsid w:val="002A2F13"/>
    <w:rsid w:val="002A3001"/>
    <w:rsid w:val="002A3146"/>
    <w:rsid w:val="002A3195"/>
    <w:rsid w:val="002A338A"/>
    <w:rsid w:val="002A3908"/>
    <w:rsid w:val="002A3E43"/>
    <w:rsid w:val="002A4EDA"/>
    <w:rsid w:val="002A4F78"/>
    <w:rsid w:val="002A5634"/>
    <w:rsid w:val="002A59FC"/>
    <w:rsid w:val="002A5C93"/>
    <w:rsid w:val="002A60C2"/>
    <w:rsid w:val="002A639D"/>
    <w:rsid w:val="002A6533"/>
    <w:rsid w:val="002A67C2"/>
    <w:rsid w:val="002A6C0B"/>
    <w:rsid w:val="002A6C27"/>
    <w:rsid w:val="002A6C2E"/>
    <w:rsid w:val="002A6DD0"/>
    <w:rsid w:val="002A7311"/>
    <w:rsid w:val="002A79CD"/>
    <w:rsid w:val="002A7E26"/>
    <w:rsid w:val="002B0184"/>
    <w:rsid w:val="002B0BF2"/>
    <w:rsid w:val="002B0F0A"/>
    <w:rsid w:val="002B1A02"/>
    <w:rsid w:val="002B1B13"/>
    <w:rsid w:val="002B1C95"/>
    <w:rsid w:val="002B1EF9"/>
    <w:rsid w:val="002B2672"/>
    <w:rsid w:val="002B2B46"/>
    <w:rsid w:val="002B2CD8"/>
    <w:rsid w:val="002B2E34"/>
    <w:rsid w:val="002B2EE1"/>
    <w:rsid w:val="002B30CD"/>
    <w:rsid w:val="002B3113"/>
    <w:rsid w:val="002B3B65"/>
    <w:rsid w:val="002B43AB"/>
    <w:rsid w:val="002B482D"/>
    <w:rsid w:val="002B4D12"/>
    <w:rsid w:val="002B4EB9"/>
    <w:rsid w:val="002B5953"/>
    <w:rsid w:val="002B5BF6"/>
    <w:rsid w:val="002B5D4C"/>
    <w:rsid w:val="002B623F"/>
    <w:rsid w:val="002B6304"/>
    <w:rsid w:val="002B64AB"/>
    <w:rsid w:val="002B6936"/>
    <w:rsid w:val="002B6AA1"/>
    <w:rsid w:val="002B6B3B"/>
    <w:rsid w:val="002B6B7D"/>
    <w:rsid w:val="002B6C97"/>
    <w:rsid w:val="002B714A"/>
    <w:rsid w:val="002B756C"/>
    <w:rsid w:val="002C01D6"/>
    <w:rsid w:val="002C0420"/>
    <w:rsid w:val="002C043A"/>
    <w:rsid w:val="002C0609"/>
    <w:rsid w:val="002C085F"/>
    <w:rsid w:val="002C1D11"/>
    <w:rsid w:val="002C2A07"/>
    <w:rsid w:val="002C2B51"/>
    <w:rsid w:val="002C30DB"/>
    <w:rsid w:val="002C337A"/>
    <w:rsid w:val="002C33AE"/>
    <w:rsid w:val="002C368B"/>
    <w:rsid w:val="002C3A75"/>
    <w:rsid w:val="002C41F9"/>
    <w:rsid w:val="002C458A"/>
    <w:rsid w:val="002C4F67"/>
    <w:rsid w:val="002C53E3"/>
    <w:rsid w:val="002C5500"/>
    <w:rsid w:val="002C58A0"/>
    <w:rsid w:val="002C5B48"/>
    <w:rsid w:val="002C6336"/>
    <w:rsid w:val="002C6461"/>
    <w:rsid w:val="002C64C5"/>
    <w:rsid w:val="002C6AAF"/>
    <w:rsid w:val="002C700C"/>
    <w:rsid w:val="002C76C4"/>
    <w:rsid w:val="002C7766"/>
    <w:rsid w:val="002C7BD6"/>
    <w:rsid w:val="002C7E60"/>
    <w:rsid w:val="002D0251"/>
    <w:rsid w:val="002D0B35"/>
    <w:rsid w:val="002D0FB4"/>
    <w:rsid w:val="002D133A"/>
    <w:rsid w:val="002D136C"/>
    <w:rsid w:val="002D181F"/>
    <w:rsid w:val="002D2282"/>
    <w:rsid w:val="002D2385"/>
    <w:rsid w:val="002D26EC"/>
    <w:rsid w:val="002D2824"/>
    <w:rsid w:val="002D2894"/>
    <w:rsid w:val="002D29AD"/>
    <w:rsid w:val="002D2BE6"/>
    <w:rsid w:val="002D2F20"/>
    <w:rsid w:val="002D32C9"/>
    <w:rsid w:val="002D39DE"/>
    <w:rsid w:val="002D41C0"/>
    <w:rsid w:val="002D4E6A"/>
    <w:rsid w:val="002D5251"/>
    <w:rsid w:val="002D54E5"/>
    <w:rsid w:val="002D55FE"/>
    <w:rsid w:val="002D5E10"/>
    <w:rsid w:val="002D61E3"/>
    <w:rsid w:val="002D69A0"/>
    <w:rsid w:val="002D6D38"/>
    <w:rsid w:val="002D6D63"/>
    <w:rsid w:val="002D74F2"/>
    <w:rsid w:val="002D7912"/>
    <w:rsid w:val="002D79DC"/>
    <w:rsid w:val="002D79F8"/>
    <w:rsid w:val="002D7ADC"/>
    <w:rsid w:val="002D7E6D"/>
    <w:rsid w:val="002E0437"/>
    <w:rsid w:val="002E0E6D"/>
    <w:rsid w:val="002E1013"/>
    <w:rsid w:val="002E12DB"/>
    <w:rsid w:val="002E150F"/>
    <w:rsid w:val="002E1E8A"/>
    <w:rsid w:val="002E204C"/>
    <w:rsid w:val="002E21C7"/>
    <w:rsid w:val="002E277C"/>
    <w:rsid w:val="002E2B2A"/>
    <w:rsid w:val="002E372A"/>
    <w:rsid w:val="002E3AF4"/>
    <w:rsid w:val="002E3C45"/>
    <w:rsid w:val="002E3D60"/>
    <w:rsid w:val="002E421F"/>
    <w:rsid w:val="002E48F5"/>
    <w:rsid w:val="002E5419"/>
    <w:rsid w:val="002E5A1B"/>
    <w:rsid w:val="002E5CAC"/>
    <w:rsid w:val="002E5D97"/>
    <w:rsid w:val="002E5DE1"/>
    <w:rsid w:val="002E6161"/>
    <w:rsid w:val="002E61E1"/>
    <w:rsid w:val="002E6A9C"/>
    <w:rsid w:val="002E73BE"/>
    <w:rsid w:val="002E73CA"/>
    <w:rsid w:val="002E7B6A"/>
    <w:rsid w:val="002E7E72"/>
    <w:rsid w:val="002F001E"/>
    <w:rsid w:val="002F01C2"/>
    <w:rsid w:val="002F058D"/>
    <w:rsid w:val="002F07BE"/>
    <w:rsid w:val="002F07FD"/>
    <w:rsid w:val="002F0D73"/>
    <w:rsid w:val="002F0E89"/>
    <w:rsid w:val="002F1403"/>
    <w:rsid w:val="002F16DF"/>
    <w:rsid w:val="002F17E6"/>
    <w:rsid w:val="002F1C6A"/>
    <w:rsid w:val="002F22A3"/>
    <w:rsid w:val="002F238C"/>
    <w:rsid w:val="002F317B"/>
    <w:rsid w:val="002F32B0"/>
    <w:rsid w:val="002F33A3"/>
    <w:rsid w:val="002F344F"/>
    <w:rsid w:val="002F3900"/>
    <w:rsid w:val="002F4276"/>
    <w:rsid w:val="002F4537"/>
    <w:rsid w:val="002F47BF"/>
    <w:rsid w:val="002F4F29"/>
    <w:rsid w:val="002F5039"/>
    <w:rsid w:val="002F5A4E"/>
    <w:rsid w:val="002F5EBC"/>
    <w:rsid w:val="002F6E9D"/>
    <w:rsid w:val="002F77C4"/>
    <w:rsid w:val="002F79D1"/>
    <w:rsid w:val="002F7EE9"/>
    <w:rsid w:val="003000E8"/>
    <w:rsid w:val="00300BD4"/>
    <w:rsid w:val="00300E52"/>
    <w:rsid w:val="00301B57"/>
    <w:rsid w:val="00302FD4"/>
    <w:rsid w:val="003030C4"/>
    <w:rsid w:val="003030CA"/>
    <w:rsid w:val="00303136"/>
    <w:rsid w:val="00303CC2"/>
    <w:rsid w:val="003040CB"/>
    <w:rsid w:val="0030512D"/>
    <w:rsid w:val="003057EB"/>
    <w:rsid w:val="0030583E"/>
    <w:rsid w:val="00305A3A"/>
    <w:rsid w:val="003068BC"/>
    <w:rsid w:val="00306B12"/>
    <w:rsid w:val="00306D54"/>
    <w:rsid w:val="00307427"/>
    <w:rsid w:val="00307ED3"/>
    <w:rsid w:val="00310187"/>
    <w:rsid w:val="003103A1"/>
    <w:rsid w:val="003105DF"/>
    <w:rsid w:val="0031068E"/>
    <w:rsid w:val="00310B99"/>
    <w:rsid w:val="003118A6"/>
    <w:rsid w:val="003118AD"/>
    <w:rsid w:val="00311A47"/>
    <w:rsid w:val="00311F21"/>
    <w:rsid w:val="00312F92"/>
    <w:rsid w:val="00312FC7"/>
    <w:rsid w:val="00313200"/>
    <w:rsid w:val="00313267"/>
    <w:rsid w:val="00314694"/>
    <w:rsid w:val="0031484A"/>
    <w:rsid w:val="0031485D"/>
    <w:rsid w:val="00314965"/>
    <w:rsid w:val="00314F80"/>
    <w:rsid w:val="003155D4"/>
    <w:rsid w:val="00315A2E"/>
    <w:rsid w:val="00316321"/>
    <w:rsid w:val="003164C5"/>
    <w:rsid w:val="003175F2"/>
    <w:rsid w:val="00317C5F"/>
    <w:rsid w:val="003200A2"/>
    <w:rsid w:val="003204FF"/>
    <w:rsid w:val="003209DF"/>
    <w:rsid w:val="00321955"/>
    <w:rsid w:val="00322642"/>
    <w:rsid w:val="00322CE9"/>
    <w:rsid w:val="00323715"/>
    <w:rsid w:val="003255F2"/>
    <w:rsid w:val="00325614"/>
    <w:rsid w:val="003257A6"/>
    <w:rsid w:val="00325C80"/>
    <w:rsid w:val="00326038"/>
    <w:rsid w:val="00326332"/>
    <w:rsid w:val="00326473"/>
    <w:rsid w:val="003267F8"/>
    <w:rsid w:val="00326BE4"/>
    <w:rsid w:val="00326D19"/>
    <w:rsid w:val="003273A2"/>
    <w:rsid w:val="00330BD8"/>
    <w:rsid w:val="00330F45"/>
    <w:rsid w:val="00331013"/>
    <w:rsid w:val="00331B55"/>
    <w:rsid w:val="00331CD9"/>
    <w:rsid w:val="0033246B"/>
    <w:rsid w:val="003327E1"/>
    <w:rsid w:val="00332A58"/>
    <w:rsid w:val="00332B49"/>
    <w:rsid w:val="00332B59"/>
    <w:rsid w:val="00333089"/>
    <w:rsid w:val="00333EC8"/>
    <w:rsid w:val="0033400A"/>
    <w:rsid w:val="003342D6"/>
    <w:rsid w:val="0033506F"/>
    <w:rsid w:val="003351CF"/>
    <w:rsid w:val="00335767"/>
    <w:rsid w:val="00335A70"/>
    <w:rsid w:val="00335BD0"/>
    <w:rsid w:val="003363D9"/>
    <w:rsid w:val="0033678B"/>
    <w:rsid w:val="0033678D"/>
    <w:rsid w:val="00336802"/>
    <w:rsid w:val="003368BC"/>
    <w:rsid w:val="003368EB"/>
    <w:rsid w:val="00337B09"/>
    <w:rsid w:val="00340178"/>
    <w:rsid w:val="0034039B"/>
    <w:rsid w:val="0034086B"/>
    <w:rsid w:val="00340A7F"/>
    <w:rsid w:val="00340DB5"/>
    <w:rsid w:val="00341B1E"/>
    <w:rsid w:val="00342113"/>
    <w:rsid w:val="0034279F"/>
    <w:rsid w:val="00342D98"/>
    <w:rsid w:val="00343329"/>
    <w:rsid w:val="0034368D"/>
    <w:rsid w:val="0034373A"/>
    <w:rsid w:val="00343EE7"/>
    <w:rsid w:val="003444B1"/>
    <w:rsid w:val="0034543C"/>
    <w:rsid w:val="0034596C"/>
    <w:rsid w:val="00345DE2"/>
    <w:rsid w:val="00345E88"/>
    <w:rsid w:val="00346409"/>
    <w:rsid w:val="0034687D"/>
    <w:rsid w:val="00346A65"/>
    <w:rsid w:val="00347489"/>
    <w:rsid w:val="00347CF8"/>
    <w:rsid w:val="00347F09"/>
    <w:rsid w:val="00350293"/>
    <w:rsid w:val="00350609"/>
    <w:rsid w:val="00351C0F"/>
    <w:rsid w:val="00351F8D"/>
    <w:rsid w:val="0035205F"/>
    <w:rsid w:val="00352D67"/>
    <w:rsid w:val="0035322A"/>
    <w:rsid w:val="00353FA7"/>
    <w:rsid w:val="00354952"/>
    <w:rsid w:val="003554D4"/>
    <w:rsid w:val="00355A21"/>
    <w:rsid w:val="00355A5E"/>
    <w:rsid w:val="00355FAC"/>
    <w:rsid w:val="003568DC"/>
    <w:rsid w:val="00356E86"/>
    <w:rsid w:val="0035746F"/>
    <w:rsid w:val="0035766E"/>
    <w:rsid w:val="00357AE3"/>
    <w:rsid w:val="0036007C"/>
    <w:rsid w:val="003605CF"/>
    <w:rsid w:val="00360BAB"/>
    <w:rsid w:val="00360FA7"/>
    <w:rsid w:val="003612EB"/>
    <w:rsid w:val="0036189F"/>
    <w:rsid w:val="00361A44"/>
    <w:rsid w:val="00361AAE"/>
    <w:rsid w:val="00362319"/>
    <w:rsid w:val="00362FAA"/>
    <w:rsid w:val="003632F1"/>
    <w:rsid w:val="00363E44"/>
    <w:rsid w:val="00363EE8"/>
    <w:rsid w:val="00363FE9"/>
    <w:rsid w:val="003643DC"/>
    <w:rsid w:val="003645B9"/>
    <w:rsid w:val="00364644"/>
    <w:rsid w:val="00364964"/>
    <w:rsid w:val="003657F1"/>
    <w:rsid w:val="0036601E"/>
    <w:rsid w:val="003661AA"/>
    <w:rsid w:val="00366C7A"/>
    <w:rsid w:val="003671F4"/>
    <w:rsid w:val="003679CC"/>
    <w:rsid w:val="00370006"/>
    <w:rsid w:val="00370151"/>
    <w:rsid w:val="00370272"/>
    <w:rsid w:val="0037082A"/>
    <w:rsid w:val="00370CD4"/>
    <w:rsid w:val="00370ED8"/>
    <w:rsid w:val="00371528"/>
    <w:rsid w:val="0037155F"/>
    <w:rsid w:val="003718C9"/>
    <w:rsid w:val="00371ADC"/>
    <w:rsid w:val="00371BCC"/>
    <w:rsid w:val="0037216A"/>
    <w:rsid w:val="003726DB"/>
    <w:rsid w:val="00372A0C"/>
    <w:rsid w:val="00372DB9"/>
    <w:rsid w:val="00373531"/>
    <w:rsid w:val="00373535"/>
    <w:rsid w:val="003736E8"/>
    <w:rsid w:val="003739BD"/>
    <w:rsid w:val="00373CAB"/>
    <w:rsid w:val="00374130"/>
    <w:rsid w:val="00374753"/>
    <w:rsid w:val="00374D76"/>
    <w:rsid w:val="00374F6F"/>
    <w:rsid w:val="003752DA"/>
    <w:rsid w:val="003758DE"/>
    <w:rsid w:val="00375A2D"/>
    <w:rsid w:val="00375D1F"/>
    <w:rsid w:val="0037613E"/>
    <w:rsid w:val="0037655F"/>
    <w:rsid w:val="003766EB"/>
    <w:rsid w:val="003766EC"/>
    <w:rsid w:val="00376809"/>
    <w:rsid w:val="00377877"/>
    <w:rsid w:val="003779E2"/>
    <w:rsid w:val="00377A6B"/>
    <w:rsid w:val="00380242"/>
    <w:rsid w:val="003810F2"/>
    <w:rsid w:val="00381F4F"/>
    <w:rsid w:val="003825F9"/>
    <w:rsid w:val="00382D37"/>
    <w:rsid w:val="00383077"/>
    <w:rsid w:val="0038352D"/>
    <w:rsid w:val="00383CDB"/>
    <w:rsid w:val="003846A0"/>
    <w:rsid w:val="00384BF4"/>
    <w:rsid w:val="00384FBC"/>
    <w:rsid w:val="00385280"/>
    <w:rsid w:val="003856FD"/>
    <w:rsid w:val="00385AB3"/>
    <w:rsid w:val="00385EDD"/>
    <w:rsid w:val="00385FF0"/>
    <w:rsid w:val="0038685E"/>
    <w:rsid w:val="003872B7"/>
    <w:rsid w:val="003872ED"/>
    <w:rsid w:val="00387316"/>
    <w:rsid w:val="00387491"/>
    <w:rsid w:val="0038758A"/>
    <w:rsid w:val="003875F6"/>
    <w:rsid w:val="00387753"/>
    <w:rsid w:val="00390EAC"/>
    <w:rsid w:val="00390FE6"/>
    <w:rsid w:val="00391207"/>
    <w:rsid w:val="003918FC"/>
    <w:rsid w:val="00391980"/>
    <w:rsid w:val="00392147"/>
    <w:rsid w:val="0039258D"/>
    <w:rsid w:val="00392BEF"/>
    <w:rsid w:val="00392ECF"/>
    <w:rsid w:val="003933A5"/>
    <w:rsid w:val="00393598"/>
    <w:rsid w:val="003935D7"/>
    <w:rsid w:val="00393EDA"/>
    <w:rsid w:val="00394483"/>
    <w:rsid w:val="003944F9"/>
    <w:rsid w:val="0039482E"/>
    <w:rsid w:val="00394E4F"/>
    <w:rsid w:val="00394F8D"/>
    <w:rsid w:val="003955A6"/>
    <w:rsid w:val="00395689"/>
    <w:rsid w:val="00395F4A"/>
    <w:rsid w:val="003962B4"/>
    <w:rsid w:val="003968F3"/>
    <w:rsid w:val="00396D66"/>
    <w:rsid w:val="00396E48"/>
    <w:rsid w:val="003970E4"/>
    <w:rsid w:val="00397353"/>
    <w:rsid w:val="003974B6"/>
    <w:rsid w:val="0039798E"/>
    <w:rsid w:val="003979CF"/>
    <w:rsid w:val="00397B07"/>
    <w:rsid w:val="003A0607"/>
    <w:rsid w:val="003A079D"/>
    <w:rsid w:val="003A0980"/>
    <w:rsid w:val="003A099B"/>
    <w:rsid w:val="003A0A50"/>
    <w:rsid w:val="003A0DB1"/>
    <w:rsid w:val="003A19A6"/>
    <w:rsid w:val="003A1ACE"/>
    <w:rsid w:val="003A1B1D"/>
    <w:rsid w:val="003A20B1"/>
    <w:rsid w:val="003A2309"/>
    <w:rsid w:val="003A2FF2"/>
    <w:rsid w:val="003A3347"/>
    <w:rsid w:val="003A3511"/>
    <w:rsid w:val="003A3AD7"/>
    <w:rsid w:val="003A461C"/>
    <w:rsid w:val="003A50DD"/>
    <w:rsid w:val="003A5243"/>
    <w:rsid w:val="003A5271"/>
    <w:rsid w:val="003A5C42"/>
    <w:rsid w:val="003A69E4"/>
    <w:rsid w:val="003A72E5"/>
    <w:rsid w:val="003A7308"/>
    <w:rsid w:val="003A7568"/>
    <w:rsid w:val="003A7F35"/>
    <w:rsid w:val="003B01BB"/>
    <w:rsid w:val="003B03D8"/>
    <w:rsid w:val="003B06F0"/>
    <w:rsid w:val="003B09A0"/>
    <w:rsid w:val="003B0CAC"/>
    <w:rsid w:val="003B0E97"/>
    <w:rsid w:val="003B10CE"/>
    <w:rsid w:val="003B10FF"/>
    <w:rsid w:val="003B1771"/>
    <w:rsid w:val="003B18B1"/>
    <w:rsid w:val="003B228F"/>
    <w:rsid w:val="003B24B2"/>
    <w:rsid w:val="003B34A1"/>
    <w:rsid w:val="003B3C50"/>
    <w:rsid w:val="003B41FE"/>
    <w:rsid w:val="003B431C"/>
    <w:rsid w:val="003B524C"/>
    <w:rsid w:val="003B571A"/>
    <w:rsid w:val="003B61EB"/>
    <w:rsid w:val="003B6B6D"/>
    <w:rsid w:val="003B772F"/>
    <w:rsid w:val="003B7795"/>
    <w:rsid w:val="003B7824"/>
    <w:rsid w:val="003B7D3C"/>
    <w:rsid w:val="003C0436"/>
    <w:rsid w:val="003C0599"/>
    <w:rsid w:val="003C0A34"/>
    <w:rsid w:val="003C0C76"/>
    <w:rsid w:val="003C121D"/>
    <w:rsid w:val="003C14F7"/>
    <w:rsid w:val="003C1642"/>
    <w:rsid w:val="003C1739"/>
    <w:rsid w:val="003C1822"/>
    <w:rsid w:val="003C1DB7"/>
    <w:rsid w:val="003C1EC0"/>
    <w:rsid w:val="003C21C0"/>
    <w:rsid w:val="003C231B"/>
    <w:rsid w:val="003C2BC9"/>
    <w:rsid w:val="003C2BE8"/>
    <w:rsid w:val="003C2C2F"/>
    <w:rsid w:val="003C3D03"/>
    <w:rsid w:val="003C3E6A"/>
    <w:rsid w:val="003C40DA"/>
    <w:rsid w:val="003C41BB"/>
    <w:rsid w:val="003C481E"/>
    <w:rsid w:val="003C4B58"/>
    <w:rsid w:val="003C4CE2"/>
    <w:rsid w:val="003C4F6D"/>
    <w:rsid w:val="003C5049"/>
    <w:rsid w:val="003C5B66"/>
    <w:rsid w:val="003C603F"/>
    <w:rsid w:val="003C607F"/>
    <w:rsid w:val="003C60C6"/>
    <w:rsid w:val="003C6A93"/>
    <w:rsid w:val="003C6ACA"/>
    <w:rsid w:val="003C6FEF"/>
    <w:rsid w:val="003C7080"/>
    <w:rsid w:val="003C71A7"/>
    <w:rsid w:val="003C784E"/>
    <w:rsid w:val="003C795E"/>
    <w:rsid w:val="003D0028"/>
    <w:rsid w:val="003D06FB"/>
    <w:rsid w:val="003D0EA6"/>
    <w:rsid w:val="003D2610"/>
    <w:rsid w:val="003D3293"/>
    <w:rsid w:val="003D37DB"/>
    <w:rsid w:val="003D3AC0"/>
    <w:rsid w:val="003D3EBC"/>
    <w:rsid w:val="003D42D2"/>
    <w:rsid w:val="003D4A15"/>
    <w:rsid w:val="003D590C"/>
    <w:rsid w:val="003D60CF"/>
    <w:rsid w:val="003D64A8"/>
    <w:rsid w:val="003D6AE1"/>
    <w:rsid w:val="003D6FA7"/>
    <w:rsid w:val="003D7329"/>
    <w:rsid w:val="003D7418"/>
    <w:rsid w:val="003D7B37"/>
    <w:rsid w:val="003D7DA6"/>
    <w:rsid w:val="003E0697"/>
    <w:rsid w:val="003E06B8"/>
    <w:rsid w:val="003E2182"/>
    <w:rsid w:val="003E24EE"/>
    <w:rsid w:val="003E2626"/>
    <w:rsid w:val="003E28A8"/>
    <w:rsid w:val="003E2F99"/>
    <w:rsid w:val="003E324C"/>
    <w:rsid w:val="003E3C45"/>
    <w:rsid w:val="003E3E3A"/>
    <w:rsid w:val="003E447E"/>
    <w:rsid w:val="003E4A33"/>
    <w:rsid w:val="003E4E1F"/>
    <w:rsid w:val="003E4EBA"/>
    <w:rsid w:val="003E5071"/>
    <w:rsid w:val="003E5330"/>
    <w:rsid w:val="003E54D0"/>
    <w:rsid w:val="003E55F7"/>
    <w:rsid w:val="003E5800"/>
    <w:rsid w:val="003E5888"/>
    <w:rsid w:val="003E5891"/>
    <w:rsid w:val="003E5A61"/>
    <w:rsid w:val="003E614B"/>
    <w:rsid w:val="003E6634"/>
    <w:rsid w:val="003E6813"/>
    <w:rsid w:val="003E69EE"/>
    <w:rsid w:val="003E6D62"/>
    <w:rsid w:val="003E6E24"/>
    <w:rsid w:val="003E716A"/>
    <w:rsid w:val="003E71C2"/>
    <w:rsid w:val="003E7324"/>
    <w:rsid w:val="003E7E0A"/>
    <w:rsid w:val="003F020A"/>
    <w:rsid w:val="003F0257"/>
    <w:rsid w:val="003F0BC8"/>
    <w:rsid w:val="003F12E0"/>
    <w:rsid w:val="003F1A87"/>
    <w:rsid w:val="003F1F84"/>
    <w:rsid w:val="003F1FFA"/>
    <w:rsid w:val="003F2AE6"/>
    <w:rsid w:val="003F34C9"/>
    <w:rsid w:val="003F3634"/>
    <w:rsid w:val="003F384F"/>
    <w:rsid w:val="003F3B45"/>
    <w:rsid w:val="003F3C2B"/>
    <w:rsid w:val="003F3E4A"/>
    <w:rsid w:val="003F4089"/>
    <w:rsid w:val="003F5089"/>
    <w:rsid w:val="003F5168"/>
    <w:rsid w:val="003F51BA"/>
    <w:rsid w:val="003F52C6"/>
    <w:rsid w:val="003F5A9E"/>
    <w:rsid w:val="003F6A6B"/>
    <w:rsid w:val="003F6CA9"/>
    <w:rsid w:val="003F6D88"/>
    <w:rsid w:val="003F6E2B"/>
    <w:rsid w:val="003F7555"/>
    <w:rsid w:val="003F7B75"/>
    <w:rsid w:val="003F7BF6"/>
    <w:rsid w:val="003F7EAD"/>
    <w:rsid w:val="003F7EC3"/>
    <w:rsid w:val="004009F6"/>
    <w:rsid w:val="00400B39"/>
    <w:rsid w:val="00400DC7"/>
    <w:rsid w:val="00400F71"/>
    <w:rsid w:val="00401143"/>
    <w:rsid w:val="004015E5"/>
    <w:rsid w:val="0040162A"/>
    <w:rsid w:val="0040188D"/>
    <w:rsid w:val="00401A4F"/>
    <w:rsid w:val="0040279B"/>
    <w:rsid w:val="00402F5B"/>
    <w:rsid w:val="004039CC"/>
    <w:rsid w:val="00403CDA"/>
    <w:rsid w:val="0040424F"/>
    <w:rsid w:val="004043CA"/>
    <w:rsid w:val="00404AEA"/>
    <w:rsid w:val="00404EE4"/>
    <w:rsid w:val="00405285"/>
    <w:rsid w:val="00405471"/>
    <w:rsid w:val="00405567"/>
    <w:rsid w:val="00405A5B"/>
    <w:rsid w:val="00405AED"/>
    <w:rsid w:val="00405B01"/>
    <w:rsid w:val="00405B9D"/>
    <w:rsid w:val="004073DB"/>
    <w:rsid w:val="004077C5"/>
    <w:rsid w:val="004079DB"/>
    <w:rsid w:val="00410C9E"/>
    <w:rsid w:val="00410CB2"/>
    <w:rsid w:val="00410E28"/>
    <w:rsid w:val="004115F9"/>
    <w:rsid w:val="00411993"/>
    <w:rsid w:val="00411D87"/>
    <w:rsid w:val="00412024"/>
    <w:rsid w:val="004122ED"/>
    <w:rsid w:val="00412555"/>
    <w:rsid w:val="004131D5"/>
    <w:rsid w:val="0041348F"/>
    <w:rsid w:val="004135C5"/>
    <w:rsid w:val="00414DA7"/>
    <w:rsid w:val="00415458"/>
    <w:rsid w:val="004154DF"/>
    <w:rsid w:val="00416845"/>
    <w:rsid w:val="004169FA"/>
    <w:rsid w:val="00416CC6"/>
    <w:rsid w:val="00416D1C"/>
    <w:rsid w:val="00416D5D"/>
    <w:rsid w:val="00417183"/>
    <w:rsid w:val="004172F4"/>
    <w:rsid w:val="004178E2"/>
    <w:rsid w:val="00417F63"/>
    <w:rsid w:val="004203C2"/>
    <w:rsid w:val="004207F0"/>
    <w:rsid w:val="00420CAB"/>
    <w:rsid w:val="0042182E"/>
    <w:rsid w:val="0042186D"/>
    <w:rsid w:val="004218FA"/>
    <w:rsid w:val="00421985"/>
    <w:rsid w:val="00421CE6"/>
    <w:rsid w:val="00422017"/>
    <w:rsid w:val="004224BC"/>
    <w:rsid w:val="00422752"/>
    <w:rsid w:val="00422BB5"/>
    <w:rsid w:val="00422CCF"/>
    <w:rsid w:val="004235E6"/>
    <w:rsid w:val="00423682"/>
    <w:rsid w:val="00423DBD"/>
    <w:rsid w:val="00424326"/>
    <w:rsid w:val="00424604"/>
    <w:rsid w:val="00424741"/>
    <w:rsid w:val="00424EEA"/>
    <w:rsid w:val="00425396"/>
    <w:rsid w:val="0042560E"/>
    <w:rsid w:val="00425FA6"/>
    <w:rsid w:val="0042637D"/>
    <w:rsid w:val="00427C57"/>
    <w:rsid w:val="00427FC2"/>
    <w:rsid w:val="00430077"/>
    <w:rsid w:val="00430463"/>
    <w:rsid w:val="0043072C"/>
    <w:rsid w:val="004309DA"/>
    <w:rsid w:val="00430E61"/>
    <w:rsid w:val="00431279"/>
    <w:rsid w:val="00431703"/>
    <w:rsid w:val="00432317"/>
    <w:rsid w:val="00432367"/>
    <w:rsid w:val="00432D3C"/>
    <w:rsid w:val="00432D8A"/>
    <w:rsid w:val="004333CF"/>
    <w:rsid w:val="00433602"/>
    <w:rsid w:val="00433740"/>
    <w:rsid w:val="004338E1"/>
    <w:rsid w:val="00433B98"/>
    <w:rsid w:val="00433C52"/>
    <w:rsid w:val="0043402E"/>
    <w:rsid w:val="00434420"/>
    <w:rsid w:val="0043455C"/>
    <w:rsid w:val="00434721"/>
    <w:rsid w:val="00434DD2"/>
    <w:rsid w:val="0043510D"/>
    <w:rsid w:val="0043527B"/>
    <w:rsid w:val="00435782"/>
    <w:rsid w:val="00435CBB"/>
    <w:rsid w:val="00436929"/>
    <w:rsid w:val="00436DD3"/>
    <w:rsid w:val="00437101"/>
    <w:rsid w:val="00440155"/>
    <w:rsid w:val="00440660"/>
    <w:rsid w:val="0044120A"/>
    <w:rsid w:val="00441696"/>
    <w:rsid w:val="00442916"/>
    <w:rsid w:val="00442C0B"/>
    <w:rsid w:val="00442CE2"/>
    <w:rsid w:val="00443884"/>
    <w:rsid w:val="00443889"/>
    <w:rsid w:val="00443E89"/>
    <w:rsid w:val="00444163"/>
    <w:rsid w:val="0044418C"/>
    <w:rsid w:val="00444637"/>
    <w:rsid w:val="00444765"/>
    <w:rsid w:val="00444B72"/>
    <w:rsid w:val="004451CC"/>
    <w:rsid w:val="0044587C"/>
    <w:rsid w:val="00445961"/>
    <w:rsid w:val="0044612A"/>
    <w:rsid w:val="00446347"/>
    <w:rsid w:val="00446523"/>
    <w:rsid w:val="00446B3C"/>
    <w:rsid w:val="00446E60"/>
    <w:rsid w:val="0044722E"/>
    <w:rsid w:val="004475D9"/>
    <w:rsid w:val="0044777A"/>
    <w:rsid w:val="00450201"/>
    <w:rsid w:val="00450205"/>
    <w:rsid w:val="00450372"/>
    <w:rsid w:val="004510FC"/>
    <w:rsid w:val="0045123D"/>
    <w:rsid w:val="004517B2"/>
    <w:rsid w:val="00451821"/>
    <w:rsid w:val="0045216A"/>
    <w:rsid w:val="004523C5"/>
    <w:rsid w:val="00452559"/>
    <w:rsid w:val="00452C39"/>
    <w:rsid w:val="0045312B"/>
    <w:rsid w:val="00453BD5"/>
    <w:rsid w:val="00453DA7"/>
    <w:rsid w:val="004546B0"/>
    <w:rsid w:val="004546DA"/>
    <w:rsid w:val="00455188"/>
    <w:rsid w:val="0045533B"/>
    <w:rsid w:val="00455482"/>
    <w:rsid w:val="004554B8"/>
    <w:rsid w:val="004554E1"/>
    <w:rsid w:val="0045599A"/>
    <w:rsid w:val="0045618E"/>
    <w:rsid w:val="004562EC"/>
    <w:rsid w:val="00456962"/>
    <w:rsid w:val="004569BC"/>
    <w:rsid w:val="00456C13"/>
    <w:rsid w:val="00456EAC"/>
    <w:rsid w:val="0045736C"/>
    <w:rsid w:val="00457634"/>
    <w:rsid w:val="00457B2F"/>
    <w:rsid w:val="00457B9B"/>
    <w:rsid w:val="00460017"/>
    <w:rsid w:val="004601F6"/>
    <w:rsid w:val="004603DB"/>
    <w:rsid w:val="004605FE"/>
    <w:rsid w:val="004607E3"/>
    <w:rsid w:val="00460BEA"/>
    <w:rsid w:val="0046105A"/>
    <w:rsid w:val="00461269"/>
    <w:rsid w:val="00461715"/>
    <w:rsid w:val="0046191F"/>
    <w:rsid w:val="00461C9F"/>
    <w:rsid w:val="00461DBB"/>
    <w:rsid w:val="00462A67"/>
    <w:rsid w:val="00462D94"/>
    <w:rsid w:val="0046322D"/>
    <w:rsid w:val="004639A6"/>
    <w:rsid w:val="00463F9D"/>
    <w:rsid w:val="00464435"/>
    <w:rsid w:val="004645D4"/>
    <w:rsid w:val="004646B3"/>
    <w:rsid w:val="00464B5A"/>
    <w:rsid w:val="004655D6"/>
    <w:rsid w:val="0046563B"/>
    <w:rsid w:val="0046580B"/>
    <w:rsid w:val="00465A39"/>
    <w:rsid w:val="00466062"/>
    <w:rsid w:val="004667AE"/>
    <w:rsid w:val="00467B6B"/>
    <w:rsid w:val="00470173"/>
    <w:rsid w:val="00470315"/>
    <w:rsid w:val="00470989"/>
    <w:rsid w:val="00470B73"/>
    <w:rsid w:val="00470E01"/>
    <w:rsid w:val="0047177C"/>
    <w:rsid w:val="00471C5A"/>
    <w:rsid w:val="00471DBF"/>
    <w:rsid w:val="0047256C"/>
    <w:rsid w:val="00472D88"/>
    <w:rsid w:val="00472E54"/>
    <w:rsid w:val="00472E84"/>
    <w:rsid w:val="00472FD7"/>
    <w:rsid w:val="0047348F"/>
    <w:rsid w:val="0047363C"/>
    <w:rsid w:val="004739F3"/>
    <w:rsid w:val="00474428"/>
    <w:rsid w:val="00474612"/>
    <w:rsid w:val="00474CB2"/>
    <w:rsid w:val="004753FF"/>
    <w:rsid w:val="0047644D"/>
    <w:rsid w:val="0047669D"/>
    <w:rsid w:val="0047708E"/>
    <w:rsid w:val="00477155"/>
    <w:rsid w:val="00477611"/>
    <w:rsid w:val="004779D8"/>
    <w:rsid w:val="004779F0"/>
    <w:rsid w:val="00477C88"/>
    <w:rsid w:val="00480052"/>
    <w:rsid w:val="004805A2"/>
    <w:rsid w:val="00480BE0"/>
    <w:rsid w:val="00480ECC"/>
    <w:rsid w:val="004813EF"/>
    <w:rsid w:val="004815EE"/>
    <w:rsid w:val="0048179E"/>
    <w:rsid w:val="00481824"/>
    <w:rsid w:val="00481B9A"/>
    <w:rsid w:val="0048228F"/>
    <w:rsid w:val="00482420"/>
    <w:rsid w:val="004824F6"/>
    <w:rsid w:val="00482668"/>
    <w:rsid w:val="004826B6"/>
    <w:rsid w:val="004826E0"/>
    <w:rsid w:val="00482A95"/>
    <w:rsid w:val="00482B7E"/>
    <w:rsid w:val="00482EE6"/>
    <w:rsid w:val="00482F82"/>
    <w:rsid w:val="004831AF"/>
    <w:rsid w:val="00483316"/>
    <w:rsid w:val="004834C6"/>
    <w:rsid w:val="004834EA"/>
    <w:rsid w:val="00483BE8"/>
    <w:rsid w:val="00483D2E"/>
    <w:rsid w:val="00483E30"/>
    <w:rsid w:val="00483E7F"/>
    <w:rsid w:val="00484063"/>
    <w:rsid w:val="00484B6C"/>
    <w:rsid w:val="00484D98"/>
    <w:rsid w:val="00485E92"/>
    <w:rsid w:val="00486190"/>
    <w:rsid w:val="004864FB"/>
    <w:rsid w:val="00486CE0"/>
    <w:rsid w:val="0048713B"/>
    <w:rsid w:val="00487C1E"/>
    <w:rsid w:val="004902AE"/>
    <w:rsid w:val="004904B4"/>
    <w:rsid w:val="0049077B"/>
    <w:rsid w:val="004909AC"/>
    <w:rsid w:val="00491285"/>
    <w:rsid w:val="004918D4"/>
    <w:rsid w:val="00491C9B"/>
    <w:rsid w:val="00491DFF"/>
    <w:rsid w:val="00492B9D"/>
    <w:rsid w:val="00492FDF"/>
    <w:rsid w:val="004931BE"/>
    <w:rsid w:val="004933E6"/>
    <w:rsid w:val="004937FA"/>
    <w:rsid w:val="004942D0"/>
    <w:rsid w:val="004942F1"/>
    <w:rsid w:val="00494B76"/>
    <w:rsid w:val="00494CE9"/>
    <w:rsid w:val="00494F11"/>
    <w:rsid w:val="004955A8"/>
    <w:rsid w:val="004955B3"/>
    <w:rsid w:val="0049596E"/>
    <w:rsid w:val="004961F0"/>
    <w:rsid w:val="00496250"/>
    <w:rsid w:val="00496259"/>
    <w:rsid w:val="00496885"/>
    <w:rsid w:val="00496C4C"/>
    <w:rsid w:val="004978C4"/>
    <w:rsid w:val="004A021D"/>
    <w:rsid w:val="004A054F"/>
    <w:rsid w:val="004A0769"/>
    <w:rsid w:val="004A136D"/>
    <w:rsid w:val="004A17FF"/>
    <w:rsid w:val="004A1C5F"/>
    <w:rsid w:val="004A1D54"/>
    <w:rsid w:val="004A1D55"/>
    <w:rsid w:val="004A20A5"/>
    <w:rsid w:val="004A20CF"/>
    <w:rsid w:val="004A20F2"/>
    <w:rsid w:val="004A24F0"/>
    <w:rsid w:val="004A25D1"/>
    <w:rsid w:val="004A2741"/>
    <w:rsid w:val="004A3171"/>
    <w:rsid w:val="004A36EE"/>
    <w:rsid w:val="004A3742"/>
    <w:rsid w:val="004A39FC"/>
    <w:rsid w:val="004A3C33"/>
    <w:rsid w:val="004A3E40"/>
    <w:rsid w:val="004A43B4"/>
    <w:rsid w:val="004A451F"/>
    <w:rsid w:val="004A4A67"/>
    <w:rsid w:val="004A512B"/>
    <w:rsid w:val="004A522E"/>
    <w:rsid w:val="004A566D"/>
    <w:rsid w:val="004A5A60"/>
    <w:rsid w:val="004A7119"/>
    <w:rsid w:val="004A71C9"/>
    <w:rsid w:val="004A7751"/>
    <w:rsid w:val="004A795D"/>
    <w:rsid w:val="004A7AC3"/>
    <w:rsid w:val="004A7D69"/>
    <w:rsid w:val="004A7F49"/>
    <w:rsid w:val="004B01FD"/>
    <w:rsid w:val="004B0B7F"/>
    <w:rsid w:val="004B1219"/>
    <w:rsid w:val="004B1484"/>
    <w:rsid w:val="004B2032"/>
    <w:rsid w:val="004B2622"/>
    <w:rsid w:val="004B30D2"/>
    <w:rsid w:val="004B36DC"/>
    <w:rsid w:val="004B3893"/>
    <w:rsid w:val="004B39E8"/>
    <w:rsid w:val="004B3D90"/>
    <w:rsid w:val="004B443C"/>
    <w:rsid w:val="004B4976"/>
    <w:rsid w:val="004B4A6D"/>
    <w:rsid w:val="004B5167"/>
    <w:rsid w:val="004B5D0E"/>
    <w:rsid w:val="004B6008"/>
    <w:rsid w:val="004B6ABC"/>
    <w:rsid w:val="004B6B3B"/>
    <w:rsid w:val="004B6B97"/>
    <w:rsid w:val="004B6ED3"/>
    <w:rsid w:val="004B6F57"/>
    <w:rsid w:val="004B70BF"/>
    <w:rsid w:val="004B7332"/>
    <w:rsid w:val="004B74C2"/>
    <w:rsid w:val="004B796E"/>
    <w:rsid w:val="004C032C"/>
    <w:rsid w:val="004C0B3D"/>
    <w:rsid w:val="004C1BDB"/>
    <w:rsid w:val="004C1EB1"/>
    <w:rsid w:val="004C1FB9"/>
    <w:rsid w:val="004C1FCE"/>
    <w:rsid w:val="004C1FD5"/>
    <w:rsid w:val="004C26FC"/>
    <w:rsid w:val="004C2AB8"/>
    <w:rsid w:val="004C2C24"/>
    <w:rsid w:val="004C2EA6"/>
    <w:rsid w:val="004C33A7"/>
    <w:rsid w:val="004C3486"/>
    <w:rsid w:val="004C3491"/>
    <w:rsid w:val="004C363E"/>
    <w:rsid w:val="004C3A18"/>
    <w:rsid w:val="004C3FDA"/>
    <w:rsid w:val="004C5104"/>
    <w:rsid w:val="004C580A"/>
    <w:rsid w:val="004C609D"/>
    <w:rsid w:val="004C68F5"/>
    <w:rsid w:val="004C69C6"/>
    <w:rsid w:val="004C6AF9"/>
    <w:rsid w:val="004C6B13"/>
    <w:rsid w:val="004C6DAD"/>
    <w:rsid w:val="004C7298"/>
    <w:rsid w:val="004C75F4"/>
    <w:rsid w:val="004C79FD"/>
    <w:rsid w:val="004C7F1E"/>
    <w:rsid w:val="004D01B5"/>
    <w:rsid w:val="004D0835"/>
    <w:rsid w:val="004D121B"/>
    <w:rsid w:val="004D1261"/>
    <w:rsid w:val="004D133B"/>
    <w:rsid w:val="004D1516"/>
    <w:rsid w:val="004D1A5E"/>
    <w:rsid w:val="004D1C4F"/>
    <w:rsid w:val="004D1E56"/>
    <w:rsid w:val="004D1F97"/>
    <w:rsid w:val="004D201F"/>
    <w:rsid w:val="004D2244"/>
    <w:rsid w:val="004D2682"/>
    <w:rsid w:val="004D2902"/>
    <w:rsid w:val="004D2F9C"/>
    <w:rsid w:val="004D34FA"/>
    <w:rsid w:val="004D35A3"/>
    <w:rsid w:val="004D3800"/>
    <w:rsid w:val="004D472C"/>
    <w:rsid w:val="004D4A2F"/>
    <w:rsid w:val="004D4D67"/>
    <w:rsid w:val="004D4E82"/>
    <w:rsid w:val="004D51B5"/>
    <w:rsid w:val="004D5336"/>
    <w:rsid w:val="004D57E8"/>
    <w:rsid w:val="004D5A8F"/>
    <w:rsid w:val="004D5E32"/>
    <w:rsid w:val="004D5EE1"/>
    <w:rsid w:val="004D6084"/>
    <w:rsid w:val="004D6453"/>
    <w:rsid w:val="004D668C"/>
    <w:rsid w:val="004D6A21"/>
    <w:rsid w:val="004D6C3C"/>
    <w:rsid w:val="004D6E01"/>
    <w:rsid w:val="004D7542"/>
    <w:rsid w:val="004D7B90"/>
    <w:rsid w:val="004D7D4C"/>
    <w:rsid w:val="004D7FD7"/>
    <w:rsid w:val="004E01E7"/>
    <w:rsid w:val="004E04BC"/>
    <w:rsid w:val="004E0599"/>
    <w:rsid w:val="004E0E02"/>
    <w:rsid w:val="004E13E9"/>
    <w:rsid w:val="004E150B"/>
    <w:rsid w:val="004E169D"/>
    <w:rsid w:val="004E183F"/>
    <w:rsid w:val="004E19B5"/>
    <w:rsid w:val="004E1EED"/>
    <w:rsid w:val="004E28ED"/>
    <w:rsid w:val="004E2C18"/>
    <w:rsid w:val="004E2D56"/>
    <w:rsid w:val="004E3295"/>
    <w:rsid w:val="004E33AE"/>
    <w:rsid w:val="004E3420"/>
    <w:rsid w:val="004E3861"/>
    <w:rsid w:val="004E3F49"/>
    <w:rsid w:val="004E454E"/>
    <w:rsid w:val="004E4BD6"/>
    <w:rsid w:val="004E5349"/>
    <w:rsid w:val="004E5398"/>
    <w:rsid w:val="004E552A"/>
    <w:rsid w:val="004E5645"/>
    <w:rsid w:val="004E5727"/>
    <w:rsid w:val="004E5847"/>
    <w:rsid w:val="004E5CBA"/>
    <w:rsid w:val="004E5E78"/>
    <w:rsid w:val="004E67D0"/>
    <w:rsid w:val="004E6916"/>
    <w:rsid w:val="004E6A0B"/>
    <w:rsid w:val="004E74BD"/>
    <w:rsid w:val="004E75D0"/>
    <w:rsid w:val="004E768B"/>
    <w:rsid w:val="004E7E4D"/>
    <w:rsid w:val="004F0B68"/>
    <w:rsid w:val="004F15CC"/>
    <w:rsid w:val="004F16CD"/>
    <w:rsid w:val="004F1752"/>
    <w:rsid w:val="004F183F"/>
    <w:rsid w:val="004F18E4"/>
    <w:rsid w:val="004F197D"/>
    <w:rsid w:val="004F1D19"/>
    <w:rsid w:val="004F1EC7"/>
    <w:rsid w:val="004F21CB"/>
    <w:rsid w:val="004F2E83"/>
    <w:rsid w:val="004F2FE0"/>
    <w:rsid w:val="004F3108"/>
    <w:rsid w:val="004F3824"/>
    <w:rsid w:val="004F3B17"/>
    <w:rsid w:val="004F3BEF"/>
    <w:rsid w:val="004F3CA1"/>
    <w:rsid w:val="004F40F1"/>
    <w:rsid w:val="004F4EFA"/>
    <w:rsid w:val="004F51C0"/>
    <w:rsid w:val="004F5CCB"/>
    <w:rsid w:val="004F5E85"/>
    <w:rsid w:val="004F68E2"/>
    <w:rsid w:val="004F6B2A"/>
    <w:rsid w:val="004F6E30"/>
    <w:rsid w:val="004F736A"/>
    <w:rsid w:val="004F759C"/>
    <w:rsid w:val="004F75C4"/>
    <w:rsid w:val="004F7B56"/>
    <w:rsid w:val="00500372"/>
    <w:rsid w:val="00500657"/>
    <w:rsid w:val="00500AD9"/>
    <w:rsid w:val="00500CEF"/>
    <w:rsid w:val="005018CA"/>
    <w:rsid w:val="00501AF1"/>
    <w:rsid w:val="005023AD"/>
    <w:rsid w:val="00502588"/>
    <w:rsid w:val="00502E0B"/>
    <w:rsid w:val="00502FC0"/>
    <w:rsid w:val="00503371"/>
    <w:rsid w:val="0050359B"/>
    <w:rsid w:val="0050376C"/>
    <w:rsid w:val="00503CF5"/>
    <w:rsid w:val="00504598"/>
    <w:rsid w:val="00504BFE"/>
    <w:rsid w:val="005055A7"/>
    <w:rsid w:val="00505735"/>
    <w:rsid w:val="0050604D"/>
    <w:rsid w:val="0050620C"/>
    <w:rsid w:val="005065B7"/>
    <w:rsid w:val="00506641"/>
    <w:rsid w:val="00506A9A"/>
    <w:rsid w:val="00506B6F"/>
    <w:rsid w:val="00506CCF"/>
    <w:rsid w:val="00506E54"/>
    <w:rsid w:val="005078ED"/>
    <w:rsid w:val="005079FA"/>
    <w:rsid w:val="00507D3A"/>
    <w:rsid w:val="00510175"/>
    <w:rsid w:val="005107EF"/>
    <w:rsid w:val="0051081C"/>
    <w:rsid w:val="00510B18"/>
    <w:rsid w:val="005116E1"/>
    <w:rsid w:val="005117B6"/>
    <w:rsid w:val="005117CD"/>
    <w:rsid w:val="0051187F"/>
    <w:rsid w:val="00511A62"/>
    <w:rsid w:val="00511B2D"/>
    <w:rsid w:val="00512185"/>
    <w:rsid w:val="00512238"/>
    <w:rsid w:val="0051251B"/>
    <w:rsid w:val="00512726"/>
    <w:rsid w:val="005127A8"/>
    <w:rsid w:val="00512BBE"/>
    <w:rsid w:val="00513A86"/>
    <w:rsid w:val="005147EF"/>
    <w:rsid w:val="0051595A"/>
    <w:rsid w:val="0051598B"/>
    <w:rsid w:val="00515E60"/>
    <w:rsid w:val="00517045"/>
    <w:rsid w:val="00517109"/>
    <w:rsid w:val="00517251"/>
    <w:rsid w:val="00517443"/>
    <w:rsid w:val="005176E3"/>
    <w:rsid w:val="0051780B"/>
    <w:rsid w:val="005179AD"/>
    <w:rsid w:val="00517AA2"/>
    <w:rsid w:val="00517E0B"/>
    <w:rsid w:val="0051B9B2"/>
    <w:rsid w:val="005200A9"/>
    <w:rsid w:val="0052082B"/>
    <w:rsid w:val="005209D1"/>
    <w:rsid w:val="00520E87"/>
    <w:rsid w:val="00520F67"/>
    <w:rsid w:val="00520F83"/>
    <w:rsid w:val="00521480"/>
    <w:rsid w:val="00521E44"/>
    <w:rsid w:val="005221B7"/>
    <w:rsid w:val="00522D23"/>
    <w:rsid w:val="00523248"/>
    <w:rsid w:val="00523C30"/>
    <w:rsid w:val="00523D35"/>
    <w:rsid w:val="005246B2"/>
    <w:rsid w:val="00524A1F"/>
    <w:rsid w:val="0052516C"/>
    <w:rsid w:val="005255CB"/>
    <w:rsid w:val="00525DCE"/>
    <w:rsid w:val="005265BB"/>
    <w:rsid w:val="005265FA"/>
    <w:rsid w:val="00526652"/>
    <w:rsid w:val="0052684C"/>
    <w:rsid w:val="005269C1"/>
    <w:rsid w:val="005269E6"/>
    <w:rsid w:val="00526F40"/>
    <w:rsid w:val="00527130"/>
    <w:rsid w:val="00527256"/>
    <w:rsid w:val="00527386"/>
    <w:rsid w:val="00527EA5"/>
    <w:rsid w:val="0053058B"/>
    <w:rsid w:val="00530D5E"/>
    <w:rsid w:val="00531255"/>
    <w:rsid w:val="00531EA5"/>
    <w:rsid w:val="00531EAE"/>
    <w:rsid w:val="00532432"/>
    <w:rsid w:val="0053280F"/>
    <w:rsid w:val="00532918"/>
    <w:rsid w:val="005329DD"/>
    <w:rsid w:val="0053312B"/>
    <w:rsid w:val="00533379"/>
    <w:rsid w:val="005339A4"/>
    <w:rsid w:val="00533D05"/>
    <w:rsid w:val="00534080"/>
    <w:rsid w:val="005344AD"/>
    <w:rsid w:val="00534F80"/>
    <w:rsid w:val="00535792"/>
    <w:rsid w:val="00535EF5"/>
    <w:rsid w:val="00535F13"/>
    <w:rsid w:val="005362B5"/>
    <w:rsid w:val="00536508"/>
    <w:rsid w:val="005366AC"/>
    <w:rsid w:val="005368F8"/>
    <w:rsid w:val="00537109"/>
    <w:rsid w:val="00537701"/>
    <w:rsid w:val="00537772"/>
    <w:rsid w:val="00537856"/>
    <w:rsid w:val="00537A87"/>
    <w:rsid w:val="00537AD7"/>
    <w:rsid w:val="0054002F"/>
    <w:rsid w:val="005401F9"/>
    <w:rsid w:val="00540920"/>
    <w:rsid w:val="00540A28"/>
    <w:rsid w:val="00540C8A"/>
    <w:rsid w:val="005410C7"/>
    <w:rsid w:val="00541211"/>
    <w:rsid w:val="005417A3"/>
    <w:rsid w:val="00541954"/>
    <w:rsid w:val="00541E6F"/>
    <w:rsid w:val="00541F35"/>
    <w:rsid w:val="00541FE6"/>
    <w:rsid w:val="0054244F"/>
    <w:rsid w:val="0054256A"/>
    <w:rsid w:val="0054284F"/>
    <w:rsid w:val="00542A80"/>
    <w:rsid w:val="00542E40"/>
    <w:rsid w:val="00542EE1"/>
    <w:rsid w:val="005431E5"/>
    <w:rsid w:val="005432FD"/>
    <w:rsid w:val="005435A6"/>
    <w:rsid w:val="005438BA"/>
    <w:rsid w:val="005438EE"/>
    <w:rsid w:val="00543A2C"/>
    <w:rsid w:val="00543E19"/>
    <w:rsid w:val="0054483A"/>
    <w:rsid w:val="00545518"/>
    <w:rsid w:val="005455E0"/>
    <w:rsid w:val="005456D4"/>
    <w:rsid w:val="00545992"/>
    <w:rsid w:val="00545A39"/>
    <w:rsid w:val="00545C05"/>
    <w:rsid w:val="00546310"/>
    <w:rsid w:val="00546DD2"/>
    <w:rsid w:val="00546F68"/>
    <w:rsid w:val="00546FEC"/>
    <w:rsid w:val="005472AA"/>
    <w:rsid w:val="00547FD4"/>
    <w:rsid w:val="00550C28"/>
    <w:rsid w:val="005516A0"/>
    <w:rsid w:val="0055191C"/>
    <w:rsid w:val="0055193B"/>
    <w:rsid w:val="00551E4A"/>
    <w:rsid w:val="005520D9"/>
    <w:rsid w:val="00552263"/>
    <w:rsid w:val="00552535"/>
    <w:rsid w:val="005525FA"/>
    <w:rsid w:val="00552A7A"/>
    <w:rsid w:val="005531F1"/>
    <w:rsid w:val="005543C4"/>
    <w:rsid w:val="005544F3"/>
    <w:rsid w:val="005549E4"/>
    <w:rsid w:val="00554EBC"/>
    <w:rsid w:val="00555115"/>
    <w:rsid w:val="0055527B"/>
    <w:rsid w:val="005554CE"/>
    <w:rsid w:val="00555AB6"/>
    <w:rsid w:val="00555CCE"/>
    <w:rsid w:val="00556729"/>
    <w:rsid w:val="00556BCC"/>
    <w:rsid w:val="005571BB"/>
    <w:rsid w:val="00557292"/>
    <w:rsid w:val="00560383"/>
    <w:rsid w:val="00560C8B"/>
    <w:rsid w:val="00560DBA"/>
    <w:rsid w:val="00561011"/>
    <w:rsid w:val="00561062"/>
    <w:rsid w:val="005614EB"/>
    <w:rsid w:val="00561F49"/>
    <w:rsid w:val="00561F9D"/>
    <w:rsid w:val="0056227B"/>
    <w:rsid w:val="005626DE"/>
    <w:rsid w:val="00562AD3"/>
    <w:rsid w:val="00562F6C"/>
    <w:rsid w:val="005632E8"/>
    <w:rsid w:val="0056357E"/>
    <w:rsid w:val="00563687"/>
    <w:rsid w:val="005641A6"/>
    <w:rsid w:val="005647A6"/>
    <w:rsid w:val="005648A7"/>
    <w:rsid w:val="00564BD5"/>
    <w:rsid w:val="00564D2C"/>
    <w:rsid w:val="0056545B"/>
    <w:rsid w:val="00565508"/>
    <w:rsid w:val="0056567B"/>
    <w:rsid w:val="00565C71"/>
    <w:rsid w:val="00565ED3"/>
    <w:rsid w:val="00566344"/>
    <w:rsid w:val="00566B94"/>
    <w:rsid w:val="0056764F"/>
    <w:rsid w:val="00570512"/>
    <w:rsid w:val="005708DB"/>
    <w:rsid w:val="0057099F"/>
    <w:rsid w:val="00570D69"/>
    <w:rsid w:val="005712E6"/>
    <w:rsid w:val="00571757"/>
    <w:rsid w:val="00571906"/>
    <w:rsid w:val="00571CAF"/>
    <w:rsid w:val="00572D1A"/>
    <w:rsid w:val="00573400"/>
    <w:rsid w:val="00573616"/>
    <w:rsid w:val="00573874"/>
    <w:rsid w:val="005738AE"/>
    <w:rsid w:val="00573A28"/>
    <w:rsid w:val="005740B0"/>
    <w:rsid w:val="005741B0"/>
    <w:rsid w:val="00574826"/>
    <w:rsid w:val="005749CB"/>
    <w:rsid w:val="00575640"/>
    <w:rsid w:val="0057588F"/>
    <w:rsid w:val="00575CDB"/>
    <w:rsid w:val="00576499"/>
    <w:rsid w:val="00576A4E"/>
    <w:rsid w:val="00576AE9"/>
    <w:rsid w:val="00576EBC"/>
    <w:rsid w:val="005770C2"/>
    <w:rsid w:val="00577626"/>
    <w:rsid w:val="0057798B"/>
    <w:rsid w:val="00577A9B"/>
    <w:rsid w:val="005805E3"/>
    <w:rsid w:val="0058119B"/>
    <w:rsid w:val="0058164A"/>
    <w:rsid w:val="005817FB"/>
    <w:rsid w:val="00581AD3"/>
    <w:rsid w:val="005822CE"/>
    <w:rsid w:val="005825D5"/>
    <w:rsid w:val="005826BA"/>
    <w:rsid w:val="0058277F"/>
    <w:rsid w:val="00582B51"/>
    <w:rsid w:val="00582D16"/>
    <w:rsid w:val="0058330F"/>
    <w:rsid w:val="00583713"/>
    <w:rsid w:val="00583753"/>
    <w:rsid w:val="00584412"/>
    <w:rsid w:val="00584440"/>
    <w:rsid w:val="0058457D"/>
    <w:rsid w:val="005846EC"/>
    <w:rsid w:val="00584E2A"/>
    <w:rsid w:val="005862A2"/>
    <w:rsid w:val="00586CE3"/>
    <w:rsid w:val="00587141"/>
    <w:rsid w:val="00587870"/>
    <w:rsid w:val="005878D5"/>
    <w:rsid w:val="00587B6D"/>
    <w:rsid w:val="00590577"/>
    <w:rsid w:val="005912E3"/>
    <w:rsid w:val="00591804"/>
    <w:rsid w:val="0059185A"/>
    <w:rsid w:val="00591AAD"/>
    <w:rsid w:val="00591F71"/>
    <w:rsid w:val="00592227"/>
    <w:rsid w:val="00592524"/>
    <w:rsid w:val="005935D7"/>
    <w:rsid w:val="005936AB"/>
    <w:rsid w:val="00593811"/>
    <w:rsid w:val="00593CA8"/>
    <w:rsid w:val="00594912"/>
    <w:rsid w:val="00595396"/>
    <w:rsid w:val="00595C47"/>
    <w:rsid w:val="00595D67"/>
    <w:rsid w:val="00595EE4"/>
    <w:rsid w:val="005964D6"/>
    <w:rsid w:val="00596D1D"/>
    <w:rsid w:val="00596DE6"/>
    <w:rsid w:val="00597149"/>
    <w:rsid w:val="005975B0"/>
    <w:rsid w:val="005977FD"/>
    <w:rsid w:val="00597A96"/>
    <w:rsid w:val="005A0036"/>
    <w:rsid w:val="005A02E0"/>
    <w:rsid w:val="005A07CD"/>
    <w:rsid w:val="005A07E2"/>
    <w:rsid w:val="005A09CD"/>
    <w:rsid w:val="005A1083"/>
    <w:rsid w:val="005A1715"/>
    <w:rsid w:val="005A1C24"/>
    <w:rsid w:val="005A20A6"/>
    <w:rsid w:val="005A2168"/>
    <w:rsid w:val="005A2572"/>
    <w:rsid w:val="005A29D6"/>
    <w:rsid w:val="005A2BB8"/>
    <w:rsid w:val="005A3196"/>
    <w:rsid w:val="005A3F2A"/>
    <w:rsid w:val="005A3F2C"/>
    <w:rsid w:val="005A4018"/>
    <w:rsid w:val="005A41A5"/>
    <w:rsid w:val="005A4526"/>
    <w:rsid w:val="005A476C"/>
    <w:rsid w:val="005A4C72"/>
    <w:rsid w:val="005A4D83"/>
    <w:rsid w:val="005A5460"/>
    <w:rsid w:val="005A58B0"/>
    <w:rsid w:val="005A60A6"/>
    <w:rsid w:val="005A645F"/>
    <w:rsid w:val="005A646E"/>
    <w:rsid w:val="005A6862"/>
    <w:rsid w:val="005A6A61"/>
    <w:rsid w:val="005A6FDD"/>
    <w:rsid w:val="005A72E2"/>
    <w:rsid w:val="005B0150"/>
    <w:rsid w:val="005B038A"/>
    <w:rsid w:val="005B15C5"/>
    <w:rsid w:val="005B1B5A"/>
    <w:rsid w:val="005B1DE5"/>
    <w:rsid w:val="005B2874"/>
    <w:rsid w:val="005B2F80"/>
    <w:rsid w:val="005B311A"/>
    <w:rsid w:val="005B3461"/>
    <w:rsid w:val="005B486E"/>
    <w:rsid w:val="005B490A"/>
    <w:rsid w:val="005B4E22"/>
    <w:rsid w:val="005B5614"/>
    <w:rsid w:val="005B5C16"/>
    <w:rsid w:val="005B61B0"/>
    <w:rsid w:val="005B6233"/>
    <w:rsid w:val="005B65A1"/>
    <w:rsid w:val="005B6732"/>
    <w:rsid w:val="005B6B4E"/>
    <w:rsid w:val="005B7409"/>
    <w:rsid w:val="005B7996"/>
    <w:rsid w:val="005B7A01"/>
    <w:rsid w:val="005B7A0B"/>
    <w:rsid w:val="005B7A49"/>
    <w:rsid w:val="005B7B74"/>
    <w:rsid w:val="005B7C9C"/>
    <w:rsid w:val="005B7DAB"/>
    <w:rsid w:val="005B7FE0"/>
    <w:rsid w:val="005C0363"/>
    <w:rsid w:val="005C04F5"/>
    <w:rsid w:val="005C050A"/>
    <w:rsid w:val="005C08D8"/>
    <w:rsid w:val="005C0D34"/>
    <w:rsid w:val="005C0EBF"/>
    <w:rsid w:val="005C0EC6"/>
    <w:rsid w:val="005C0F0B"/>
    <w:rsid w:val="005C1D88"/>
    <w:rsid w:val="005C2288"/>
    <w:rsid w:val="005C2334"/>
    <w:rsid w:val="005C2354"/>
    <w:rsid w:val="005C2489"/>
    <w:rsid w:val="005C250D"/>
    <w:rsid w:val="005C2D16"/>
    <w:rsid w:val="005C2DA3"/>
    <w:rsid w:val="005C4171"/>
    <w:rsid w:val="005C4310"/>
    <w:rsid w:val="005C4556"/>
    <w:rsid w:val="005C51C3"/>
    <w:rsid w:val="005C5250"/>
    <w:rsid w:val="005C53D4"/>
    <w:rsid w:val="005C56DB"/>
    <w:rsid w:val="005C5711"/>
    <w:rsid w:val="005C5B70"/>
    <w:rsid w:val="005C5B71"/>
    <w:rsid w:val="005C647A"/>
    <w:rsid w:val="005C66ED"/>
    <w:rsid w:val="005C6A7B"/>
    <w:rsid w:val="005C6AB8"/>
    <w:rsid w:val="005C6ADA"/>
    <w:rsid w:val="005C7C0D"/>
    <w:rsid w:val="005D0054"/>
    <w:rsid w:val="005D0613"/>
    <w:rsid w:val="005D0D32"/>
    <w:rsid w:val="005D0DEB"/>
    <w:rsid w:val="005D0FD5"/>
    <w:rsid w:val="005D13C4"/>
    <w:rsid w:val="005D167A"/>
    <w:rsid w:val="005D1B43"/>
    <w:rsid w:val="005D200C"/>
    <w:rsid w:val="005D21AB"/>
    <w:rsid w:val="005D2514"/>
    <w:rsid w:val="005D2695"/>
    <w:rsid w:val="005D2BEE"/>
    <w:rsid w:val="005D2D44"/>
    <w:rsid w:val="005D36A0"/>
    <w:rsid w:val="005D3965"/>
    <w:rsid w:val="005D409A"/>
    <w:rsid w:val="005D41CF"/>
    <w:rsid w:val="005D44FD"/>
    <w:rsid w:val="005D5F95"/>
    <w:rsid w:val="005D60A2"/>
    <w:rsid w:val="005D630E"/>
    <w:rsid w:val="005D6390"/>
    <w:rsid w:val="005D66F5"/>
    <w:rsid w:val="005D69F9"/>
    <w:rsid w:val="005D6C3A"/>
    <w:rsid w:val="005D7DD3"/>
    <w:rsid w:val="005DC346"/>
    <w:rsid w:val="005E004A"/>
    <w:rsid w:val="005E06BB"/>
    <w:rsid w:val="005E112D"/>
    <w:rsid w:val="005E131E"/>
    <w:rsid w:val="005E15B7"/>
    <w:rsid w:val="005E1685"/>
    <w:rsid w:val="005E1704"/>
    <w:rsid w:val="005E2058"/>
    <w:rsid w:val="005E2094"/>
    <w:rsid w:val="005E22E1"/>
    <w:rsid w:val="005E2606"/>
    <w:rsid w:val="005E27F6"/>
    <w:rsid w:val="005E2DF0"/>
    <w:rsid w:val="005E323E"/>
    <w:rsid w:val="005E32C5"/>
    <w:rsid w:val="005E377A"/>
    <w:rsid w:val="005E3C59"/>
    <w:rsid w:val="005E45B6"/>
    <w:rsid w:val="005E475C"/>
    <w:rsid w:val="005E4F59"/>
    <w:rsid w:val="005E5076"/>
    <w:rsid w:val="005E582F"/>
    <w:rsid w:val="005E5931"/>
    <w:rsid w:val="005E5F13"/>
    <w:rsid w:val="005E608F"/>
    <w:rsid w:val="005E6289"/>
    <w:rsid w:val="005E6862"/>
    <w:rsid w:val="005E7596"/>
    <w:rsid w:val="005E7C16"/>
    <w:rsid w:val="005E7FEE"/>
    <w:rsid w:val="005F01DF"/>
    <w:rsid w:val="005F0FAE"/>
    <w:rsid w:val="005F1627"/>
    <w:rsid w:val="005F1685"/>
    <w:rsid w:val="005F1828"/>
    <w:rsid w:val="005F1A18"/>
    <w:rsid w:val="005F1D1A"/>
    <w:rsid w:val="005F1DC4"/>
    <w:rsid w:val="005F2064"/>
    <w:rsid w:val="005F20DE"/>
    <w:rsid w:val="005F240C"/>
    <w:rsid w:val="005F2AD8"/>
    <w:rsid w:val="005F2B7F"/>
    <w:rsid w:val="005F2C8B"/>
    <w:rsid w:val="005F3C42"/>
    <w:rsid w:val="005F3FCA"/>
    <w:rsid w:val="005F427C"/>
    <w:rsid w:val="005F456A"/>
    <w:rsid w:val="005F4D48"/>
    <w:rsid w:val="005F4F9B"/>
    <w:rsid w:val="005F50B8"/>
    <w:rsid w:val="005F522E"/>
    <w:rsid w:val="005F527D"/>
    <w:rsid w:val="005F592F"/>
    <w:rsid w:val="005F61BE"/>
    <w:rsid w:val="005F62FA"/>
    <w:rsid w:val="005F6403"/>
    <w:rsid w:val="005F6484"/>
    <w:rsid w:val="005F6D3D"/>
    <w:rsid w:val="005F74D6"/>
    <w:rsid w:val="005F7712"/>
    <w:rsid w:val="005F7941"/>
    <w:rsid w:val="005F7AA9"/>
    <w:rsid w:val="005F7D56"/>
    <w:rsid w:val="006002F0"/>
    <w:rsid w:val="00600829"/>
    <w:rsid w:val="00601006"/>
    <w:rsid w:val="0060142E"/>
    <w:rsid w:val="006014BC"/>
    <w:rsid w:val="00601823"/>
    <w:rsid w:val="00601C6B"/>
    <w:rsid w:val="006021E0"/>
    <w:rsid w:val="0060229F"/>
    <w:rsid w:val="00602845"/>
    <w:rsid w:val="00602905"/>
    <w:rsid w:val="00602D88"/>
    <w:rsid w:val="006033BF"/>
    <w:rsid w:val="00604419"/>
    <w:rsid w:val="006049A7"/>
    <w:rsid w:val="00604C06"/>
    <w:rsid w:val="00604DCB"/>
    <w:rsid w:val="006051FF"/>
    <w:rsid w:val="00605CFD"/>
    <w:rsid w:val="006061C4"/>
    <w:rsid w:val="006064D1"/>
    <w:rsid w:val="00606F39"/>
    <w:rsid w:val="00607BDA"/>
    <w:rsid w:val="00607DB4"/>
    <w:rsid w:val="00607EF9"/>
    <w:rsid w:val="006101DF"/>
    <w:rsid w:val="0061061A"/>
    <w:rsid w:val="0061095E"/>
    <w:rsid w:val="00610D00"/>
    <w:rsid w:val="00610DD3"/>
    <w:rsid w:val="00610F76"/>
    <w:rsid w:val="00611690"/>
    <w:rsid w:val="006118B5"/>
    <w:rsid w:val="00611A82"/>
    <w:rsid w:val="00611D07"/>
    <w:rsid w:val="00611DA1"/>
    <w:rsid w:val="006129DF"/>
    <w:rsid w:val="006131A3"/>
    <w:rsid w:val="00613525"/>
    <w:rsid w:val="00613759"/>
    <w:rsid w:val="00613B5E"/>
    <w:rsid w:val="00614847"/>
    <w:rsid w:val="00614D2C"/>
    <w:rsid w:val="006151EE"/>
    <w:rsid w:val="00615713"/>
    <w:rsid w:val="00615910"/>
    <w:rsid w:val="00615A66"/>
    <w:rsid w:val="00615B29"/>
    <w:rsid w:val="00615CFD"/>
    <w:rsid w:val="00615D88"/>
    <w:rsid w:val="0061679D"/>
    <w:rsid w:val="006168C5"/>
    <w:rsid w:val="00616D68"/>
    <w:rsid w:val="00617481"/>
    <w:rsid w:val="0061749C"/>
    <w:rsid w:val="00617617"/>
    <w:rsid w:val="006176E5"/>
    <w:rsid w:val="00617D96"/>
    <w:rsid w:val="00620C99"/>
    <w:rsid w:val="00620F1E"/>
    <w:rsid w:val="00621492"/>
    <w:rsid w:val="006214FF"/>
    <w:rsid w:val="006215F5"/>
    <w:rsid w:val="00621A82"/>
    <w:rsid w:val="00621C97"/>
    <w:rsid w:val="0062262E"/>
    <w:rsid w:val="00622A35"/>
    <w:rsid w:val="00623679"/>
    <w:rsid w:val="0062378F"/>
    <w:rsid w:val="00624997"/>
    <w:rsid w:val="00624DF7"/>
    <w:rsid w:val="006251CF"/>
    <w:rsid w:val="0062541E"/>
    <w:rsid w:val="0062549C"/>
    <w:rsid w:val="00625728"/>
    <w:rsid w:val="00625A4D"/>
    <w:rsid w:val="00625E40"/>
    <w:rsid w:val="00625FED"/>
    <w:rsid w:val="0062617D"/>
    <w:rsid w:val="00626A6E"/>
    <w:rsid w:val="00626BAA"/>
    <w:rsid w:val="00626CCB"/>
    <w:rsid w:val="006270B5"/>
    <w:rsid w:val="00627298"/>
    <w:rsid w:val="0062781D"/>
    <w:rsid w:val="0062785B"/>
    <w:rsid w:val="00627996"/>
    <w:rsid w:val="006279F0"/>
    <w:rsid w:val="00630720"/>
    <w:rsid w:val="00630AC5"/>
    <w:rsid w:val="00631119"/>
    <w:rsid w:val="0063113A"/>
    <w:rsid w:val="00631E3F"/>
    <w:rsid w:val="00631F2E"/>
    <w:rsid w:val="00632010"/>
    <w:rsid w:val="006328FC"/>
    <w:rsid w:val="00632BC6"/>
    <w:rsid w:val="00632E02"/>
    <w:rsid w:val="00633017"/>
    <w:rsid w:val="006333A5"/>
    <w:rsid w:val="00633494"/>
    <w:rsid w:val="0063360E"/>
    <w:rsid w:val="00633C5E"/>
    <w:rsid w:val="00633DFF"/>
    <w:rsid w:val="00633EA6"/>
    <w:rsid w:val="00633F04"/>
    <w:rsid w:val="0063412F"/>
    <w:rsid w:val="00634158"/>
    <w:rsid w:val="0063427B"/>
    <w:rsid w:val="00634684"/>
    <w:rsid w:val="00634845"/>
    <w:rsid w:val="00635743"/>
    <w:rsid w:val="00635DDD"/>
    <w:rsid w:val="006363B8"/>
    <w:rsid w:val="0063698B"/>
    <w:rsid w:val="00636B65"/>
    <w:rsid w:val="00636BBF"/>
    <w:rsid w:val="0063706A"/>
    <w:rsid w:val="0063716E"/>
    <w:rsid w:val="00637D1E"/>
    <w:rsid w:val="006409AB"/>
    <w:rsid w:val="00640A3F"/>
    <w:rsid w:val="00640CEE"/>
    <w:rsid w:val="00640D68"/>
    <w:rsid w:val="006410DE"/>
    <w:rsid w:val="006416E7"/>
    <w:rsid w:val="00641FDF"/>
    <w:rsid w:val="00642369"/>
    <w:rsid w:val="00642A4E"/>
    <w:rsid w:val="00642CCF"/>
    <w:rsid w:val="00643354"/>
    <w:rsid w:val="0064397D"/>
    <w:rsid w:val="006439F7"/>
    <w:rsid w:val="00643A14"/>
    <w:rsid w:val="00643F58"/>
    <w:rsid w:val="00644581"/>
    <w:rsid w:val="00644F07"/>
    <w:rsid w:val="006459B9"/>
    <w:rsid w:val="0064665A"/>
    <w:rsid w:val="00646A0D"/>
    <w:rsid w:val="006477B9"/>
    <w:rsid w:val="00647A1A"/>
    <w:rsid w:val="00647F24"/>
    <w:rsid w:val="00650218"/>
    <w:rsid w:val="0065025D"/>
    <w:rsid w:val="0065035F"/>
    <w:rsid w:val="006504C8"/>
    <w:rsid w:val="006508DE"/>
    <w:rsid w:val="00651AC1"/>
    <w:rsid w:val="00651DA6"/>
    <w:rsid w:val="0065230B"/>
    <w:rsid w:val="0065271E"/>
    <w:rsid w:val="0065295C"/>
    <w:rsid w:val="00652EA4"/>
    <w:rsid w:val="00652EEC"/>
    <w:rsid w:val="00653431"/>
    <w:rsid w:val="0065380B"/>
    <w:rsid w:val="00653CAE"/>
    <w:rsid w:val="00653F0F"/>
    <w:rsid w:val="00654242"/>
    <w:rsid w:val="00654482"/>
    <w:rsid w:val="006546D7"/>
    <w:rsid w:val="00654A4D"/>
    <w:rsid w:val="00654D86"/>
    <w:rsid w:val="00655246"/>
    <w:rsid w:val="0065591B"/>
    <w:rsid w:val="00655E21"/>
    <w:rsid w:val="006560AD"/>
    <w:rsid w:val="006564E2"/>
    <w:rsid w:val="0065653A"/>
    <w:rsid w:val="00656D4C"/>
    <w:rsid w:val="0065703F"/>
    <w:rsid w:val="006572F8"/>
    <w:rsid w:val="00657828"/>
    <w:rsid w:val="00660438"/>
    <w:rsid w:val="0066203F"/>
    <w:rsid w:val="00662B10"/>
    <w:rsid w:val="00662DF9"/>
    <w:rsid w:val="0066363C"/>
    <w:rsid w:val="006636C2"/>
    <w:rsid w:val="0066413D"/>
    <w:rsid w:val="00664317"/>
    <w:rsid w:val="00664BE4"/>
    <w:rsid w:val="00665010"/>
    <w:rsid w:val="006655A6"/>
    <w:rsid w:val="00665A47"/>
    <w:rsid w:val="0066663F"/>
    <w:rsid w:val="006669F9"/>
    <w:rsid w:val="00666ED5"/>
    <w:rsid w:val="00666F8A"/>
    <w:rsid w:val="0066744A"/>
    <w:rsid w:val="006676AB"/>
    <w:rsid w:val="006702CB"/>
    <w:rsid w:val="00670372"/>
    <w:rsid w:val="006704CD"/>
    <w:rsid w:val="00670816"/>
    <w:rsid w:val="00670B70"/>
    <w:rsid w:val="00670BBC"/>
    <w:rsid w:val="00670CC4"/>
    <w:rsid w:val="00670DAF"/>
    <w:rsid w:val="006710B5"/>
    <w:rsid w:val="0067196B"/>
    <w:rsid w:val="006728BD"/>
    <w:rsid w:val="00672A5A"/>
    <w:rsid w:val="00672C1F"/>
    <w:rsid w:val="0067324B"/>
    <w:rsid w:val="00673698"/>
    <w:rsid w:val="00673AB8"/>
    <w:rsid w:val="00673B92"/>
    <w:rsid w:val="00673D48"/>
    <w:rsid w:val="00674332"/>
    <w:rsid w:val="00674873"/>
    <w:rsid w:val="00674B7B"/>
    <w:rsid w:val="006750A3"/>
    <w:rsid w:val="006757D5"/>
    <w:rsid w:val="00676212"/>
    <w:rsid w:val="006771AB"/>
    <w:rsid w:val="006776B3"/>
    <w:rsid w:val="00681632"/>
    <w:rsid w:val="006818B4"/>
    <w:rsid w:val="00681BBB"/>
    <w:rsid w:val="00681EE8"/>
    <w:rsid w:val="00682358"/>
    <w:rsid w:val="00682922"/>
    <w:rsid w:val="00682BA1"/>
    <w:rsid w:val="0068307E"/>
    <w:rsid w:val="00683363"/>
    <w:rsid w:val="00683376"/>
    <w:rsid w:val="00683444"/>
    <w:rsid w:val="00683BB9"/>
    <w:rsid w:val="00683BF1"/>
    <w:rsid w:val="00684542"/>
    <w:rsid w:val="00684D96"/>
    <w:rsid w:val="0068520A"/>
    <w:rsid w:val="0068539B"/>
    <w:rsid w:val="00685874"/>
    <w:rsid w:val="00685BC9"/>
    <w:rsid w:val="00685BE4"/>
    <w:rsid w:val="00685C82"/>
    <w:rsid w:val="006864F0"/>
    <w:rsid w:val="006865EF"/>
    <w:rsid w:val="00686A5F"/>
    <w:rsid w:val="00686C31"/>
    <w:rsid w:val="00686C75"/>
    <w:rsid w:val="00686CD1"/>
    <w:rsid w:val="00686F2B"/>
    <w:rsid w:val="0068769A"/>
    <w:rsid w:val="006876C5"/>
    <w:rsid w:val="006876E1"/>
    <w:rsid w:val="00687B4D"/>
    <w:rsid w:val="00690115"/>
    <w:rsid w:val="00690126"/>
    <w:rsid w:val="0069075B"/>
    <w:rsid w:val="00690E50"/>
    <w:rsid w:val="00690E94"/>
    <w:rsid w:val="00690F5C"/>
    <w:rsid w:val="006910B9"/>
    <w:rsid w:val="00691294"/>
    <w:rsid w:val="0069147A"/>
    <w:rsid w:val="00691840"/>
    <w:rsid w:val="00691C1E"/>
    <w:rsid w:val="006920EC"/>
    <w:rsid w:val="0069238D"/>
    <w:rsid w:val="00692435"/>
    <w:rsid w:val="00692A75"/>
    <w:rsid w:val="00692ADC"/>
    <w:rsid w:val="00692B87"/>
    <w:rsid w:val="00692BE2"/>
    <w:rsid w:val="00693458"/>
    <w:rsid w:val="00693ACA"/>
    <w:rsid w:val="00693FCF"/>
    <w:rsid w:val="006947BB"/>
    <w:rsid w:val="00694D4B"/>
    <w:rsid w:val="00694E7D"/>
    <w:rsid w:val="00695153"/>
    <w:rsid w:val="00695BE3"/>
    <w:rsid w:val="00695E5B"/>
    <w:rsid w:val="0069619F"/>
    <w:rsid w:val="00696DE9"/>
    <w:rsid w:val="00696E10"/>
    <w:rsid w:val="00696FD1"/>
    <w:rsid w:val="00697225"/>
    <w:rsid w:val="00697C18"/>
    <w:rsid w:val="00697DA2"/>
    <w:rsid w:val="006A0793"/>
    <w:rsid w:val="006A07D9"/>
    <w:rsid w:val="006A0ABB"/>
    <w:rsid w:val="006A0DAC"/>
    <w:rsid w:val="006A1074"/>
    <w:rsid w:val="006A1739"/>
    <w:rsid w:val="006A1926"/>
    <w:rsid w:val="006A1AFC"/>
    <w:rsid w:val="006A2444"/>
    <w:rsid w:val="006A24C3"/>
    <w:rsid w:val="006A25FD"/>
    <w:rsid w:val="006A2C9F"/>
    <w:rsid w:val="006A2DBC"/>
    <w:rsid w:val="006A2DE2"/>
    <w:rsid w:val="006A3036"/>
    <w:rsid w:val="006A37BF"/>
    <w:rsid w:val="006A3D08"/>
    <w:rsid w:val="006A3D4D"/>
    <w:rsid w:val="006A3FAD"/>
    <w:rsid w:val="006A486B"/>
    <w:rsid w:val="006A52D0"/>
    <w:rsid w:val="006A5FCC"/>
    <w:rsid w:val="006A6104"/>
    <w:rsid w:val="006A68AC"/>
    <w:rsid w:val="006A6A27"/>
    <w:rsid w:val="006A6B50"/>
    <w:rsid w:val="006A7376"/>
    <w:rsid w:val="006A7DAD"/>
    <w:rsid w:val="006B02E6"/>
    <w:rsid w:val="006B0835"/>
    <w:rsid w:val="006B11F9"/>
    <w:rsid w:val="006B1260"/>
    <w:rsid w:val="006B1720"/>
    <w:rsid w:val="006B1AC7"/>
    <w:rsid w:val="006B1C80"/>
    <w:rsid w:val="006B2532"/>
    <w:rsid w:val="006B253D"/>
    <w:rsid w:val="006B271A"/>
    <w:rsid w:val="006B2D3E"/>
    <w:rsid w:val="006B3EAA"/>
    <w:rsid w:val="006B4702"/>
    <w:rsid w:val="006B470D"/>
    <w:rsid w:val="006B55CA"/>
    <w:rsid w:val="006B5764"/>
    <w:rsid w:val="006B5A01"/>
    <w:rsid w:val="006B5A7C"/>
    <w:rsid w:val="006B5D7B"/>
    <w:rsid w:val="006B5FAA"/>
    <w:rsid w:val="006B67DF"/>
    <w:rsid w:val="006B7549"/>
    <w:rsid w:val="006B75A9"/>
    <w:rsid w:val="006C004F"/>
    <w:rsid w:val="006C0576"/>
    <w:rsid w:val="006C09D5"/>
    <w:rsid w:val="006C2AEC"/>
    <w:rsid w:val="006C2C8B"/>
    <w:rsid w:val="006C337E"/>
    <w:rsid w:val="006C3416"/>
    <w:rsid w:val="006C3822"/>
    <w:rsid w:val="006C3BCD"/>
    <w:rsid w:val="006C3FC5"/>
    <w:rsid w:val="006C3FD5"/>
    <w:rsid w:val="006C4402"/>
    <w:rsid w:val="006C48CD"/>
    <w:rsid w:val="006C4EA5"/>
    <w:rsid w:val="006C4EF2"/>
    <w:rsid w:val="006C4F1E"/>
    <w:rsid w:val="006C56E2"/>
    <w:rsid w:val="006C57BF"/>
    <w:rsid w:val="006C5FA9"/>
    <w:rsid w:val="006C617F"/>
    <w:rsid w:val="006C67D6"/>
    <w:rsid w:val="006C68DD"/>
    <w:rsid w:val="006C7842"/>
    <w:rsid w:val="006C78CA"/>
    <w:rsid w:val="006D0B2A"/>
    <w:rsid w:val="006D0D8F"/>
    <w:rsid w:val="006D0E08"/>
    <w:rsid w:val="006D0E72"/>
    <w:rsid w:val="006D23A1"/>
    <w:rsid w:val="006D26F3"/>
    <w:rsid w:val="006D2776"/>
    <w:rsid w:val="006D2AF6"/>
    <w:rsid w:val="006D2BF9"/>
    <w:rsid w:val="006D2DF9"/>
    <w:rsid w:val="006D3374"/>
    <w:rsid w:val="006D38D6"/>
    <w:rsid w:val="006D3C5D"/>
    <w:rsid w:val="006D3F03"/>
    <w:rsid w:val="006D44A9"/>
    <w:rsid w:val="006D45E9"/>
    <w:rsid w:val="006D46F5"/>
    <w:rsid w:val="006D4828"/>
    <w:rsid w:val="006D507C"/>
    <w:rsid w:val="006D50D2"/>
    <w:rsid w:val="006D58E7"/>
    <w:rsid w:val="006D595D"/>
    <w:rsid w:val="006D5A1D"/>
    <w:rsid w:val="006D5A7F"/>
    <w:rsid w:val="006D5CC7"/>
    <w:rsid w:val="006D67EA"/>
    <w:rsid w:val="006D70D8"/>
    <w:rsid w:val="006D7186"/>
    <w:rsid w:val="006D7267"/>
    <w:rsid w:val="006D73F8"/>
    <w:rsid w:val="006D775F"/>
    <w:rsid w:val="006D7A35"/>
    <w:rsid w:val="006D7F32"/>
    <w:rsid w:val="006D7FB6"/>
    <w:rsid w:val="006E0028"/>
    <w:rsid w:val="006E0BEE"/>
    <w:rsid w:val="006E0D9A"/>
    <w:rsid w:val="006E1244"/>
    <w:rsid w:val="006E1394"/>
    <w:rsid w:val="006E18D9"/>
    <w:rsid w:val="006E18FD"/>
    <w:rsid w:val="006E1A83"/>
    <w:rsid w:val="006E1EB0"/>
    <w:rsid w:val="006E22C1"/>
    <w:rsid w:val="006E2EEA"/>
    <w:rsid w:val="006E37CA"/>
    <w:rsid w:val="006E3BA2"/>
    <w:rsid w:val="006E46C1"/>
    <w:rsid w:val="006E483F"/>
    <w:rsid w:val="006E4BAA"/>
    <w:rsid w:val="006E5215"/>
    <w:rsid w:val="006E5541"/>
    <w:rsid w:val="006E590B"/>
    <w:rsid w:val="006E5AD8"/>
    <w:rsid w:val="006E5B26"/>
    <w:rsid w:val="006E5EB5"/>
    <w:rsid w:val="006E64F6"/>
    <w:rsid w:val="006E6661"/>
    <w:rsid w:val="006E6A08"/>
    <w:rsid w:val="006E6A1F"/>
    <w:rsid w:val="006E6B8E"/>
    <w:rsid w:val="006E6D92"/>
    <w:rsid w:val="006E70AA"/>
    <w:rsid w:val="006E7353"/>
    <w:rsid w:val="006E7438"/>
    <w:rsid w:val="006E7797"/>
    <w:rsid w:val="006E78EF"/>
    <w:rsid w:val="006E79AB"/>
    <w:rsid w:val="006E7ACB"/>
    <w:rsid w:val="006E7AD3"/>
    <w:rsid w:val="006E7DC3"/>
    <w:rsid w:val="006F000E"/>
    <w:rsid w:val="006F0092"/>
    <w:rsid w:val="006F034A"/>
    <w:rsid w:val="006F0465"/>
    <w:rsid w:val="006F051A"/>
    <w:rsid w:val="006F07F8"/>
    <w:rsid w:val="006F092A"/>
    <w:rsid w:val="006F13B2"/>
    <w:rsid w:val="006F1A29"/>
    <w:rsid w:val="006F1D65"/>
    <w:rsid w:val="006F1E5D"/>
    <w:rsid w:val="006F20B6"/>
    <w:rsid w:val="006F2387"/>
    <w:rsid w:val="006F272E"/>
    <w:rsid w:val="006F2AB8"/>
    <w:rsid w:val="006F2CA6"/>
    <w:rsid w:val="006F2F60"/>
    <w:rsid w:val="006F2FC3"/>
    <w:rsid w:val="006F3577"/>
    <w:rsid w:val="006F3F91"/>
    <w:rsid w:val="006F419C"/>
    <w:rsid w:val="006F4491"/>
    <w:rsid w:val="006F4872"/>
    <w:rsid w:val="006F4C34"/>
    <w:rsid w:val="006F5E15"/>
    <w:rsid w:val="006F628E"/>
    <w:rsid w:val="006F6540"/>
    <w:rsid w:val="006F667F"/>
    <w:rsid w:val="006F66A8"/>
    <w:rsid w:val="006F66B9"/>
    <w:rsid w:val="006F698F"/>
    <w:rsid w:val="006F6D1B"/>
    <w:rsid w:val="006F6D3A"/>
    <w:rsid w:val="006F7450"/>
    <w:rsid w:val="007009D8"/>
    <w:rsid w:val="00701416"/>
    <w:rsid w:val="00701857"/>
    <w:rsid w:val="0070185A"/>
    <w:rsid w:val="00702015"/>
    <w:rsid w:val="007024E8"/>
    <w:rsid w:val="00702D6E"/>
    <w:rsid w:val="00703991"/>
    <w:rsid w:val="00703F1E"/>
    <w:rsid w:val="0070458D"/>
    <w:rsid w:val="00704764"/>
    <w:rsid w:val="007048B0"/>
    <w:rsid w:val="00704A1A"/>
    <w:rsid w:val="00704AB3"/>
    <w:rsid w:val="007050D9"/>
    <w:rsid w:val="00705390"/>
    <w:rsid w:val="00705C5C"/>
    <w:rsid w:val="0070613C"/>
    <w:rsid w:val="00706203"/>
    <w:rsid w:val="0070638D"/>
    <w:rsid w:val="007064CF"/>
    <w:rsid w:val="00706851"/>
    <w:rsid w:val="00706C7B"/>
    <w:rsid w:val="00706D02"/>
    <w:rsid w:val="00707053"/>
    <w:rsid w:val="007074A9"/>
    <w:rsid w:val="00707757"/>
    <w:rsid w:val="0071065A"/>
    <w:rsid w:val="00710E32"/>
    <w:rsid w:val="00710E75"/>
    <w:rsid w:val="00711039"/>
    <w:rsid w:val="007113BB"/>
    <w:rsid w:val="00711459"/>
    <w:rsid w:val="0071165D"/>
    <w:rsid w:val="00711B62"/>
    <w:rsid w:val="0071202C"/>
    <w:rsid w:val="007121E1"/>
    <w:rsid w:val="007121E6"/>
    <w:rsid w:val="007123F1"/>
    <w:rsid w:val="00712B78"/>
    <w:rsid w:val="00712BAB"/>
    <w:rsid w:val="00712FD2"/>
    <w:rsid w:val="0071342E"/>
    <w:rsid w:val="007135D8"/>
    <w:rsid w:val="00713F32"/>
    <w:rsid w:val="00714572"/>
    <w:rsid w:val="007153D5"/>
    <w:rsid w:val="0071561B"/>
    <w:rsid w:val="0071562A"/>
    <w:rsid w:val="007159FF"/>
    <w:rsid w:val="00715AEF"/>
    <w:rsid w:val="007166C4"/>
    <w:rsid w:val="007170EA"/>
    <w:rsid w:val="007172C4"/>
    <w:rsid w:val="00717B13"/>
    <w:rsid w:val="00717D4B"/>
    <w:rsid w:val="0072045C"/>
    <w:rsid w:val="00720551"/>
    <w:rsid w:val="00720672"/>
    <w:rsid w:val="0072071B"/>
    <w:rsid w:val="00720871"/>
    <w:rsid w:val="00720E60"/>
    <w:rsid w:val="00720EBE"/>
    <w:rsid w:val="007214F4"/>
    <w:rsid w:val="007217D7"/>
    <w:rsid w:val="00721D2B"/>
    <w:rsid w:val="00721F87"/>
    <w:rsid w:val="007222AB"/>
    <w:rsid w:val="0072284B"/>
    <w:rsid w:val="00722B01"/>
    <w:rsid w:val="00722B9A"/>
    <w:rsid w:val="00722C3B"/>
    <w:rsid w:val="00722EDF"/>
    <w:rsid w:val="00722F25"/>
    <w:rsid w:val="0072304D"/>
    <w:rsid w:val="00723361"/>
    <w:rsid w:val="00723F3E"/>
    <w:rsid w:val="007243A6"/>
    <w:rsid w:val="00724740"/>
    <w:rsid w:val="00724F15"/>
    <w:rsid w:val="007254F6"/>
    <w:rsid w:val="0072563B"/>
    <w:rsid w:val="007256AB"/>
    <w:rsid w:val="007256EE"/>
    <w:rsid w:val="00725D60"/>
    <w:rsid w:val="007264AB"/>
    <w:rsid w:val="007264D1"/>
    <w:rsid w:val="00726588"/>
    <w:rsid w:val="0072696E"/>
    <w:rsid w:val="00726A2F"/>
    <w:rsid w:val="00726D9F"/>
    <w:rsid w:val="007273B1"/>
    <w:rsid w:val="00727444"/>
    <w:rsid w:val="0073038A"/>
    <w:rsid w:val="00730494"/>
    <w:rsid w:val="0073072C"/>
    <w:rsid w:val="0073091E"/>
    <w:rsid w:val="007309F7"/>
    <w:rsid w:val="00730A61"/>
    <w:rsid w:val="00730C4A"/>
    <w:rsid w:val="0073118E"/>
    <w:rsid w:val="00731F86"/>
    <w:rsid w:val="00732417"/>
    <w:rsid w:val="00732911"/>
    <w:rsid w:val="007329F2"/>
    <w:rsid w:val="0073366F"/>
    <w:rsid w:val="00733E67"/>
    <w:rsid w:val="007343FB"/>
    <w:rsid w:val="00734453"/>
    <w:rsid w:val="00734A21"/>
    <w:rsid w:val="00734D17"/>
    <w:rsid w:val="00734FAB"/>
    <w:rsid w:val="00735790"/>
    <w:rsid w:val="007357B0"/>
    <w:rsid w:val="0073584C"/>
    <w:rsid w:val="00735C93"/>
    <w:rsid w:val="00736074"/>
    <w:rsid w:val="007361A5"/>
    <w:rsid w:val="007370B5"/>
    <w:rsid w:val="00737AAF"/>
    <w:rsid w:val="00737BD1"/>
    <w:rsid w:val="00737CB1"/>
    <w:rsid w:val="00737D5B"/>
    <w:rsid w:val="00737F75"/>
    <w:rsid w:val="0074061B"/>
    <w:rsid w:val="00740991"/>
    <w:rsid w:val="007415B4"/>
    <w:rsid w:val="007415DF"/>
    <w:rsid w:val="007417FD"/>
    <w:rsid w:val="007418DB"/>
    <w:rsid w:val="00742921"/>
    <w:rsid w:val="00742994"/>
    <w:rsid w:val="007429C6"/>
    <w:rsid w:val="007432B6"/>
    <w:rsid w:val="0074356A"/>
    <w:rsid w:val="007435B0"/>
    <w:rsid w:val="007437A0"/>
    <w:rsid w:val="007438D2"/>
    <w:rsid w:val="00743A9B"/>
    <w:rsid w:val="00743AD3"/>
    <w:rsid w:val="00743DDA"/>
    <w:rsid w:val="00743DEE"/>
    <w:rsid w:val="007440CC"/>
    <w:rsid w:val="00744906"/>
    <w:rsid w:val="00744B1D"/>
    <w:rsid w:val="00744D05"/>
    <w:rsid w:val="00745189"/>
    <w:rsid w:val="00745E76"/>
    <w:rsid w:val="00745E9D"/>
    <w:rsid w:val="00746337"/>
    <w:rsid w:val="0074664B"/>
    <w:rsid w:val="00746854"/>
    <w:rsid w:val="00746A0B"/>
    <w:rsid w:val="00746E20"/>
    <w:rsid w:val="00746FDE"/>
    <w:rsid w:val="00746FE0"/>
    <w:rsid w:val="00747280"/>
    <w:rsid w:val="007472A9"/>
    <w:rsid w:val="00747402"/>
    <w:rsid w:val="00747459"/>
    <w:rsid w:val="00747620"/>
    <w:rsid w:val="0074786A"/>
    <w:rsid w:val="00747C50"/>
    <w:rsid w:val="007502B3"/>
    <w:rsid w:val="007504EE"/>
    <w:rsid w:val="00750543"/>
    <w:rsid w:val="00750DF7"/>
    <w:rsid w:val="00751526"/>
    <w:rsid w:val="00752082"/>
    <w:rsid w:val="007524C4"/>
    <w:rsid w:val="00752517"/>
    <w:rsid w:val="0075268A"/>
    <w:rsid w:val="00752943"/>
    <w:rsid w:val="007531E5"/>
    <w:rsid w:val="00753300"/>
    <w:rsid w:val="00753398"/>
    <w:rsid w:val="00753748"/>
    <w:rsid w:val="00753FFD"/>
    <w:rsid w:val="00754862"/>
    <w:rsid w:val="00754CE4"/>
    <w:rsid w:val="0075553F"/>
    <w:rsid w:val="00755B79"/>
    <w:rsid w:val="00755D6F"/>
    <w:rsid w:val="00756028"/>
    <w:rsid w:val="0075625A"/>
    <w:rsid w:val="00756272"/>
    <w:rsid w:val="0075630E"/>
    <w:rsid w:val="007564E0"/>
    <w:rsid w:val="00756A13"/>
    <w:rsid w:val="00756FEB"/>
    <w:rsid w:val="00757813"/>
    <w:rsid w:val="00757A82"/>
    <w:rsid w:val="00757B02"/>
    <w:rsid w:val="00757D2B"/>
    <w:rsid w:val="00757EA3"/>
    <w:rsid w:val="007602F8"/>
    <w:rsid w:val="00760966"/>
    <w:rsid w:val="00760A35"/>
    <w:rsid w:val="00760B42"/>
    <w:rsid w:val="00760B5F"/>
    <w:rsid w:val="0076107E"/>
    <w:rsid w:val="007611FF"/>
    <w:rsid w:val="00761633"/>
    <w:rsid w:val="00761634"/>
    <w:rsid w:val="00761A37"/>
    <w:rsid w:val="00762131"/>
    <w:rsid w:val="007621C0"/>
    <w:rsid w:val="007622A0"/>
    <w:rsid w:val="00762541"/>
    <w:rsid w:val="00762BBE"/>
    <w:rsid w:val="00762E91"/>
    <w:rsid w:val="00762FD5"/>
    <w:rsid w:val="00763370"/>
    <w:rsid w:val="00763C1D"/>
    <w:rsid w:val="007645B2"/>
    <w:rsid w:val="00764616"/>
    <w:rsid w:val="007646DB"/>
    <w:rsid w:val="00764726"/>
    <w:rsid w:val="00764BA4"/>
    <w:rsid w:val="00765147"/>
    <w:rsid w:val="00765915"/>
    <w:rsid w:val="00765CAC"/>
    <w:rsid w:val="00766352"/>
    <w:rsid w:val="007664CC"/>
    <w:rsid w:val="0076694D"/>
    <w:rsid w:val="00766A5A"/>
    <w:rsid w:val="00766C18"/>
    <w:rsid w:val="00766F49"/>
    <w:rsid w:val="00767057"/>
    <w:rsid w:val="007670D6"/>
    <w:rsid w:val="00767AAF"/>
    <w:rsid w:val="00767FE5"/>
    <w:rsid w:val="00770274"/>
    <w:rsid w:val="007707CF"/>
    <w:rsid w:val="00770CC3"/>
    <w:rsid w:val="00771035"/>
    <w:rsid w:val="00771341"/>
    <w:rsid w:val="00771405"/>
    <w:rsid w:val="00771511"/>
    <w:rsid w:val="00771C23"/>
    <w:rsid w:val="00771C27"/>
    <w:rsid w:val="00772376"/>
    <w:rsid w:val="00772692"/>
    <w:rsid w:val="00772C8F"/>
    <w:rsid w:val="00772FB5"/>
    <w:rsid w:val="007730F3"/>
    <w:rsid w:val="00773601"/>
    <w:rsid w:val="00773772"/>
    <w:rsid w:val="00773A46"/>
    <w:rsid w:val="00773F15"/>
    <w:rsid w:val="00773FEC"/>
    <w:rsid w:val="0077412A"/>
    <w:rsid w:val="0077414C"/>
    <w:rsid w:val="00774A0C"/>
    <w:rsid w:val="00774A1C"/>
    <w:rsid w:val="00774D7B"/>
    <w:rsid w:val="00774D80"/>
    <w:rsid w:val="00775EAE"/>
    <w:rsid w:val="0077690E"/>
    <w:rsid w:val="007771F6"/>
    <w:rsid w:val="00777CA1"/>
    <w:rsid w:val="0078000B"/>
    <w:rsid w:val="00780570"/>
    <w:rsid w:val="00780912"/>
    <w:rsid w:val="007809A7"/>
    <w:rsid w:val="00780C88"/>
    <w:rsid w:val="00780CE1"/>
    <w:rsid w:val="007813FE"/>
    <w:rsid w:val="00781508"/>
    <w:rsid w:val="007818FD"/>
    <w:rsid w:val="00781AD9"/>
    <w:rsid w:val="00781C81"/>
    <w:rsid w:val="00781CE0"/>
    <w:rsid w:val="00781D7C"/>
    <w:rsid w:val="0078234B"/>
    <w:rsid w:val="00782465"/>
    <w:rsid w:val="00782D73"/>
    <w:rsid w:val="00783452"/>
    <w:rsid w:val="007834A9"/>
    <w:rsid w:val="007836CC"/>
    <w:rsid w:val="0078373D"/>
    <w:rsid w:val="007853C6"/>
    <w:rsid w:val="007854AA"/>
    <w:rsid w:val="0078597E"/>
    <w:rsid w:val="00785FC8"/>
    <w:rsid w:val="00786406"/>
    <w:rsid w:val="00786BA5"/>
    <w:rsid w:val="007870EC"/>
    <w:rsid w:val="007872B7"/>
    <w:rsid w:val="00787700"/>
    <w:rsid w:val="007877F9"/>
    <w:rsid w:val="00787C9B"/>
    <w:rsid w:val="0079008A"/>
    <w:rsid w:val="007907F2"/>
    <w:rsid w:val="00790FDB"/>
    <w:rsid w:val="00791159"/>
    <w:rsid w:val="00791398"/>
    <w:rsid w:val="00791EBF"/>
    <w:rsid w:val="0079230B"/>
    <w:rsid w:val="007923D2"/>
    <w:rsid w:val="0079258F"/>
    <w:rsid w:val="007925BD"/>
    <w:rsid w:val="00792A3E"/>
    <w:rsid w:val="00792F5B"/>
    <w:rsid w:val="00793094"/>
    <w:rsid w:val="007932D3"/>
    <w:rsid w:val="007938BE"/>
    <w:rsid w:val="00793BA3"/>
    <w:rsid w:val="00793DC6"/>
    <w:rsid w:val="00793E66"/>
    <w:rsid w:val="00793FCF"/>
    <w:rsid w:val="00794CE3"/>
    <w:rsid w:val="0079522C"/>
    <w:rsid w:val="00795757"/>
    <w:rsid w:val="00795B18"/>
    <w:rsid w:val="007960F9"/>
    <w:rsid w:val="00796908"/>
    <w:rsid w:val="007969E6"/>
    <w:rsid w:val="00796C49"/>
    <w:rsid w:val="00796FC1"/>
    <w:rsid w:val="00797367"/>
    <w:rsid w:val="00797412"/>
    <w:rsid w:val="00797587"/>
    <w:rsid w:val="007975BE"/>
    <w:rsid w:val="00797A00"/>
    <w:rsid w:val="00797CB5"/>
    <w:rsid w:val="007A02E9"/>
    <w:rsid w:val="007A03B2"/>
    <w:rsid w:val="007A066C"/>
    <w:rsid w:val="007A0958"/>
    <w:rsid w:val="007A0994"/>
    <w:rsid w:val="007A0F0D"/>
    <w:rsid w:val="007A0FB7"/>
    <w:rsid w:val="007A0FEA"/>
    <w:rsid w:val="007A10E8"/>
    <w:rsid w:val="007A1381"/>
    <w:rsid w:val="007A19BE"/>
    <w:rsid w:val="007A20C5"/>
    <w:rsid w:val="007A2CC6"/>
    <w:rsid w:val="007A2F38"/>
    <w:rsid w:val="007A3343"/>
    <w:rsid w:val="007A3CD4"/>
    <w:rsid w:val="007A3E2A"/>
    <w:rsid w:val="007A4181"/>
    <w:rsid w:val="007A4B78"/>
    <w:rsid w:val="007A5479"/>
    <w:rsid w:val="007A55D5"/>
    <w:rsid w:val="007A5D43"/>
    <w:rsid w:val="007A6158"/>
    <w:rsid w:val="007A63E4"/>
    <w:rsid w:val="007A6A50"/>
    <w:rsid w:val="007A6C8C"/>
    <w:rsid w:val="007A6D8A"/>
    <w:rsid w:val="007A731D"/>
    <w:rsid w:val="007A7F3E"/>
    <w:rsid w:val="007B00A6"/>
    <w:rsid w:val="007B0295"/>
    <w:rsid w:val="007B03A3"/>
    <w:rsid w:val="007B0B69"/>
    <w:rsid w:val="007B14A6"/>
    <w:rsid w:val="007B1E57"/>
    <w:rsid w:val="007B2033"/>
    <w:rsid w:val="007B213E"/>
    <w:rsid w:val="007B233A"/>
    <w:rsid w:val="007B26F4"/>
    <w:rsid w:val="007B2B95"/>
    <w:rsid w:val="007B2C18"/>
    <w:rsid w:val="007B2C96"/>
    <w:rsid w:val="007B31D5"/>
    <w:rsid w:val="007B348B"/>
    <w:rsid w:val="007B3A47"/>
    <w:rsid w:val="007B4742"/>
    <w:rsid w:val="007B4752"/>
    <w:rsid w:val="007B53B6"/>
    <w:rsid w:val="007B5938"/>
    <w:rsid w:val="007B5A48"/>
    <w:rsid w:val="007B5D3E"/>
    <w:rsid w:val="007B6008"/>
    <w:rsid w:val="007B6072"/>
    <w:rsid w:val="007B65BD"/>
    <w:rsid w:val="007B6E87"/>
    <w:rsid w:val="007B70EF"/>
    <w:rsid w:val="007B7127"/>
    <w:rsid w:val="007B7A00"/>
    <w:rsid w:val="007B7F28"/>
    <w:rsid w:val="007C00C3"/>
    <w:rsid w:val="007C0AD5"/>
    <w:rsid w:val="007C0F90"/>
    <w:rsid w:val="007C10D2"/>
    <w:rsid w:val="007C1638"/>
    <w:rsid w:val="007C1E96"/>
    <w:rsid w:val="007C2479"/>
    <w:rsid w:val="007C24DC"/>
    <w:rsid w:val="007C2B79"/>
    <w:rsid w:val="007C2F58"/>
    <w:rsid w:val="007C4A3D"/>
    <w:rsid w:val="007C4AD1"/>
    <w:rsid w:val="007C4E31"/>
    <w:rsid w:val="007C4FA5"/>
    <w:rsid w:val="007C4FAD"/>
    <w:rsid w:val="007C4FDB"/>
    <w:rsid w:val="007C50B3"/>
    <w:rsid w:val="007C50FF"/>
    <w:rsid w:val="007C5446"/>
    <w:rsid w:val="007C5E9D"/>
    <w:rsid w:val="007C64DF"/>
    <w:rsid w:val="007C6538"/>
    <w:rsid w:val="007C6832"/>
    <w:rsid w:val="007C6A62"/>
    <w:rsid w:val="007C71A2"/>
    <w:rsid w:val="007C74A5"/>
    <w:rsid w:val="007C755B"/>
    <w:rsid w:val="007C7911"/>
    <w:rsid w:val="007C7A91"/>
    <w:rsid w:val="007C7AE1"/>
    <w:rsid w:val="007D00BE"/>
    <w:rsid w:val="007D028E"/>
    <w:rsid w:val="007D030F"/>
    <w:rsid w:val="007D0571"/>
    <w:rsid w:val="007D0B83"/>
    <w:rsid w:val="007D11AA"/>
    <w:rsid w:val="007D14DC"/>
    <w:rsid w:val="007D151D"/>
    <w:rsid w:val="007D190A"/>
    <w:rsid w:val="007D202F"/>
    <w:rsid w:val="007D20CC"/>
    <w:rsid w:val="007D22A8"/>
    <w:rsid w:val="007D251B"/>
    <w:rsid w:val="007D2B02"/>
    <w:rsid w:val="007D2C1C"/>
    <w:rsid w:val="007D2D01"/>
    <w:rsid w:val="007D2D76"/>
    <w:rsid w:val="007D31C8"/>
    <w:rsid w:val="007D3414"/>
    <w:rsid w:val="007D34F8"/>
    <w:rsid w:val="007D3A3B"/>
    <w:rsid w:val="007D3C14"/>
    <w:rsid w:val="007D3D34"/>
    <w:rsid w:val="007D46FD"/>
    <w:rsid w:val="007D5130"/>
    <w:rsid w:val="007D5355"/>
    <w:rsid w:val="007D53BD"/>
    <w:rsid w:val="007D54CB"/>
    <w:rsid w:val="007D5953"/>
    <w:rsid w:val="007D5C2D"/>
    <w:rsid w:val="007D6DD4"/>
    <w:rsid w:val="007D6F71"/>
    <w:rsid w:val="007D6FC4"/>
    <w:rsid w:val="007D7820"/>
    <w:rsid w:val="007D7C5B"/>
    <w:rsid w:val="007D7D54"/>
    <w:rsid w:val="007E0821"/>
    <w:rsid w:val="007E0C52"/>
    <w:rsid w:val="007E1175"/>
    <w:rsid w:val="007E18B8"/>
    <w:rsid w:val="007E21C8"/>
    <w:rsid w:val="007E25ED"/>
    <w:rsid w:val="007E309F"/>
    <w:rsid w:val="007E31A3"/>
    <w:rsid w:val="007E3206"/>
    <w:rsid w:val="007E36FA"/>
    <w:rsid w:val="007E41CD"/>
    <w:rsid w:val="007E42F6"/>
    <w:rsid w:val="007E4521"/>
    <w:rsid w:val="007E460E"/>
    <w:rsid w:val="007E4F3E"/>
    <w:rsid w:val="007E5BEE"/>
    <w:rsid w:val="007E6145"/>
    <w:rsid w:val="007E622F"/>
    <w:rsid w:val="007E648A"/>
    <w:rsid w:val="007E6760"/>
    <w:rsid w:val="007E6ADE"/>
    <w:rsid w:val="007E7BA8"/>
    <w:rsid w:val="007E7BC8"/>
    <w:rsid w:val="007F022C"/>
    <w:rsid w:val="007F05AC"/>
    <w:rsid w:val="007F0AD3"/>
    <w:rsid w:val="007F0B62"/>
    <w:rsid w:val="007F0BBA"/>
    <w:rsid w:val="007F0BCA"/>
    <w:rsid w:val="007F105A"/>
    <w:rsid w:val="007F1209"/>
    <w:rsid w:val="007F163F"/>
    <w:rsid w:val="007F1B4A"/>
    <w:rsid w:val="007F20A3"/>
    <w:rsid w:val="007F27D4"/>
    <w:rsid w:val="007F2A9B"/>
    <w:rsid w:val="007F2DC9"/>
    <w:rsid w:val="007F2F42"/>
    <w:rsid w:val="007F301D"/>
    <w:rsid w:val="007F3429"/>
    <w:rsid w:val="007F38C4"/>
    <w:rsid w:val="007F40DB"/>
    <w:rsid w:val="007F4985"/>
    <w:rsid w:val="007F4D05"/>
    <w:rsid w:val="007F4EE2"/>
    <w:rsid w:val="007F50BE"/>
    <w:rsid w:val="007F5688"/>
    <w:rsid w:val="007F578A"/>
    <w:rsid w:val="007F5AD0"/>
    <w:rsid w:val="007F5BBA"/>
    <w:rsid w:val="007F60DF"/>
    <w:rsid w:val="007F650B"/>
    <w:rsid w:val="007F6869"/>
    <w:rsid w:val="007F6962"/>
    <w:rsid w:val="007F6E79"/>
    <w:rsid w:val="007F6FAE"/>
    <w:rsid w:val="007F77E2"/>
    <w:rsid w:val="007F79C7"/>
    <w:rsid w:val="007F7D15"/>
    <w:rsid w:val="0080004A"/>
    <w:rsid w:val="008003E1"/>
    <w:rsid w:val="00800459"/>
    <w:rsid w:val="008008A9"/>
    <w:rsid w:val="008008B7"/>
    <w:rsid w:val="008008EC"/>
    <w:rsid w:val="008009E7"/>
    <w:rsid w:val="00800ABF"/>
    <w:rsid w:val="00801C60"/>
    <w:rsid w:val="00801EAD"/>
    <w:rsid w:val="0080251F"/>
    <w:rsid w:val="00802825"/>
    <w:rsid w:val="008034ED"/>
    <w:rsid w:val="00803718"/>
    <w:rsid w:val="00803C11"/>
    <w:rsid w:val="00803C12"/>
    <w:rsid w:val="008043EF"/>
    <w:rsid w:val="00804856"/>
    <w:rsid w:val="00804B3E"/>
    <w:rsid w:val="0080525F"/>
    <w:rsid w:val="0080652A"/>
    <w:rsid w:val="008066A7"/>
    <w:rsid w:val="00806C4C"/>
    <w:rsid w:val="00807BE4"/>
    <w:rsid w:val="00811628"/>
    <w:rsid w:val="00811AA4"/>
    <w:rsid w:val="00811F50"/>
    <w:rsid w:val="008128A9"/>
    <w:rsid w:val="008128AC"/>
    <w:rsid w:val="00812CC1"/>
    <w:rsid w:val="00813037"/>
    <w:rsid w:val="008145B2"/>
    <w:rsid w:val="00814653"/>
    <w:rsid w:val="008147FA"/>
    <w:rsid w:val="00814873"/>
    <w:rsid w:val="0081496E"/>
    <w:rsid w:val="00814EF7"/>
    <w:rsid w:val="00815AD7"/>
    <w:rsid w:val="00815CA5"/>
    <w:rsid w:val="00815E6C"/>
    <w:rsid w:val="00816122"/>
    <w:rsid w:val="008169BC"/>
    <w:rsid w:val="00816DA1"/>
    <w:rsid w:val="00816F56"/>
    <w:rsid w:val="00816F58"/>
    <w:rsid w:val="008170D2"/>
    <w:rsid w:val="008170F5"/>
    <w:rsid w:val="00817345"/>
    <w:rsid w:val="00817C2E"/>
    <w:rsid w:val="00817ED9"/>
    <w:rsid w:val="008210FF"/>
    <w:rsid w:val="00821581"/>
    <w:rsid w:val="00821852"/>
    <w:rsid w:val="00821A3B"/>
    <w:rsid w:val="00821E71"/>
    <w:rsid w:val="00821EAE"/>
    <w:rsid w:val="00821F97"/>
    <w:rsid w:val="00822A3A"/>
    <w:rsid w:val="00823131"/>
    <w:rsid w:val="0082332B"/>
    <w:rsid w:val="008239DD"/>
    <w:rsid w:val="00823A7C"/>
    <w:rsid w:val="00823E1D"/>
    <w:rsid w:val="00824013"/>
    <w:rsid w:val="00824067"/>
    <w:rsid w:val="0082492D"/>
    <w:rsid w:val="008249F1"/>
    <w:rsid w:val="00824AB8"/>
    <w:rsid w:val="00824D92"/>
    <w:rsid w:val="00824DA9"/>
    <w:rsid w:val="008251D9"/>
    <w:rsid w:val="00825325"/>
    <w:rsid w:val="008257D2"/>
    <w:rsid w:val="008257FC"/>
    <w:rsid w:val="00826110"/>
    <w:rsid w:val="00826550"/>
    <w:rsid w:val="008267EA"/>
    <w:rsid w:val="00826C1F"/>
    <w:rsid w:val="00826CF9"/>
    <w:rsid w:val="00827B98"/>
    <w:rsid w:val="008303A6"/>
    <w:rsid w:val="00830A84"/>
    <w:rsid w:val="00830C3E"/>
    <w:rsid w:val="00831DD8"/>
    <w:rsid w:val="00831F70"/>
    <w:rsid w:val="008337B4"/>
    <w:rsid w:val="008338AE"/>
    <w:rsid w:val="00833B17"/>
    <w:rsid w:val="00833DE0"/>
    <w:rsid w:val="00834515"/>
    <w:rsid w:val="008346D5"/>
    <w:rsid w:val="00834B8A"/>
    <w:rsid w:val="00835B8E"/>
    <w:rsid w:val="0083600D"/>
    <w:rsid w:val="00836202"/>
    <w:rsid w:val="00836DCB"/>
    <w:rsid w:val="00836E64"/>
    <w:rsid w:val="00837067"/>
    <w:rsid w:val="008373D3"/>
    <w:rsid w:val="008378F4"/>
    <w:rsid w:val="00837A0E"/>
    <w:rsid w:val="00840061"/>
    <w:rsid w:val="008400B6"/>
    <w:rsid w:val="0084022F"/>
    <w:rsid w:val="008404DE"/>
    <w:rsid w:val="008407D8"/>
    <w:rsid w:val="00840DCC"/>
    <w:rsid w:val="0084106D"/>
    <w:rsid w:val="008415B7"/>
    <w:rsid w:val="00841843"/>
    <w:rsid w:val="00841F40"/>
    <w:rsid w:val="00841F6E"/>
    <w:rsid w:val="00842786"/>
    <w:rsid w:val="0084290F"/>
    <w:rsid w:val="008429B1"/>
    <w:rsid w:val="00842EF5"/>
    <w:rsid w:val="00843C42"/>
    <w:rsid w:val="00843FF4"/>
    <w:rsid w:val="008446D0"/>
    <w:rsid w:val="00844E7F"/>
    <w:rsid w:val="00844ED1"/>
    <w:rsid w:val="00845101"/>
    <w:rsid w:val="00845113"/>
    <w:rsid w:val="00845677"/>
    <w:rsid w:val="00845BE1"/>
    <w:rsid w:val="00845FC7"/>
    <w:rsid w:val="008461D6"/>
    <w:rsid w:val="00846AB8"/>
    <w:rsid w:val="008478C1"/>
    <w:rsid w:val="00847922"/>
    <w:rsid w:val="00847E86"/>
    <w:rsid w:val="00850459"/>
    <w:rsid w:val="0085064F"/>
    <w:rsid w:val="0085078D"/>
    <w:rsid w:val="00850AA3"/>
    <w:rsid w:val="00850C1D"/>
    <w:rsid w:val="00850C40"/>
    <w:rsid w:val="00850FD7"/>
    <w:rsid w:val="008518FA"/>
    <w:rsid w:val="00851F55"/>
    <w:rsid w:val="00852003"/>
    <w:rsid w:val="00852655"/>
    <w:rsid w:val="008526DE"/>
    <w:rsid w:val="00852907"/>
    <w:rsid w:val="00852951"/>
    <w:rsid w:val="00852B04"/>
    <w:rsid w:val="00852BD1"/>
    <w:rsid w:val="00853131"/>
    <w:rsid w:val="008533C6"/>
    <w:rsid w:val="008540E7"/>
    <w:rsid w:val="00854731"/>
    <w:rsid w:val="0085474F"/>
    <w:rsid w:val="00854CB2"/>
    <w:rsid w:val="0085516F"/>
    <w:rsid w:val="0085583A"/>
    <w:rsid w:val="008564A8"/>
    <w:rsid w:val="00856500"/>
    <w:rsid w:val="0085668A"/>
    <w:rsid w:val="00856A09"/>
    <w:rsid w:val="00856DAB"/>
    <w:rsid w:val="008577C4"/>
    <w:rsid w:val="00857D7C"/>
    <w:rsid w:val="00860161"/>
    <w:rsid w:val="008605AA"/>
    <w:rsid w:val="008609A1"/>
    <w:rsid w:val="00860AD8"/>
    <w:rsid w:val="00860E25"/>
    <w:rsid w:val="00861BDE"/>
    <w:rsid w:val="00861D69"/>
    <w:rsid w:val="00861FBF"/>
    <w:rsid w:val="00861FC7"/>
    <w:rsid w:val="008627B3"/>
    <w:rsid w:val="0086302C"/>
    <w:rsid w:val="00863215"/>
    <w:rsid w:val="008636DF"/>
    <w:rsid w:val="008637C1"/>
    <w:rsid w:val="00863F6E"/>
    <w:rsid w:val="00863FBB"/>
    <w:rsid w:val="00864DE6"/>
    <w:rsid w:val="008653A6"/>
    <w:rsid w:val="00865625"/>
    <w:rsid w:val="008656AB"/>
    <w:rsid w:val="00865C0A"/>
    <w:rsid w:val="00865EAF"/>
    <w:rsid w:val="00866706"/>
    <w:rsid w:val="00866B32"/>
    <w:rsid w:val="00867136"/>
    <w:rsid w:val="00867F16"/>
    <w:rsid w:val="00867F1A"/>
    <w:rsid w:val="00870038"/>
    <w:rsid w:val="0087058A"/>
    <w:rsid w:val="008705AB"/>
    <w:rsid w:val="008708B3"/>
    <w:rsid w:val="00870AE1"/>
    <w:rsid w:val="00870D0C"/>
    <w:rsid w:val="00871D0B"/>
    <w:rsid w:val="00871D32"/>
    <w:rsid w:val="008722AF"/>
    <w:rsid w:val="0087235F"/>
    <w:rsid w:val="00873145"/>
    <w:rsid w:val="0087379D"/>
    <w:rsid w:val="00873D01"/>
    <w:rsid w:val="008742B2"/>
    <w:rsid w:val="00875824"/>
    <w:rsid w:val="0087598F"/>
    <w:rsid w:val="00875B69"/>
    <w:rsid w:val="00875E39"/>
    <w:rsid w:val="00876665"/>
    <w:rsid w:val="00876FA2"/>
    <w:rsid w:val="0087700E"/>
    <w:rsid w:val="0087735A"/>
    <w:rsid w:val="00877E91"/>
    <w:rsid w:val="00877FC8"/>
    <w:rsid w:val="008802F2"/>
    <w:rsid w:val="00880329"/>
    <w:rsid w:val="008810F4"/>
    <w:rsid w:val="008811F2"/>
    <w:rsid w:val="00881AC0"/>
    <w:rsid w:val="00881D3D"/>
    <w:rsid w:val="00882020"/>
    <w:rsid w:val="008821BA"/>
    <w:rsid w:val="00882E99"/>
    <w:rsid w:val="008830E6"/>
    <w:rsid w:val="00883378"/>
    <w:rsid w:val="008836B9"/>
    <w:rsid w:val="00883CF3"/>
    <w:rsid w:val="00883DBC"/>
    <w:rsid w:val="00883EFA"/>
    <w:rsid w:val="00883F7A"/>
    <w:rsid w:val="00884118"/>
    <w:rsid w:val="008842C5"/>
    <w:rsid w:val="008843E0"/>
    <w:rsid w:val="00884DFA"/>
    <w:rsid w:val="00884E85"/>
    <w:rsid w:val="00884FCF"/>
    <w:rsid w:val="0088561D"/>
    <w:rsid w:val="00885943"/>
    <w:rsid w:val="00886014"/>
    <w:rsid w:val="008869A3"/>
    <w:rsid w:val="00886B6E"/>
    <w:rsid w:val="00886D93"/>
    <w:rsid w:val="008876BF"/>
    <w:rsid w:val="008876CB"/>
    <w:rsid w:val="008877DF"/>
    <w:rsid w:val="00887FB3"/>
    <w:rsid w:val="00890000"/>
    <w:rsid w:val="00890719"/>
    <w:rsid w:val="008909D6"/>
    <w:rsid w:val="00891592"/>
    <w:rsid w:val="0089193A"/>
    <w:rsid w:val="00891ADE"/>
    <w:rsid w:val="00892BAA"/>
    <w:rsid w:val="00892C82"/>
    <w:rsid w:val="00893435"/>
    <w:rsid w:val="0089382B"/>
    <w:rsid w:val="00893FB6"/>
    <w:rsid w:val="00894089"/>
    <w:rsid w:val="00894B73"/>
    <w:rsid w:val="00895BF4"/>
    <w:rsid w:val="008962AE"/>
    <w:rsid w:val="008962BA"/>
    <w:rsid w:val="00896835"/>
    <w:rsid w:val="00897250"/>
    <w:rsid w:val="00897415"/>
    <w:rsid w:val="00897D89"/>
    <w:rsid w:val="00897F22"/>
    <w:rsid w:val="008A02C5"/>
    <w:rsid w:val="008A0669"/>
    <w:rsid w:val="008A07AD"/>
    <w:rsid w:val="008A092B"/>
    <w:rsid w:val="008A0ED7"/>
    <w:rsid w:val="008A151E"/>
    <w:rsid w:val="008A1693"/>
    <w:rsid w:val="008A1BDC"/>
    <w:rsid w:val="008A27CD"/>
    <w:rsid w:val="008A350D"/>
    <w:rsid w:val="008A354D"/>
    <w:rsid w:val="008A3BE8"/>
    <w:rsid w:val="008A3D6B"/>
    <w:rsid w:val="008A3DBA"/>
    <w:rsid w:val="008A3F47"/>
    <w:rsid w:val="008A426F"/>
    <w:rsid w:val="008A4741"/>
    <w:rsid w:val="008A4A0E"/>
    <w:rsid w:val="008A4A23"/>
    <w:rsid w:val="008A4F82"/>
    <w:rsid w:val="008A5035"/>
    <w:rsid w:val="008A54B8"/>
    <w:rsid w:val="008A5B42"/>
    <w:rsid w:val="008A66AD"/>
    <w:rsid w:val="008A6AA8"/>
    <w:rsid w:val="008A6F54"/>
    <w:rsid w:val="008A6F55"/>
    <w:rsid w:val="008B09D9"/>
    <w:rsid w:val="008B1C4F"/>
    <w:rsid w:val="008B22CC"/>
    <w:rsid w:val="008B2588"/>
    <w:rsid w:val="008B28D7"/>
    <w:rsid w:val="008B297C"/>
    <w:rsid w:val="008B2B2E"/>
    <w:rsid w:val="008B2FAE"/>
    <w:rsid w:val="008B3565"/>
    <w:rsid w:val="008B35A8"/>
    <w:rsid w:val="008B3E09"/>
    <w:rsid w:val="008B3EF8"/>
    <w:rsid w:val="008B47C0"/>
    <w:rsid w:val="008B48C1"/>
    <w:rsid w:val="008B4C08"/>
    <w:rsid w:val="008B5BB9"/>
    <w:rsid w:val="008B5C0F"/>
    <w:rsid w:val="008B6290"/>
    <w:rsid w:val="008B6579"/>
    <w:rsid w:val="008B6897"/>
    <w:rsid w:val="008B6B44"/>
    <w:rsid w:val="008B74FF"/>
    <w:rsid w:val="008B7813"/>
    <w:rsid w:val="008B7BCB"/>
    <w:rsid w:val="008C01DB"/>
    <w:rsid w:val="008C035E"/>
    <w:rsid w:val="008C0367"/>
    <w:rsid w:val="008C04AB"/>
    <w:rsid w:val="008C08AB"/>
    <w:rsid w:val="008C09E4"/>
    <w:rsid w:val="008C0DA2"/>
    <w:rsid w:val="008C13DC"/>
    <w:rsid w:val="008C15AB"/>
    <w:rsid w:val="008C16AD"/>
    <w:rsid w:val="008C16C0"/>
    <w:rsid w:val="008C2014"/>
    <w:rsid w:val="008C20E1"/>
    <w:rsid w:val="008C24FE"/>
    <w:rsid w:val="008C275C"/>
    <w:rsid w:val="008C27CF"/>
    <w:rsid w:val="008C2BF6"/>
    <w:rsid w:val="008C327D"/>
    <w:rsid w:val="008C3EB6"/>
    <w:rsid w:val="008C438F"/>
    <w:rsid w:val="008C481F"/>
    <w:rsid w:val="008C4F87"/>
    <w:rsid w:val="008C51D9"/>
    <w:rsid w:val="008C555F"/>
    <w:rsid w:val="008C5C2D"/>
    <w:rsid w:val="008C5E28"/>
    <w:rsid w:val="008C6140"/>
    <w:rsid w:val="008C66F0"/>
    <w:rsid w:val="008C6B0F"/>
    <w:rsid w:val="008C6B6F"/>
    <w:rsid w:val="008C711A"/>
    <w:rsid w:val="008C7176"/>
    <w:rsid w:val="008C7AF0"/>
    <w:rsid w:val="008C7B4D"/>
    <w:rsid w:val="008D053F"/>
    <w:rsid w:val="008D0C15"/>
    <w:rsid w:val="008D146E"/>
    <w:rsid w:val="008D14F7"/>
    <w:rsid w:val="008D170C"/>
    <w:rsid w:val="008D1AE3"/>
    <w:rsid w:val="008D1E17"/>
    <w:rsid w:val="008D2AD8"/>
    <w:rsid w:val="008D2EE1"/>
    <w:rsid w:val="008D3072"/>
    <w:rsid w:val="008D35FD"/>
    <w:rsid w:val="008D3816"/>
    <w:rsid w:val="008D447B"/>
    <w:rsid w:val="008D484C"/>
    <w:rsid w:val="008D4D39"/>
    <w:rsid w:val="008D4F4C"/>
    <w:rsid w:val="008D5CCE"/>
    <w:rsid w:val="008D5D1B"/>
    <w:rsid w:val="008D678F"/>
    <w:rsid w:val="008D69FD"/>
    <w:rsid w:val="008D6A08"/>
    <w:rsid w:val="008D6D1F"/>
    <w:rsid w:val="008D73D4"/>
    <w:rsid w:val="008D75D5"/>
    <w:rsid w:val="008D774C"/>
    <w:rsid w:val="008D7899"/>
    <w:rsid w:val="008D7B03"/>
    <w:rsid w:val="008D7E46"/>
    <w:rsid w:val="008E010D"/>
    <w:rsid w:val="008E012F"/>
    <w:rsid w:val="008E063A"/>
    <w:rsid w:val="008E1327"/>
    <w:rsid w:val="008E1468"/>
    <w:rsid w:val="008E18FA"/>
    <w:rsid w:val="008E1A8E"/>
    <w:rsid w:val="008E242B"/>
    <w:rsid w:val="008E28C8"/>
    <w:rsid w:val="008E2AA9"/>
    <w:rsid w:val="008E2E17"/>
    <w:rsid w:val="008E2EAD"/>
    <w:rsid w:val="008E3015"/>
    <w:rsid w:val="008E3233"/>
    <w:rsid w:val="008E3334"/>
    <w:rsid w:val="008E3C0C"/>
    <w:rsid w:val="008E3CCB"/>
    <w:rsid w:val="008E4189"/>
    <w:rsid w:val="008E500E"/>
    <w:rsid w:val="008E544D"/>
    <w:rsid w:val="008E6052"/>
    <w:rsid w:val="008E60D5"/>
    <w:rsid w:val="008E621D"/>
    <w:rsid w:val="008E638D"/>
    <w:rsid w:val="008E65A3"/>
    <w:rsid w:val="008E7240"/>
    <w:rsid w:val="008E796C"/>
    <w:rsid w:val="008E7F48"/>
    <w:rsid w:val="008F094C"/>
    <w:rsid w:val="008F0AF5"/>
    <w:rsid w:val="008F0B51"/>
    <w:rsid w:val="008F10AC"/>
    <w:rsid w:val="008F2642"/>
    <w:rsid w:val="008F2E94"/>
    <w:rsid w:val="008F3070"/>
    <w:rsid w:val="008F3B22"/>
    <w:rsid w:val="008F3B7F"/>
    <w:rsid w:val="008F400B"/>
    <w:rsid w:val="008F425F"/>
    <w:rsid w:val="008F4B4C"/>
    <w:rsid w:val="008F5287"/>
    <w:rsid w:val="008F5F25"/>
    <w:rsid w:val="008F62D9"/>
    <w:rsid w:val="008F6B99"/>
    <w:rsid w:val="008F6F2D"/>
    <w:rsid w:val="008F71A3"/>
    <w:rsid w:val="009000EF"/>
    <w:rsid w:val="00900159"/>
    <w:rsid w:val="00900508"/>
    <w:rsid w:val="0090088E"/>
    <w:rsid w:val="00900F41"/>
    <w:rsid w:val="00902205"/>
    <w:rsid w:val="0090220D"/>
    <w:rsid w:val="00902537"/>
    <w:rsid w:val="00902796"/>
    <w:rsid w:val="00902889"/>
    <w:rsid w:val="0090323D"/>
    <w:rsid w:val="0090348A"/>
    <w:rsid w:val="009035F5"/>
    <w:rsid w:val="0090407E"/>
    <w:rsid w:val="00904590"/>
    <w:rsid w:val="00904BB0"/>
    <w:rsid w:val="00904D8D"/>
    <w:rsid w:val="00905125"/>
    <w:rsid w:val="009052E5"/>
    <w:rsid w:val="009058DC"/>
    <w:rsid w:val="0090597D"/>
    <w:rsid w:val="0090656A"/>
    <w:rsid w:val="009067CE"/>
    <w:rsid w:val="009069DB"/>
    <w:rsid w:val="009070FD"/>
    <w:rsid w:val="00907908"/>
    <w:rsid w:val="00907EF6"/>
    <w:rsid w:val="009103F5"/>
    <w:rsid w:val="00910F8D"/>
    <w:rsid w:val="0091193A"/>
    <w:rsid w:val="00911AF8"/>
    <w:rsid w:val="00911E15"/>
    <w:rsid w:val="0091207B"/>
    <w:rsid w:val="00912797"/>
    <w:rsid w:val="0091286C"/>
    <w:rsid w:val="0091354E"/>
    <w:rsid w:val="009146DF"/>
    <w:rsid w:val="00914935"/>
    <w:rsid w:val="0091504F"/>
    <w:rsid w:val="00915202"/>
    <w:rsid w:val="00915BBF"/>
    <w:rsid w:val="0091651B"/>
    <w:rsid w:val="00916AFE"/>
    <w:rsid w:val="00917561"/>
    <w:rsid w:val="00917C1D"/>
    <w:rsid w:val="00917CE1"/>
    <w:rsid w:val="00917DD6"/>
    <w:rsid w:val="00917EB9"/>
    <w:rsid w:val="00917FA8"/>
    <w:rsid w:val="009200D9"/>
    <w:rsid w:val="0092017C"/>
    <w:rsid w:val="00920644"/>
    <w:rsid w:val="00920662"/>
    <w:rsid w:val="00921258"/>
    <w:rsid w:val="009216A1"/>
    <w:rsid w:val="0092200C"/>
    <w:rsid w:val="009222E0"/>
    <w:rsid w:val="0092244F"/>
    <w:rsid w:val="009228DD"/>
    <w:rsid w:val="00923B0F"/>
    <w:rsid w:val="009243AA"/>
    <w:rsid w:val="00924DE8"/>
    <w:rsid w:val="009257C1"/>
    <w:rsid w:val="00925F07"/>
    <w:rsid w:val="00927053"/>
    <w:rsid w:val="00927174"/>
    <w:rsid w:val="00927206"/>
    <w:rsid w:val="00927FA1"/>
    <w:rsid w:val="009301D5"/>
    <w:rsid w:val="009313C9"/>
    <w:rsid w:val="00931735"/>
    <w:rsid w:val="00931D25"/>
    <w:rsid w:val="00931EB0"/>
    <w:rsid w:val="00932304"/>
    <w:rsid w:val="00932525"/>
    <w:rsid w:val="009326F1"/>
    <w:rsid w:val="00932968"/>
    <w:rsid w:val="00932C80"/>
    <w:rsid w:val="00932CB9"/>
    <w:rsid w:val="0093309B"/>
    <w:rsid w:val="009330D5"/>
    <w:rsid w:val="0093388C"/>
    <w:rsid w:val="009338C6"/>
    <w:rsid w:val="0093395B"/>
    <w:rsid w:val="00933A49"/>
    <w:rsid w:val="00933AA0"/>
    <w:rsid w:val="00933CDA"/>
    <w:rsid w:val="00934184"/>
    <w:rsid w:val="009342E5"/>
    <w:rsid w:val="00934E6E"/>
    <w:rsid w:val="00935016"/>
    <w:rsid w:val="00935A29"/>
    <w:rsid w:val="00935AF9"/>
    <w:rsid w:val="00935D9B"/>
    <w:rsid w:val="009364A0"/>
    <w:rsid w:val="00936BC8"/>
    <w:rsid w:val="00936D03"/>
    <w:rsid w:val="009370D6"/>
    <w:rsid w:val="0093714F"/>
    <w:rsid w:val="00937690"/>
    <w:rsid w:val="009379A8"/>
    <w:rsid w:val="00937EFD"/>
    <w:rsid w:val="00940076"/>
    <w:rsid w:val="009401DF"/>
    <w:rsid w:val="00940A74"/>
    <w:rsid w:val="00940D29"/>
    <w:rsid w:val="00940DE7"/>
    <w:rsid w:val="00940F35"/>
    <w:rsid w:val="009416D7"/>
    <w:rsid w:val="0094193F"/>
    <w:rsid w:val="00941B32"/>
    <w:rsid w:val="0094258D"/>
    <w:rsid w:val="00942629"/>
    <w:rsid w:val="00942984"/>
    <w:rsid w:val="009431F2"/>
    <w:rsid w:val="0094367F"/>
    <w:rsid w:val="00943900"/>
    <w:rsid w:val="0094404D"/>
    <w:rsid w:val="0094484A"/>
    <w:rsid w:val="00944AA8"/>
    <w:rsid w:val="0094553D"/>
    <w:rsid w:val="009455B4"/>
    <w:rsid w:val="00945AD1"/>
    <w:rsid w:val="00945C25"/>
    <w:rsid w:val="00946A4B"/>
    <w:rsid w:val="00946B18"/>
    <w:rsid w:val="00946D83"/>
    <w:rsid w:val="00947233"/>
    <w:rsid w:val="00947C8E"/>
    <w:rsid w:val="00947E05"/>
    <w:rsid w:val="00950746"/>
    <w:rsid w:val="00950BCC"/>
    <w:rsid w:val="00950D80"/>
    <w:rsid w:val="009515AC"/>
    <w:rsid w:val="0095181A"/>
    <w:rsid w:val="00951B5B"/>
    <w:rsid w:val="00951F56"/>
    <w:rsid w:val="00951F80"/>
    <w:rsid w:val="0095203C"/>
    <w:rsid w:val="00952183"/>
    <w:rsid w:val="009526B6"/>
    <w:rsid w:val="00952902"/>
    <w:rsid w:val="00952A7F"/>
    <w:rsid w:val="00952F53"/>
    <w:rsid w:val="009535D3"/>
    <w:rsid w:val="009547C8"/>
    <w:rsid w:val="00955105"/>
    <w:rsid w:val="009552FF"/>
    <w:rsid w:val="009559AF"/>
    <w:rsid w:val="00955A4A"/>
    <w:rsid w:val="009560DA"/>
    <w:rsid w:val="009565EF"/>
    <w:rsid w:val="00956AD7"/>
    <w:rsid w:val="00956B49"/>
    <w:rsid w:val="00956FFF"/>
    <w:rsid w:val="009571E4"/>
    <w:rsid w:val="00957A8E"/>
    <w:rsid w:val="00957E45"/>
    <w:rsid w:val="00960406"/>
    <w:rsid w:val="009604E7"/>
    <w:rsid w:val="009606BA"/>
    <w:rsid w:val="00960795"/>
    <w:rsid w:val="00960904"/>
    <w:rsid w:val="00960919"/>
    <w:rsid w:val="009614E9"/>
    <w:rsid w:val="009618C7"/>
    <w:rsid w:val="00961F7F"/>
    <w:rsid w:val="00962453"/>
    <w:rsid w:val="009624B3"/>
    <w:rsid w:val="00963171"/>
    <w:rsid w:val="009634E9"/>
    <w:rsid w:val="009636F8"/>
    <w:rsid w:val="00963B00"/>
    <w:rsid w:val="009646E5"/>
    <w:rsid w:val="00964B83"/>
    <w:rsid w:val="00965145"/>
    <w:rsid w:val="00965166"/>
    <w:rsid w:val="00965A81"/>
    <w:rsid w:val="00965E48"/>
    <w:rsid w:val="00965F9A"/>
    <w:rsid w:val="00966155"/>
    <w:rsid w:val="00966170"/>
    <w:rsid w:val="00966312"/>
    <w:rsid w:val="009663C1"/>
    <w:rsid w:val="009664FF"/>
    <w:rsid w:val="0096652C"/>
    <w:rsid w:val="00966A58"/>
    <w:rsid w:val="00966FB1"/>
    <w:rsid w:val="00967125"/>
    <w:rsid w:val="00967284"/>
    <w:rsid w:val="00967996"/>
    <w:rsid w:val="00967D19"/>
    <w:rsid w:val="0097032F"/>
    <w:rsid w:val="00970D13"/>
    <w:rsid w:val="00970F05"/>
    <w:rsid w:val="00970F58"/>
    <w:rsid w:val="00970F86"/>
    <w:rsid w:val="0097112A"/>
    <w:rsid w:val="00971239"/>
    <w:rsid w:val="00971F6E"/>
    <w:rsid w:val="0097250D"/>
    <w:rsid w:val="00972634"/>
    <w:rsid w:val="009726A0"/>
    <w:rsid w:val="009727CE"/>
    <w:rsid w:val="00972A24"/>
    <w:rsid w:val="00972BF9"/>
    <w:rsid w:val="00972E8E"/>
    <w:rsid w:val="009730C2"/>
    <w:rsid w:val="0097465E"/>
    <w:rsid w:val="00974FCD"/>
    <w:rsid w:val="009750A6"/>
    <w:rsid w:val="009750F0"/>
    <w:rsid w:val="00975116"/>
    <w:rsid w:val="00975304"/>
    <w:rsid w:val="00975760"/>
    <w:rsid w:val="00975878"/>
    <w:rsid w:val="00975DFB"/>
    <w:rsid w:val="00976229"/>
    <w:rsid w:val="0097631C"/>
    <w:rsid w:val="0097650A"/>
    <w:rsid w:val="00976683"/>
    <w:rsid w:val="00976D25"/>
    <w:rsid w:val="009775B6"/>
    <w:rsid w:val="00977AE4"/>
    <w:rsid w:val="00977DC0"/>
    <w:rsid w:val="00977E5C"/>
    <w:rsid w:val="00980AC6"/>
    <w:rsid w:val="00980B3B"/>
    <w:rsid w:val="00981085"/>
    <w:rsid w:val="00981271"/>
    <w:rsid w:val="009812BD"/>
    <w:rsid w:val="00981458"/>
    <w:rsid w:val="00982184"/>
    <w:rsid w:val="00982286"/>
    <w:rsid w:val="00982569"/>
    <w:rsid w:val="00982E3F"/>
    <w:rsid w:val="0098396D"/>
    <w:rsid w:val="00983CE5"/>
    <w:rsid w:val="009841DB"/>
    <w:rsid w:val="009844F0"/>
    <w:rsid w:val="00984921"/>
    <w:rsid w:val="0098546B"/>
    <w:rsid w:val="00985A0F"/>
    <w:rsid w:val="00985C1F"/>
    <w:rsid w:val="00986B53"/>
    <w:rsid w:val="00986E68"/>
    <w:rsid w:val="0098786D"/>
    <w:rsid w:val="0098D931"/>
    <w:rsid w:val="00990035"/>
    <w:rsid w:val="0099019C"/>
    <w:rsid w:val="009904EB"/>
    <w:rsid w:val="009915DA"/>
    <w:rsid w:val="00991C19"/>
    <w:rsid w:val="00991CAD"/>
    <w:rsid w:val="00991CE2"/>
    <w:rsid w:val="00992B17"/>
    <w:rsid w:val="00992DE4"/>
    <w:rsid w:val="00993228"/>
    <w:rsid w:val="00993405"/>
    <w:rsid w:val="00993FE4"/>
    <w:rsid w:val="009947B4"/>
    <w:rsid w:val="00994BF0"/>
    <w:rsid w:val="00994E27"/>
    <w:rsid w:val="00995BBD"/>
    <w:rsid w:val="009961E9"/>
    <w:rsid w:val="00996585"/>
    <w:rsid w:val="0099692A"/>
    <w:rsid w:val="0099698D"/>
    <w:rsid w:val="00997058"/>
    <w:rsid w:val="009973F0"/>
    <w:rsid w:val="00997514"/>
    <w:rsid w:val="0099793C"/>
    <w:rsid w:val="0099B413"/>
    <w:rsid w:val="009A0351"/>
    <w:rsid w:val="009A0711"/>
    <w:rsid w:val="009A1067"/>
    <w:rsid w:val="009A193C"/>
    <w:rsid w:val="009A21EE"/>
    <w:rsid w:val="009A2AF2"/>
    <w:rsid w:val="009A37C6"/>
    <w:rsid w:val="009A3A65"/>
    <w:rsid w:val="009A3B8F"/>
    <w:rsid w:val="009A4390"/>
    <w:rsid w:val="009A43FA"/>
    <w:rsid w:val="009A4595"/>
    <w:rsid w:val="009A4B40"/>
    <w:rsid w:val="009A4B9D"/>
    <w:rsid w:val="009A4FA8"/>
    <w:rsid w:val="009A55F2"/>
    <w:rsid w:val="009A5EEE"/>
    <w:rsid w:val="009A6634"/>
    <w:rsid w:val="009A66F8"/>
    <w:rsid w:val="009A6C38"/>
    <w:rsid w:val="009A6F1D"/>
    <w:rsid w:val="009A780C"/>
    <w:rsid w:val="009A7ABD"/>
    <w:rsid w:val="009A7ACD"/>
    <w:rsid w:val="009A7C30"/>
    <w:rsid w:val="009B0830"/>
    <w:rsid w:val="009B111F"/>
    <w:rsid w:val="009B1562"/>
    <w:rsid w:val="009B1C5E"/>
    <w:rsid w:val="009B1E1C"/>
    <w:rsid w:val="009B23E1"/>
    <w:rsid w:val="009B278E"/>
    <w:rsid w:val="009B319B"/>
    <w:rsid w:val="009B31EF"/>
    <w:rsid w:val="009B3230"/>
    <w:rsid w:val="009B3268"/>
    <w:rsid w:val="009B3613"/>
    <w:rsid w:val="009B37CE"/>
    <w:rsid w:val="009B4576"/>
    <w:rsid w:val="009B4687"/>
    <w:rsid w:val="009B531A"/>
    <w:rsid w:val="009B55EE"/>
    <w:rsid w:val="009B5705"/>
    <w:rsid w:val="009B5BAF"/>
    <w:rsid w:val="009B6375"/>
    <w:rsid w:val="009B6494"/>
    <w:rsid w:val="009B6539"/>
    <w:rsid w:val="009B660E"/>
    <w:rsid w:val="009B67CF"/>
    <w:rsid w:val="009B6BCD"/>
    <w:rsid w:val="009B7376"/>
    <w:rsid w:val="009B7952"/>
    <w:rsid w:val="009C029A"/>
    <w:rsid w:val="009C02A5"/>
    <w:rsid w:val="009C0692"/>
    <w:rsid w:val="009C06CC"/>
    <w:rsid w:val="009C0B38"/>
    <w:rsid w:val="009C1CF5"/>
    <w:rsid w:val="009C1E9F"/>
    <w:rsid w:val="009C23B3"/>
    <w:rsid w:val="009C250E"/>
    <w:rsid w:val="009C269B"/>
    <w:rsid w:val="009C26E7"/>
    <w:rsid w:val="009C3117"/>
    <w:rsid w:val="009C347B"/>
    <w:rsid w:val="009C3A5E"/>
    <w:rsid w:val="009C3E7B"/>
    <w:rsid w:val="009C46EB"/>
    <w:rsid w:val="009C5253"/>
    <w:rsid w:val="009C5274"/>
    <w:rsid w:val="009C5329"/>
    <w:rsid w:val="009C573D"/>
    <w:rsid w:val="009C5F5F"/>
    <w:rsid w:val="009C67A1"/>
    <w:rsid w:val="009C6994"/>
    <w:rsid w:val="009C6A85"/>
    <w:rsid w:val="009C70FD"/>
    <w:rsid w:val="009C7B97"/>
    <w:rsid w:val="009D0851"/>
    <w:rsid w:val="009D124D"/>
    <w:rsid w:val="009D1897"/>
    <w:rsid w:val="009D196F"/>
    <w:rsid w:val="009D1AD5"/>
    <w:rsid w:val="009D1AD6"/>
    <w:rsid w:val="009D1BB1"/>
    <w:rsid w:val="009D1D06"/>
    <w:rsid w:val="009D2877"/>
    <w:rsid w:val="009D30C4"/>
    <w:rsid w:val="009D3179"/>
    <w:rsid w:val="009D31E7"/>
    <w:rsid w:val="009D32A7"/>
    <w:rsid w:val="009D44EF"/>
    <w:rsid w:val="009D5BD4"/>
    <w:rsid w:val="009D5D96"/>
    <w:rsid w:val="009D69AD"/>
    <w:rsid w:val="009D74E9"/>
    <w:rsid w:val="009D787F"/>
    <w:rsid w:val="009D7C79"/>
    <w:rsid w:val="009D7FEA"/>
    <w:rsid w:val="009E0EF4"/>
    <w:rsid w:val="009E1154"/>
    <w:rsid w:val="009E161A"/>
    <w:rsid w:val="009E2786"/>
    <w:rsid w:val="009E2AB3"/>
    <w:rsid w:val="009E3255"/>
    <w:rsid w:val="009E3618"/>
    <w:rsid w:val="009E36F7"/>
    <w:rsid w:val="009E3E31"/>
    <w:rsid w:val="009E4A72"/>
    <w:rsid w:val="009E54AF"/>
    <w:rsid w:val="009E5732"/>
    <w:rsid w:val="009E59CB"/>
    <w:rsid w:val="009E61A8"/>
    <w:rsid w:val="009E68A4"/>
    <w:rsid w:val="009E71A5"/>
    <w:rsid w:val="009E71B6"/>
    <w:rsid w:val="009E779B"/>
    <w:rsid w:val="009E7FB4"/>
    <w:rsid w:val="009F0487"/>
    <w:rsid w:val="009F07DF"/>
    <w:rsid w:val="009F0AEF"/>
    <w:rsid w:val="009F1B57"/>
    <w:rsid w:val="009F1B77"/>
    <w:rsid w:val="009F1D4D"/>
    <w:rsid w:val="009F1FD7"/>
    <w:rsid w:val="009F2135"/>
    <w:rsid w:val="009F263F"/>
    <w:rsid w:val="009F27A4"/>
    <w:rsid w:val="009F2BF7"/>
    <w:rsid w:val="009F2D5F"/>
    <w:rsid w:val="009F2F4A"/>
    <w:rsid w:val="009F2FCD"/>
    <w:rsid w:val="009F3061"/>
    <w:rsid w:val="009F30E3"/>
    <w:rsid w:val="009F3303"/>
    <w:rsid w:val="009F3C65"/>
    <w:rsid w:val="009F3CE2"/>
    <w:rsid w:val="009F4110"/>
    <w:rsid w:val="009F4A9D"/>
    <w:rsid w:val="009F4CCA"/>
    <w:rsid w:val="009F4E50"/>
    <w:rsid w:val="009F5121"/>
    <w:rsid w:val="009F5985"/>
    <w:rsid w:val="009F5EA6"/>
    <w:rsid w:val="009F63D0"/>
    <w:rsid w:val="009F6522"/>
    <w:rsid w:val="009F673F"/>
    <w:rsid w:val="009F67C9"/>
    <w:rsid w:val="009F6902"/>
    <w:rsid w:val="009F6D0E"/>
    <w:rsid w:val="009F7427"/>
    <w:rsid w:val="009F742D"/>
    <w:rsid w:val="009F79CD"/>
    <w:rsid w:val="009F7AEB"/>
    <w:rsid w:val="009F7B16"/>
    <w:rsid w:val="00A00160"/>
    <w:rsid w:val="00A00A95"/>
    <w:rsid w:val="00A00AA9"/>
    <w:rsid w:val="00A0182B"/>
    <w:rsid w:val="00A02395"/>
    <w:rsid w:val="00A029C9"/>
    <w:rsid w:val="00A02D38"/>
    <w:rsid w:val="00A02E9C"/>
    <w:rsid w:val="00A036F8"/>
    <w:rsid w:val="00A03723"/>
    <w:rsid w:val="00A03A87"/>
    <w:rsid w:val="00A03C01"/>
    <w:rsid w:val="00A03F25"/>
    <w:rsid w:val="00A03F81"/>
    <w:rsid w:val="00A03FBA"/>
    <w:rsid w:val="00A0405D"/>
    <w:rsid w:val="00A0408F"/>
    <w:rsid w:val="00A0420E"/>
    <w:rsid w:val="00A04286"/>
    <w:rsid w:val="00A043DE"/>
    <w:rsid w:val="00A058C5"/>
    <w:rsid w:val="00A05D33"/>
    <w:rsid w:val="00A05DBE"/>
    <w:rsid w:val="00A06179"/>
    <w:rsid w:val="00A06369"/>
    <w:rsid w:val="00A06403"/>
    <w:rsid w:val="00A07392"/>
    <w:rsid w:val="00A07AE0"/>
    <w:rsid w:val="00A10390"/>
    <w:rsid w:val="00A106C1"/>
    <w:rsid w:val="00A109DD"/>
    <w:rsid w:val="00A10ED3"/>
    <w:rsid w:val="00A10F85"/>
    <w:rsid w:val="00A11304"/>
    <w:rsid w:val="00A11C03"/>
    <w:rsid w:val="00A11D4D"/>
    <w:rsid w:val="00A13E29"/>
    <w:rsid w:val="00A15924"/>
    <w:rsid w:val="00A15C93"/>
    <w:rsid w:val="00A16634"/>
    <w:rsid w:val="00A16AF2"/>
    <w:rsid w:val="00A16BF5"/>
    <w:rsid w:val="00A16D11"/>
    <w:rsid w:val="00A16E84"/>
    <w:rsid w:val="00A16EE3"/>
    <w:rsid w:val="00A17359"/>
    <w:rsid w:val="00A174E9"/>
    <w:rsid w:val="00A176E8"/>
    <w:rsid w:val="00A17CBF"/>
    <w:rsid w:val="00A203E7"/>
    <w:rsid w:val="00A2073E"/>
    <w:rsid w:val="00A20BED"/>
    <w:rsid w:val="00A214F6"/>
    <w:rsid w:val="00A21AC6"/>
    <w:rsid w:val="00A21BF1"/>
    <w:rsid w:val="00A2242D"/>
    <w:rsid w:val="00A22C77"/>
    <w:rsid w:val="00A23074"/>
    <w:rsid w:val="00A23079"/>
    <w:rsid w:val="00A23478"/>
    <w:rsid w:val="00A237EC"/>
    <w:rsid w:val="00A23E65"/>
    <w:rsid w:val="00A2404C"/>
    <w:rsid w:val="00A248DA"/>
    <w:rsid w:val="00A249CB"/>
    <w:rsid w:val="00A250FF"/>
    <w:rsid w:val="00A2558C"/>
    <w:rsid w:val="00A2663A"/>
    <w:rsid w:val="00A26E48"/>
    <w:rsid w:val="00A2756B"/>
    <w:rsid w:val="00A27975"/>
    <w:rsid w:val="00A27B5D"/>
    <w:rsid w:val="00A30421"/>
    <w:rsid w:val="00A3044F"/>
    <w:rsid w:val="00A30D7D"/>
    <w:rsid w:val="00A31448"/>
    <w:rsid w:val="00A316B7"/>
    <w:rsid w:val="00A31B94"/>
    <w:rsid w:val="00A31EF3"/>
    <w:rsid w:val="00A32674"/>
    <w:rsid w:val="00A326FF"/>
    <w:rsid w:val="00A32938"/>
    <w:rsid w:val="00A32B50"/>
    <w:rsid w:val="00A33724"/>
    <w:rsid w:val="00A33928"/>
    <w:rsid w:val="00A34074"/>
    <w:rsid w:val="00A34372"/>
    <w:rsid w:val="00A346C4"/>
    <w:rsid w:val="00A34703"/>
    <w:rsid w:val="00A3492E"/>
    <w:rsid w:val="00A34B1C"/>
    <w:rsid w:val="00A34B44"/>
    <w:rsid w:val="00A34E52"/>
    <w:rsid w:val="00A34EF0"/>
    <w:rsid w:val="00A3523D"/>
    <w:rsid w:val="00A35BB1"/>
    <w:rsid w:val="00A35CCA"/>
    <w:rsid w:val="00A35D2A"/>
    <w:rsid w:val="00A361C2"/>
    <w:rsid w:val="00A3648C"/>
    <w:rsid w:val="00A36DA7"/>
    <w:rsid w:val="00A37D41"/>
    <w:rsid w:val="00A37F22"/>
    <w:rsid w:val="00A4104A"/>
    <w:rsid w:val="00A41112"/>
    <w:rsid w:val="00A419DE"/>
    <w:rsid w:val="00A41A00"/>
    <w:rsid w:val="00A41CE5"/>
    <w:rsid w:val="00A41CF8"/>
    <w:rsid w:val="00A41E80"/>
    <w:rsid w:val="00A4277F"/>
    <w:rsid w:val="00A42790"/>
    <w:rsid w:val="00A42896"/>
    <w:rsid w:val="00A42975"/>
    <w:rsid w:val="00A43098"/>
    <w:rsid w:val="00A43307"/>
    <w:rsid w:val="00A43661"/>
    <w:rsid w:val="00A43E74"/>
    <w:rsid w:val="00A4426B"/>
    <w:rsid w:val="00A4442F"/>
    <w:rsid w:val="00A44476"/>
    <w:rsid w:val="00A44840"/>
    <w:rsid w:val="00A44950"/>
    <w:rsid w:val="00A45478"/>
    <w:rsid w:val="00A455E5"/>
    <w:rsid w:val="00A4584D"/>
    <w:rsid w:val="00A45E8B"/>
    <w:rsid w:val="00A46356"/>
    <w:rsid w:val="00A463C1"/>
    <w:rsid w:val="00A46524"/>
    <w:rsid w:val="00A47936"/>
    <w:rsid w:val="00A47E62"/>
    <w:rsid w:val="00A47F1E"/>
    <w:rsid w:val="00A505F0"/>
    <w:rsid w:val="00A507C5"/>
    <w:rsid w:val="00A50804"/>
    <w:rsid w:val="00A50F4D"/>
    <w:rsid w:val="00A5154D"/>
    <w:rsid w:val="00A515B2"/>
    <w:rsid w:val="00A516A7"/>
    <w:rsid w:val="00A51ECE"/>
    <w:rsid w:val="00A51FE3"/>
    <w:rsid w:val="00A522D3"/>
    <w:rsid w:val="00A526C5"/>
    <w:rsid w:val="00A53A59"/>
    <w:rsid w:val="00A53E86"/>
    <w:rsid w:val="00A53FB3"/>
    <w:rsid w:val="00A540AA"/>
    <w:rsid w:val="00A5499F"/>
    <w:rsid w:val="00A54BAF"/>
    <w:rsid w:val="00A54F67"/>
    <w:rsid w:val="00A5514B"/>
    <w:rsid w:val="00A55355"/>
    <w:rsid w:val="00A55798"/>
    <w:rsid w:val="00A55E86"/>
    <w:rsid w:val="00A55ED7"/>
    <w:rsid w:val="00A56142"/>
    <w:rsid w:val="00A564E3"/>
    <w:rsid w:val="00A569F7"/>
    <w:rsid w:val="00A56C30"/>
    <w:rsid w:val="00A56ECB"/>
    <w:rsid w:val="00A57113"/>
    <w:rsid w:val="00A576FD"/>
    <w:rsid w:val="00A57C05"/>
    <w:rsid w:val="00A57CCE"/>
    <w:rsid w:val="00A57F45"/>
    <w:rsid w:val="00A60168"/>
    <w:rsid w:val="00A60388"/>
    <w:rsid w:val="00A604FE"/>
    <w:rsid w:val="00A60D93"/>
    <w:rsid w:val="00A610B1"/>
    <w:rsid w:val="00A61423"/>
    <w:rsid w:val="00A61A8F"/>
    <w:rsid w:val="00A61FA9"/>
    <w:rsid w:val="00A62942"/>
    <w:rsid w:val="00A62BBB"/>
    <w:rsid w:val="00A62D47"/>
    <w:rsid w:val="00A63509"/>
    <w:rsid w:val="00A63C56"/>
    <w:rsid w:val="00A63D54"/>
    <w:rsid w:val="00A64435"/>
    <w:rsid w:val="00A646FD"/>
    <w:rsid w:val="00A6561E"/>
    <w:rsid w:val="00A6576B"/>
    <w:rsid w:val="00A65835"/>
    <w:rsid w:val="00A65F2C"/>
    <w:rsid w:val="00A6634F"/>
    <w:rsid w:val="00A66451"/>
    <w:rsid w:val="00A66592"/>
    <w:rsid w:val="00A666E9"/>
    <w:rsid w:val="00A666F4"/>
    <w:rsid w:val="00A66BC6"/>
    <w:rsid w:val="00A66CCE"/>
    <w:rsid w:val="00A67167"/>
    <w:rsid w:val="00A672AB"/>
    <w:rsid w:val="00A672F5"/>
    <w:rsid w:val="00A67DE1"/>
    <w:rsid w:val="00A67E01"/>
    <w:rsid w:val="00A70077"/>
    <w:rsid w:val="00A70382"/>
    <w:rsid w:val="00A703C8"/>
    <w:rsid w:val="00A708F1"/>
    <w:rsid w:val="00A70D90"/>
    <w:rsid w:val="00A7106F"/>
    <w:rsid w:val="00A71935"/>
    <w:rsid w:val="00A72B55"/>
    <w:rsid w:val="00A7356C"/>
    <w:rsid w:val="00A73E35"/>
    <w:rsid w:val="00A74DDE"/>
    <w:rsid w:val="00A74F07"/>
    <w:rsid w:val="00A75742"/>
    <w:rsid w:val="00A75BA6"/>
    <w:rsid w:val="00A75D0B"/>
    <w:rsid w:val="00A7643E"/>
    <w:rsid w:val="00A768BD"/>
    <w:rsid w:val="00A769B7"/>
    <w:rsid w:val="00A76DA4"/>
    <w:rsid w:val="00A77BA4"/>
    <w:rsid w:val="00A77DFE"/>
    <w:rsid w:val="00A80336"/>
    <w:rsid w:val="00A80451"/>
    <w:rsid w:val="00A80890"/>
    <w:rsid w:val="00A808E6"/>
    <w:rsid w:val="00A8158C"/>
    <w:rsid w:val="00A81B10"/>
    <w:rsid w:val="00A82091"/>
    <w:rsid w:val="00A8274C"/>
    <w:rsid w:val="00A83426"/>
    <w:rsid w:val="00A837C0"/>
    <w:rsid w:val="00A8424D"/>
    <w:rsid w:val="00A84AB9"/>
    <w:rsid w:val="00A854D1"/>
    <w:rsid w:val="00A85636"/>
    <w:rsid w:val="00A85A42"/>
    <w:rsid w:val="00A85FCD"/>
    <w:rsid w:val="00A864E8"/>
    <w:rsid w:val="00A86917"/>
    <w:rsid w:val="00A86BBE"/>
    <w:rsid w:val="00A870F6"/>
    <w:rsid w:val="00A875BD"/>
    <w:rsid w:val="00A90002"/>
    <w:rsid w:val="00A90BBB"/>
    <w:rsid w:val="00A90DA1"/>
    <w:rsid w:val="00A915B4"/>
    <w:rsid w:val="00A91751"/>
    <w:rsid w:val="00A91E70"/>
    <w:rsid w:val="00A9311E"/>
    <w:rsid w:val="00A9340E"/>
    <w:rsid w:val="00A938B7"/>
    <w:rsid w:val="00A93998"/>
    <w:rsid w:val="00A942AB"/>
    <w:rsid w:val="00A94407"/>
    <w:rsid w:val="00A959C0"/>
    <w:rsid w:val="00A95B69"/>
    <w:rsid w:val="00A95D1E"/>
    <w:rsid w:val="00A95E3C"/>
    <w:rsid w:val="00A9627F"/>
    <w:rsid w:val="00A96697"/>
    <w:rsid w:val="00A96707"/>
    <w:rsid w:val="00A9672C"/>
    <w:rsid w:val="00A96A04"/>
    <w:rsid w:val="00A96D6E"/>
    <w:rsid w:val="00A97AE8"/>
    <w:rsid w:val="00A97F37"/>
    <w:rsid w:val="00AA0DDD"/>
    <w:rsid w:val="00AA2134"/>
    <w:rsid w:val="00AA21CB"/>
    <w:rsid w:val="00AA2AC1"/>
    <w:rsid w:val="00AA37FF"/>
    <w:rsid w:val="00AA44BB"/>
    <w:rsid w:val="00AA483E"/>
    <w:rsid w:val="00AA4E56"/>
    <w:rsid w:val="00AA542C"/>
    <w:rsid w:val="00AA667D"/>
    <w:rsid w:val="00AA6A74"/>
    <w:rsid w:val="00AA6AA1"/>
    <w:rsid w:val="00AA6D11"/>
    <w:rsid w:val="00AA6D44"/>
    <w:rsid w:val="00AA6DD4"/>
    <w:rsid w:val="00AA6F9A"/>
    <w:rsid w:val="00AA73BD"/>
    <w:rsid w:val="00AA7810"/>
    <w:rsid w:val="00AA78D9"/>
    <w:rsid w:val="00AA79E0"/>
    <w:rsid w:val="00AA7A39"/>
    <w:rsid w:val="00AA7E1D"/>
    <w:rsid w:val="00AA9CA5"/>
    <w:rsid w:val="00AB058E"/>
    <w:rsid w:val="00AB0634"/>
    <w:rsid w:val="00AB07BB"/>
    <w:rsid w:val="00AB0814"/>
    <w:rsid w:val="00AB0C88"/>
    <w:rsid w:val="00AB0E00"/>
    <w:rsid w:val="00AB0E6F"/>
    <w:rsid w:val="00AB1299"/>
    <w:rsid w:val="00AB210E"/>
    <w:rsid w:val="00AB2303"/>
    <w:rsid w:val="00AB2685"/>
    <w:rsid w:val="00AB29B7"/>
    <w:rsid w:val="00AB2A6B"/>
    <w:rsid w:val="00AB3293"/>
    <w:rsid w:val="00AB33DE"/>
    <w:rsid w:val="00AB3D83"/>
    <w:rsid w:val="00AB4BB6"/>
    <w:rsid w:val="00AB5008"/>
    <w:rsid w:val="00AB5200"/>
    <w:rsid w:val="00AB52BC"/>
    <w:rsid w:val="00AB5643"/>
    <w:rsid w:val="00AB59D1"/>
    <w:rsid w:val="00AB5CAA"/>
    <w:rsid w:val="00AB6CF1"/>
    <w:rsid w:val="00AB77EF"/>
    <w:rsid w:val="00AB780D"/>
    <w:rsid w:val="00AB7F28"/>
    <w:rsid w:val="00AC0259"/>
    <w:rsid w:val="00AC0379"/>
    <w:rsid w:val="00AC045B"/>
    <w:rsid w:val="00AC06AE"/>
    <w:rsid w:val="00AC0805"/>
    <w:rsid w:val="00AC0BF8"/>
    <w:rsid w:val="00AC0D56"/>
    <w:rsid w:val="00AC1813"/>
    <w:rsid w:val="00AC191E"/>
    <w:rsid w:val="00AC2D72"/>
    <w:rsid w:val="00AC327B"/>
    <w:rsid w:val="00AC381F"/>
    <w:rsid w:val="00AC3ED2"/>
    <w:rsid w:val="00AC46E9"/>
    <w:rsid w:val="00AC4B11"/>
    <w:rsid w:val="00AC4B3F"/>
    <w:rsid w:val="00AC4C1E"/>
    <w:rsid w:val="00AC4D5D"/>
    <w:rsid w:val="00AC56BF"/>
    <w:rsid w:val="00AC5A97"/>
    <w:rsid w:val="00AC5DB2"/>
    <w:rsid w:val="00AC602F"/>
    <w:rsid w:val="00AC71BD"/>
    <w:rsid w:val="00AC7541"/>
    <w:rsid w:val="00AC78F7"/>
    <w:rsid w:val="00AC7C08"/>
    <w:rsid w:val="00AC7D42"/>
    <w:rsid w:val="00AC7D94"/>
    <w:rsid w:val="00AC7DE8"/>
    <w:rsid w:val="00AD0EB8"/>
    <w:rsid w:val="00AD1C04"/>
    <w:rsid w:val="00AD2510"/>
    <w:rsid w:val="00AD2AE5"/>
    <w:rsid w:val="00AD2C29"/>
    <w:rsid w:val="00AD310A"/>
    <w:rsid w:val="00AD333D"/>
    <w:rsid w:val="00AD3B46"/>
    <w:rsid w:val="00AD3BD8"/>
    <w:rsid w:val="00AD419C"/>
    <w:rsid w:val="00AD440C"/>
    <w:rsid w:val="00AD4A63"/>
    <w:rsid w:val="00AD4AB4"/>
    <w:rsid w:val="00AD4ADD"/>
    <w:rsid w:val="00AD4B32"/>
    <w:rsid w:val="00AD4E7D"/>
    <w:rsid w:val="00AD4EA2"/>
    <w:rsid w:val="00AD525F"/>
    <w:rsid w:val="00AD5436"/>
    <w:rsid w:val="00AD55F9"/>
    <w:rsid w:val="00AD63AF"/>
    <w:rsid w:val="00AD64CC"/>
    <w:rsid w:val="00AD6866"/>
    <w:rsid w:val="00AD6888"/>
    <w:rsid w:val="00AD6A32"/>
    <w:rsid w:val="00AD6AFC"/>
    <w:rsid w:val="00AD6D9A"/>
    <w:rsid w:val="00AD7C29"/>
    <w:rsid w:val="00AE01F3"/>
    <w:rsid w:val="00AE0443"/>
    <w:rsid w:val="00AE097D"/>
    <w:rsid w:val="00AE1480"/>
    <w:rsid w:val="00AE1562"/>
    <w:rsid w:val="00AE1653"/>
    <w:rsid w:val="00AE1836"/>
    <w:rsid w:val="00AE19BC"/>
    <w:rsid w:val="00AE1E03"/>
    <w:rsid w:val="00AE20C1"/>
    <w:rsid w:val="00AE245B"/>
    <w:rsid w:val="00AE253B"/>
    <w:rsid w:val="00AE2F7E"/>
    <w:rsid w:val="00AE3038"/>
    <w:rsid w:val="00AE37E8"/>
    <w:rsid w:val="00AE3DFA"/>
    <w:rsid w:val="00AE3F56"/>
    <w:rsid w:val="00AE4187"/>
    <w:rsid w:val="00AE4652"/>
    <w:rsid w:val="00AE4DEA"/>
    <w:rsid w:val="00AE5375"/>
    <w:rsid w:val="00AE67B9"/>
    <w:rsid w:val="00AE6B99"/>
    <w:rsid w:val="00AE7024"/>
    <w:rsid w:val="00AE76C6"/>
    <w:rsid w:val="00AE7941"/>
    <w:rsid w:val="00AE7D6D"/>
    <w:rsid w:val="00AF0282"/>
    <w:rsid w:val="00AF08C5"/>
    <w:rsid w:val="00AF0B12"/>
    <w:rsid w:val="00AF1D3E"/>
    <w:rsid w:val="00AF2694"/>
    <w:rsid w:val="00AF2738"/>
    <w:rsid w:val="00AF28D2"/>
    <w:rsid w:val="00AF2DCC"/>
    <w:rsid w:val="00AF3382"/>
    <w:rsid w:val="00AF3A5F"/>
    <w:rsid w:val="00AF3BA0"/>
    <w:rsid w:val="00AF40AD"/>
    <w:rsid w:val="00AF419E"/>
    <w:rsid w:val="00AF4349"/>
    <w:rsid w:val="00AF496F"/>
    <w:rsid w:val="00AF4A77"/>
    <w:rsid w:val="00AF4D4A"/>
    <w:rsid w:val="00AF57B7"/>
    <w:rsid w:val="00AF59D4"/>
    <w:rsid w:val="00AF61C6"/>
    <w:rsid w:val="00AF621F"/>
    <w:rsid w:val="00AF719A"/>
    <w:rsid w:val="00AF76CA"/>
    <w:rsid w:val="00B0007A"/>
    <w:rsid w:val="00B00997"/>
    <w:rsid w:val="00B00F4B"/>
    <w:rsid w:val="00B0117B"/>
    <w:rsid w:val="00B01255"/>
    <w:rsid w:val="00B017CB"/>
    <w:rsid w:val="00B017DD"/>
    <w:rsid w:val="00B01A9C"/>
    <w:rsid w:val="00B01D37"/>
    <w:rsid w:val="00B01E70"/>
    <w:rsid w:val="00B01EEB"/>
    <w:rsid w:val="00B01F8E"/>
    <w:rsid w:val="00B03146"/>
    <w:rsid w:val="00B033CD"/>
    <w:rsid w:val="00B03470"/>
    <w:rsid w:val="00B03558"/>
    <w:rsid w:val="00B03630"/>
    <w:rsid w:val="00B036ED"/>
    <w:rsid w:val="00B03905"/>
    <w:rsid w:val="00B03AE8"/>
    <w:rsid w:val="00B03F6E"/>
    <w:rsid w:val="00B047B7"/>
    <w:rsid w:val="00B04809"/>
    <w:rsid w:val="00B0513E"/>
    <w:rsid w:val="00B0517C"/>
    <w:rsid w:val="00B05334"/>
    <w:rsid w:val="00B05636"/>
    <w:rsid w:val="00B05803"/>
    <w:rsid w:val="00B0597A"/>
    <w:rsid w:val="00B05B37"/>
    <w:rsid w:val="00B05BF5"/>
    <w:rsid w:val="00B05DDA"/>
    <w:rsid w:val="00B06254"/>
    <w:rsid w:val="00B0703F"/>
    <w:rsid w:val="00B0708C"/>
    <w:rsid w:val="00B07276"/>
    <w:rsid w:val="00B07890"/>
    <w:rsid w:val="00B07BC7"/>
    <w:rsid w:val="00B07CF7"/>
    <w:rsid w:val="00B104E8"/>
    <w:rsid w:val="00B10591"/>
    <w:rsid w:val="00B10646"/>
    <w:rsid w:val="00B1090A"/>
    <w:rsid w:val="00B11131"/>
    <w:rsid w:val="00B11E10"/>
    <w:rsid w:val="00B11EED"/>
    <w:rsid w:val="00B12163"/>
    <w:rsid w:val="00B12412"/>
    <w:rsid w:val="00B12451"/>
    <w:rsid w:val="00B12602"/>
    <w:rsid w:val="00B1277C"/>
    <w:rsid w:val="00B13435"/>
    <w:rsid w:val="00B13991"/>
    <w:rsid w:val="00B13993"/>
    <w:rsid w:val="00B13DD6"/>
    <w:rsid w:val="00B14262"/>
    <w:rsid w:val="00B147FA"/>
    <w:rsid w:val="00B1493E"/>
    <w:rsid w:val="00B14CE1"/>
    <w:rsid w:val="00B14DA7"/>
    <w:rsid w:val="00B15D23"/>
    <w:rsid w:val="00B16D5D"/>
    <w:rsid w:val="00B17116"/>
    <w:rsid w:val="00B17140"/>
    <w:rsid w:val="00B1759C"/>
    <w:rsid w:val="00B17624"/>
    <w:rsid w:val="00B17F46"/>
    <w:rsid w:val="00B2006E"/>
    <w:rsid w:val="00B2014B"/>
    <w:rsid w:val="00B2083F"/>
    <w:rsid w:val="00B20C9A"/>
    <w:rsid w:val="00B21A55"/>
    <w:rsid w:val="00B2270A"/>
    <w:rsid w:val="00B230B0"/>
    <w:rsid w:val="00B235B7"/>
    <w:rsid w:val="00B23A75"/>
    <w:rsid w:val="00B25069"/>
    <w:rsid w:val="00B2517F"/>
    <w:rsid w:val="00B2560A"/>
    <w:rsid w:val="00B25921"/>
    <w:rsid w:val="00B25F29"/>
    <w:rsid w:val="00B2603F"/>
    <w:rsid w:val="00B262F7"/>
    <w:rsid w:val="00B26F86"/>
    <w:rsid w:val="00B27B09"/>
    <w:rsid w:val="00B27B8E"/>
    <w:rsid w:val="00B27C1A"/>
    <w:rsid w:val="00B27D43"/>
    <w:rsid w:val="00B27D66"/>
    <w:rsid w:val="00B27F06"/>
    <w:rsid w:val="00B30020"/>
    <w:rsid w:val="00B30263"/>
    <w:rsid w:val="00B302DA"/>
    <w:rsid w:val="00B3069A"/>
    <w:rsid w:val="00B306AD"/>
    <w:rsid w:val="00B306FE"/>
    <w:rsid w:val="00B308D6"/>
    <w:rsid w:val="00B30D7C"/>
    <w:rsid w:val="00B30D82"/>
    <w:rsid w:val="00B30FFE"/>
    <w:rsid w:val="00B316DB"/>
    <w:rsid w:val="00B31A9C"/>
    <w:rsid w:val="00B31AE7"/>
    <w:rsid w:val="00B3286B"/>
    <w:rsid w:val="00B32928"/>
    <w:rsid w:val="00B32BC7"/>
    <w:rsid w:val="00B32C70"/>
    <w:rsid w:val="00B33682"/>
    <w:rsid w:val="00B341FE"/>
    <w:rsid w:val="00B3477B"/>
    <w:rsid w:val="00B355AC"/>
    <w:rsid w:val="00B35B4F"/>
    <w:rsid w:val="00B35BB5"/>
    <w:rsid w:val="00B35FC3"/>
    <w:rsid w:val="00B365E1"/>
    <w:rsid w:val="00B3664D"/>
    <w:rsid w:val="00B36677"/>
    <w:rsid w:val="00B36733"/>
    <w:rsid w:val="00B36E2F"/>
    <w:rsid w:val="00B3736D"/>
    <w:rsid w:val="00B378E0"/>
    <w:rsid w:val="00B37954"/>
    <w:rsid w:val="00B37C2B"/>
    <w:rsid w:val="00B37CC0"/>
    <w:rsid w:val="00B402B9"/>
    <w:rsid w:val="00B405FB"/>
    <w:rsid w:val="00B4061A"/>
    <w:rsid w:val="00B40D3A"/>
    <w:rsid w:val="00B41535"/>
    <w:rsid w:val="00B41691"/>
    <w:rsid w:val="00B42027"/>
    <w:rsid w:val="00B42323"/>
    <w:rsid w:val="00B423E7"/>
    <w:rsid w:val="00B43166"/>
    <w:rsid w:val="00B439CC"/>
    <w:rsid w:val="00B43B70"/>
    <w:rsid w:val="00B44016"/>
    <w:rsid w:val="00B44113"/>
    <w:rsid w:val="00B44B81"/>
    <w:rsid w:val="00B44DF1"/>
    <w:rsid w:val="00B44EA8"/>
    <w:rsid w:val="00B4579A"/>
    <w:rsid w:val="00B45AD7"/>
    <w:rsid w:val="00B4629E"/>
    <w:rsid w:val="00B462A3"/>
    <w:rsid w:val="00B469ED"/>
    <w:rsid w:val="00B47275"/>
    <w:rsid w:val="00B4735C"/>
    <w:rsid w:val="00B47385"/>
    <w:rsid w:val="00B478DE"/>
    <w:rsid w:val="00B47959"/>
    <w:rsid w:val="00B50043"/>
    <w:rsid w:val="00B50445"/>
    <w:rsid w:val="00B508F6"/>
    <w:rsid w:val="00B50C1F"/>
    <w:rsid w:val="00B50EE6"/>
    <w:rsid w:val="00B50FB0"/>
    <w:rsid w:val="00B5180F"/>
    <w:rsid w:val="00B51873"/>
    <w:rsid w:val="00B5222F"/>
    <w:rsid w:val="00B52361"/>
    <w:rsid w:val="00B52619"/>
    <w:rsid w:val="00B52928"/>
    <w:rsid w:val="00B5350B"/>
    <w:rsid w:val="00B53D1A"/>
    <w:rsid w:val="00B53FBC"/>
    <w:rsid w:val="00B5406A"/>
    <w:rsid w:val="00B543B3"/>
    <w:rsid w:val="00B54C98"/>
    <w:rsid w:val="00B5572E"/>
    <w:rsid w:val="00B55B6C"/>
    <w:rsid w:val="00B55CAE"/>
    <w:rsid w:val="00B55D13"/>
    <w:rsid w:val="00B55FAA"/>
    <w:rsid w:val="00B55FB8"/>
    <w:rsid w:val="00B5674D"/>
    <w:rsid w:val="00B569A9"/>
    <w:rsid w:val="00B569C3"/>
    <w:rsid w:val="00B56B05"/>
    <w:rsid w:val="00B571CD"/>
    <w:rsid w:val="00B57378"/>
    <w:rsid w:val="00B57F15"/>
    <w:rsid w:val="00B604A9"/>
    <w:rsid w:val="00B60532"/>
    <w:rsid w:val="00B60691"/>
    <w:rsid w:val="00B60A17"/>
    <w:rsid w:val="00B60A88"/>
    <w:rsid w:val="00B60D61"/>
    <w:rsid w:val="00B6108D"/>
    <w:rsid w:val="00B6112A"/>
    <w:rsid w:val="00B615E4"/>
    <w:rsid w:val="00B616B4"/>
    <w:rsid w:val="00B618C0"/>
    <w:rsid w:val="00B626B7"/>
    <w:rsid w:val="00B62855"/>
    <w:rsid w:val="00B62E49"/>
    <w:rsid w:val="00B6364B"/>
    <w:rsid w:val="00B64004"/>
    <w:rsid w:val="00B64285"/>
    <w:rsid w:val="00B65048"/>
    <w:rsid w:val="00B655FE"/>
    <w:rsid w:val="00B66090"/>
    <w:rsid w:val="00B6630C"/>
    <w:rsid w:val="00B666DA"/>
    <w:rsid w:val="00B66BD5"/>
    <w:rsid w:val="00B674AB"/>
    <w:rsid w:val="00B67502"/>
    <w:rsid w:val="00B67626"/>
    <w:rsid w:val="00B67C6F"/>
    <w:rsid w:val="00B70833"/>
    <w:rsid w:val="00B7099F"/>
    <w:rsid w:val="00B70D52"/>
    <w:rsid w:val="00B70F47"/>
    <w:rsid w:val="00B71731"/>
    <w:rsid w:val="00B71B2C"/>
    <w:rsid w:val="00B71B7E"/>
    <w:rsid w:val="00B71E4D"/>
    <w:rsid w:val="00B7261F"/>
    <w:rsid w:val="00B72744"/>
    <w:rsid w:val="00B72C21"/>
    <w:rsid w:val="00B72C22"/>
    <w:rsid w:val="00B73336"/>
    <w:rsid w:val="00B7338E"/>
    <w:rsid w:val="00B7447C"/>
    <w:rsid w:val="00B74864"/>
    <w:rsid w:val="00B74ABA"/>
    <w:rsid w:val="00B74E2B"/>
    <w:rsid w:val="00B754CC"/>
    <w:rsid w:val="00B76708"/>
    <w:rsid w:val="00B76C67"/>
    <w:rsid w:val="00B76D54"/>
    <w:rsid w:val="00B76FFB"/>
    <w:rsid w:val="00B7771E"/>
    <w:rsid w:val="00B777B1"/>
    <w:rsid w:val="00B801C4"/>
    <w:rsid w:val="00B803BD"/>
    <w:rsid w:val="00B81ABA"/>
    <w:rsid w:val="00B8241B"/>
    <w:rsid w:val="00B824B5"/>
    <w:rsid w:val="00B82A04"/>
    <w:rsid w:val="00B82B76"/>
    <w:rsid w:val="00B82C30"/>
    <w:rsid w:val="00B832BA"/>
    <w:rsid w:val="00B842BF"/>
    <w:rsid w:val="00B844A6"/>
    <w:rsid w:val="00B8464A"/>
    <w:rsid w:val="00B848BE"/>
    <w:rsid w:val="00B84A10"/>
    <w:rsid w:val="00B84A5B"/>
    <w:rsid w:val="00B857EB"/>
    <w:rsid w:val="00B85BB8"/>
    <w:rsid w:val="00B86B1B"/>
    <w:rsid w:val="00B86D89"/>
    <w:rsid w:val="00B86EBF"/>
    <w:rsid w:val="00B8704B"/>
    <w:rsid w:val="00B8719A"/>
    <w:rsid w:val="00B873FC"/>
    <w:rsid w:val="00B87985"/>
    <w:rsid w:val="00B87EE9"/>
    <w:rsid w:val="00B906EA"/>
    <w:rsid w:val="00B909F8"/>
    <w:rsid w:val="00B90B5C"/>
    <w:rsid w:val="00B90E34"/>
    <w:rsid w:val="00B90FB6"/>
    <w:rsid w:val="00B918C5"/>
    <w:rsid w:val="00B91CCE"/>
    <w:rsid w:val="00B921A4"/>
    <w:rsid w:val="00B92500"/>
    <w:rsid w:val="00B9261D"/>
    <w:rsid w:val="00B92769"/>
    <w:rsid w:val="00B92D96"/>
    <w:rsid w:val="00B92EB7"/>
    <w:rsid w:val="00B936D7"/>
    <w:rsid w:val="00B93A00"/>
    <w:rsid w:val="00B93C09"/>
    <w:rsid w:val="00B93D55"/>
    <w:rsid w:val="00B94488"/>
    <w:rsid w:val="00B94CEA"/>
    <w:rsid w:val="00B94D2D"/>
    <w:rsid w:val="00B9549F"/>
    <w:rsid w:val="00B9588C"/>
    <w:rsid w:val="00B95B46"/>
    <w:rsid w:val="00B95C47"/>
    <w:rsid w:val="00B9616A"/>
    <w:rsid w:val="00B96980"/>
    <w:rsid w:val="00B96D65"/>
    <w:rsid w:val="00B97137"/>
    <w:rsid w:val="00B971A7"/>
    <w:rsid w:val="00B97249"/>
    <w:rsid w:val="00B974E3"/>
    <w:rsid w:val="00B975FA"/>
    <w:rsid w:val="00B976EF"/>
    <w:rsid w:val="00B977AE"/>
    <w:rsid w:val="00B97AA0"/>
    <w:rsid w:val="00B97C6C"/>
    <w:rsid w:val="00B97E21"/>
    <w:rsid w:val="00BA059A"/>
    <w:rsid w:val="00BA0828"/>
    <w:rsid w:val="00BA0914"/>
    <w:rsid w:val="00BA0AFA"/>
    <w:rsid w:val="00BA0E7C"/>
    <w:rsid w:val="00BA1567"/>
    <w:rsid w:val="00BA1636"/>
    <w:rsid w:val="00BA181B"/>
    <w:rsid w:val="00BA18D2"/>
    <w:rsid w:val="00BA21E9"/>
    <w:rsid w:val="00BA233D"/>
    <w:rsid w:val="00BA24A9"/>
    <w:rsid w:val="00BA3184"/>
    <w:rsid w:val="00BA36ED"/>
    <w:rsid w:val="00BA3815"/>
    <w:rsid w:val="00BA3DA3"/>
    <w:rsid w:val="00BA4066"/>
    <w:rsid w:val="00BA4521"/>
    <w:rsid w:val="00BA45C2"/>
    <w:rsid w:val="00BA4689"/>
    <w:rsid w:val="00BA4BF8"/>
    <w:rsid w:val="00BA543F"/>
    <w:rsid w:val="00BA5680"/>
    <w:rsid w:val="00BA5A9E"/>
    <w:rsid w:val="00BA5F1C"/>
    <w:rsid w:val="00BA6302"/>
    <w:rsid w:val="00BA6593"/>
    <w:rsid w:val="00BA693C"/>
    <w:rsid w:val="00BA6A3B"/>
    <w:rsid w:val="00BA6C27"/>
    <w:rsid w:val="00BA7C04"/>
    <w:rsid w:val="00BB09D0"/>
    <w:rsid w:val="00BB0DC0"/>
    <w:rsid w:val="00BB1179"/>
    <w:rsid w:val="00BB120B"/>
    <w:rsid w:val="00BB174F"/>
    <w:rsid w:val="00BB19B3"/>
    <w:rsid w:val="00BB1A72"/>
    <w:rsid w:val="00BB1FDF"/>
    <w:rsid w:val="00BB233D"/>
    <w:rsid w:val="00BB269D"/>
    <w:rsid w:val="00BB33EA"/>
    <w:rsid w:val="00BB39A8"/>
    <w:rsid w:val="00BB3B6D"/>
    <w:rsid w:val="00BB45E1"/>
    <w:rsid w:val="00BB4735"/>
    <w:rsid w:val="00BB4D15"/>
    <w:rsid w:val="00BB4FC7"/>
    <w:rsid w:val="00BB55DE"/>
    <w:rsid w:val="00BB5AA0"/>
    <w:rsid w:val="00BB5E09"/>
    <w:rsid w:val="00BB6531"/>
    <w:rsid w:val="00BB6AF3"/>
    <w:rsid w:val="00BB6BBA"/>
    <w:rsid w:val="00BB6C97"/>
    <w:rsid w:val="00BB6F67"/>
    <w:rsid w:val="00BB70AA"/>
    <w:rsid w:val="00BB7F6D"/>
    <w:rsid w:val="00BB7FF3"/>
    <w:rsid w:val="00BC0A07"/>
    <w:rsid w:val="00BC0F14"/>
    <w:rsid w:val="00BC13F1"/>
    <w:rsid w:val="00BC1A4C"/>
    <w:rsid w:val="00BC1BBB"/>
    <w:rsid w:val="00BC220C"/>
    <w:rsid w:val="00BC25E8"/>
    <w:rsid w:val="00BC2F2F"/>
    <w:rsid w:val="00BC3B25"/>
    <w:rsid w:val="00BC3B4F"/>
    <w:rsid w:val="00BC3C13"/>
    <w:rsid w:val="00BC4041"/>
    <w:rsid w:val="00BC40AA"/>
    <w:rsid w:val="00BC47A3"/>
    <w:rsid w:val="00BC4AD2"/>
    <w:rsid w:val="00BC5BBF"/>
    <w:rsid w:val="00BC5FF5"/>
    <w:rsid w:val="00BC61DC"/>
    <w:rsid w:val="00BC64C8"/>
    <w:rsid w:val="00BC6AE6"/>
    <w:rsid w:val="00BC7BF1"/>
    <w:rsid w:val="00BC7C9E"/>
    <w:rsid w:val="00BC7E2B"/>
    <w:rsid w:val="00BC7E83"/>
    <w:rsid w:val="00BC7EC5"/>
    <w:rsid w:val="00BD09C0"/>
    <w:rsid w:val="00BD0A3A"/>
    <w:rsid w:val="00BD0A98"/>
    <w:rsid w:val="00BD1608"/>
    <w:rsid w:val="00BD1996"/>
    <w:rsid w:val="00BD19FA"/>
    <w:rsid w:val="00BD2435"/>
    <w:rsid w:val="00BD2504"/>
    <w:rsid w:val="00BD263F"/>
    <w:rsid w:val="00BD2793"/>
    <w:rsid w:val="00BD295B"/>
    <w:rsid w:val="00BD2C0A"/>
    <w:rsid w:val="00BD300E"/>
    <w:rsid w:val="00BD3135"/>
    <w:rsid w:val="00BD3C2E"/>
    <w:rsid w:val="00BD40D7"/>
    <w:rsid w:val="00BD44AA"/>
    <w:rsid w:val="00BD4746"/>
    <w:rsid w:val="00BD4B77"/>
    <w:rsid w:val="00BD4CAD"/>
    <w:rsid w:val="00BD4DCE"/>
    <w:rsid w:val="00BD5355"/>
    <w:rsid w:val="00BD56BA"/>
    <w:rsid w:val="00BD5B4F"/>
    <w:rsid w:val="00BD5BB4"/>
    <w:rsid w:val="00BD5DB4"/>
    <w:rsid w:val="00BD61BC"/>
    <w:rsid w:val="00BD62FD"/>
    <w:rsid w:val="00BD6479"/>
    <w:rsid w:val="00BD65FB"/>
    <w:rsid w:val="00BD66AD"/>
    <w:rsid w:val="00BD66FA"/>
    <w:rsid w:val="00BD7CA2"/>
    <w:rsid w:val="00BD7D76"/>
    <w:rsid w:val="00BE08A2"/>
    <w:rsid w:val="00BE111A"/>
    <w:rsid w:val="00BE12F6"/>
    <w:rsid w:val="00BE13AB"/>
    <w:rsid w:val="00BE1B95"/>
    <w:rsid w:val="00BE2983"/>
    <w:rsid w:val="00BE3B4B"/>
    <w:rsid w:val="00BE40D2"/>
    <w:rsid w:val="00BE4212"/>
    <w:rsid w:val="00BE4329"/>
    <w:rsid w:val="00BE4A89"/>
    <w:rsid w:val="00BE4F4B"/>
    <w:rsid w:val="00BE5188"/>
    <w:rsid w:val="00BE531F"/>
    <w:rsid w:val="00BE57E8"/>
    <w:rsid w:val="00BE67BE"/>
    <w:rsid w:val="00BE6A61"/>
    <w:rsid w:val="00BE7450"/>
    <w:rsid w:val="00BE76F0"/>
    <w:rsid w:val="00BE7B49"/>
    <w:rsid w:val="00BE7BE6"/>
    <w:rsid w:val="00BF0117"/>
    <w:rsid w:val="00BF0F2C"/>
    <w:rsid w:val="00BF153A"/>
    <w:rsid w:val="00BF18B5"/>
    <w:rsid w:val="00BF1D83"/>
    <w:rsid w:val="00BF2207"/>
    <w:rsid w:val="00BF2983"/>
    <w:rsid w:val="00BF29CB"/>
    <w:rsid w:val="00BF2B27"/>
    <w:rsid w:val="00BF2BFA"/>
    <w:rsid w:val="00BF2F72"/>
    <w:rsid w:val="00BF3248"/>
    <w:rsid w:val="00BF3307"/>
    <w:rsid w:val="00BF3A53"/>
    <w:rsid w:val="00BF3DFD"/>
    <w:rsid w:val="00BF416D"/>
    <w:rsid w:val="00BF4218"/>
    <w:rsid w:val="00BF4298"/>
    <w:rsid w:val="00BF45D6"/>
    <w:rsid w:val="00BF45F0"/>
    <w:rsid w:val="00BF4B18"/>
    <w:rsid w:val="00BF4D2B"/>
    <w:rsid w:val="00BF5062"/>
    <w:rsid w:val="00BF56F5"/>
    <w:rsid w:val="00BF57FB"/>
    <w:rsid w:val="00BF674C"/>
    <w:rsid w:val="00BF75E1"/>
    <w:rsid w:val="00BF79B0"/>
    <w:rsid w:val="00C002AF"/>
    <w:rsid w:val="00C00326"/>
    <w:rsid w:val="00C0048A"/>
    <w:rsid w:val="00C005F6"/>
    <w:rsid w:val="00C00A86"/>
    <w:rsid w:val="00C00D26"/>
    <w:rsid w:val="00C00FAC"/>
    <w:rsid w:val="00C011B4"/>
    <w:rsid w:val="00C01C73"/>
    <w:rsid w:val="00C01F2F"/>
    <w:rsid w:val="00C02335"/>
    <w:rsid w:val="00C023C2"/>
    <w:rsid w:val="00C0282E"/>
    <w:rsid w:val="00C02892"/>
    <w:rsid w:val="00C02E11"/>
    <w:rsid w:val="00C0342E"/>
    <w:rsid w:val="00C03580"/>
    <w:rsid w:val="00C03DC8"/>
    <w:rsid w:val="00C03F31"/>
    <w:rsid w:val="00C03F4D"/>
    <w:rsid w:val="00C040F1"/>
    <w:rsid w:val="00C0443C"/>
    <w:rsid w:val="00C04875"/>
    <w:rsid w:val="00C05391"/>
    <w:rsid w:val="00C05F94"/>
    <w:rsid w:val="00C06761"/>
    <w:rsid w:val="00C06A20"/>
    <w:rsid w:val="00C06A73"/>
    <w:rsid w:val="00C10043"/>
    <w:rsid w:val="00C1038F"/>
    <w:rsid w:val="00C104A3"/>
    <w:rsid w:val="00C104D0"/>
    <w:rsid w:val="00C11095"/>
    <w:rsid w:val="00C1137D"/>
    <w:rsid w:val="00C113A2"/>
    <w:rsid w:val="00C115DD"/>
    <w:rsid w:val="00C11813"/>
    <w:rsid w:val="00C11E46"/>
    <w:rsid w:val="00C12092"/>
    <w:rsid w:val="00C126F6"/>
    <w:rsid w:val="00C13281"/>
    <w:rsid w:val="00C133FF"/>
    <w:rsid w:val="00C14101"/>
    <w:rsid w:val="00C1430C"/>
    <w:rsid w:val="00C14337"/>
    <w:rsid w:val="00C1445A"/>
    <w:rsid w:val="00C147CD"/>
    <w:rsid w:val="00C15D45"/>
    <w:rsid w:val="00C166D6"/>
    <w:rsid w:val="00C16808"/>
    <w:rsid w:val="00C16948"/>
    <w:rsid w:val="00C169AC"/>
    <w:rsid w:val="00C16B35"/>
    <w:rsid w:val="00C16E3B"/>
    <w:rsid w:val="00C1711F"/>
    <w:rsid w:val="00C17531"/>
    <w:rsid w:val="00C17A30"/>
    <w:rsid w:val="00C17C4E"/>
    <w:rsid w:val="00C17F7C"/>
    <w:rsid w:val="00C21236"/>
    <w:rsid w:val="00C21776"/>
    <w:rsid w:val="00C21C25"/>
    <w:rsid w:val="00C21C57"/>
    <w:rsid w:val="00C21FCF"/>
    <w:rsid w:val="00C22425"/>
    <w:rsid w:val="00C224B1"/>
    <w:rsid w:val="00C2286A"/>
    <w:rsid w:val="00C2310A"/>
    <w:rsid w:val="00C232A0"/>
    <w:rsid w:val="00C23420"/>
    <w:rsid w:val="00C2349A"/>
    <w:rsid w:val="00C239C2"/>
    <w:rsid w:val="00C23F86"/>
    <w:rsid w:val="00C2408D"/>
    <w:rsid w:val="00C24243"/>
    <w:rsid w:val="00C24855"/>
    <w:rsid w:val="00C24B57"/>
    <w:rsid w:val="00C24E8E"/>
    <w:rsid w:val="00C252C9"/>
    <w:rsid w:val="00C265C4"/>
    <w:rsid w:val="00C26623"/>
    <w:rsid w:val="00C26B50"/>
    <w:rsid w:val="00C26ED1"/>
    <w:rsid w:val="00C27145"/>
    <w:rsid w:val="00C2719C"/>
    <w:rsid w:val="00C27246"/>
    <w:rsid w:val="00C27763"/>
    <w:rsid w:val="00C27F41"/>
    <w:rsid w:val="00C30075"/>
    <w:rsid w:val="00C30113"/>
    <w:rsid w:val="00C3034E"/>
    <w:rsid w:val="00C3064B"/>
    <w:rsid w:val="00C30A09"/>
    <w:rsid w:val="00C31191"/>
    <w:rsid w:val="00C311CE"/>
    <w:rsid w:val="00C31340"/>
    <w:rsid w:val="00C3188F"/>
    <w:rsid w:val="00C31CD7"/>
    <w:rsid w:val="00C323CC"/>
    <w:rsid w:val="00C32425"/>
    <w:rsid w:val="00C325F6"/>
    <w:rsid w:val="00C32B3E"/>
    <w:rsid w:val="00C33968"/>
    <w:rsid w:val="00C3403C"/>
    <w:rsid w:val="00C346EE"/>
    <w:rsid w:val="00C34B37"/>
    <w:rsid w:val="00C34D04"/>
    <w:rsid w:val="00C34D5E"/>
    <w:rsid w:val="00C35643"/>
    <w:rsid w:val="00C357DC"/>
    <w:rsid w:val="00C35973"/>
    <w:rsid w:val="00C35CDD"/>
    <w:rsid w:val="00C36151"/>
    <w:rsid w:val="00C36E24"/>
    <w:rsid w:val="00C37033"/>
    <w:rsid w:val="00C3738A"/>
    <w:rsid w:val="00C37A89"/>
    <w:rsid w:val="00C37ECD"/>
    <w:rsid w:val="00C37FDF"/>
    <w:rsid w:val="00C401C6"/>
    <w:rsid w:val="00C402F4"/>
    <w:rsid w:val="00C4067F"/>
    <w:rsid w:val="00C40907"/>
    <w:rsid w:val="00C40B02"/>
    <w:rsid w:val="00C40F0A"/>
    <w:rsid w:val="00C421FB"/>
    <w:rsid w:val="00C4254D"/>
    <w:rsid w:val="00C42735"/>
    <w:rsid w:val="00C429BC"/>
    <w:rsid w:val="00C42B19"/>
    <w:rsid w:val="00C42BA8"/>
    <w:rsid w:val="00C432C6"/>
    <w:rsid w:val="00C437A7"/>
    <w:rsid w:val="00C43802"/>
    <w:rsid w:val="00C4390A"/>
    <w:rsid w:val="00C43C8C"/>
    <w:rsid w:val="00C43CA7"/>
    <w:rsid w:val="00C43D55"/>
    <w:rsid w:val="00C441A0"/>
    <w:rsid w:val="00C4434D"/>
    <w:rsid w:val="00C44B21"/>
    <w:rsid w:val="00C45BCF"/>
    <w:rsid w:val="00C46354"/>
    <w:rsid w:val="00C465A6"/>
    <w:rsid w:val="00C46A62"/>
    <w:rsid w:val="00C46B37"/>
    <w:rsid w:val="00C46FF8"/>
    <w:rsid w:val="00C47F9B"/>
    <w:rsid w:val="00C509EE"/>
    <w:rsid w:val="00C525B3"/>
    <w:rsid w:val="00C52D5D"/>
    <w:rsid w:val="00C52EE9"/>
    <w:rsid w:val="00C53647"/>
    <w:rsid w:val="00C53B0B"/>
    <w:rsid w:val="00C53CD7"/>
    <w:rsid w:val="00C53DC6"/>
    <w:rsid w:val="00C54246"/>
    <w:rsid w:val="00C55A95"/>
    <w:rsid w:val="00C55C13"/>
    <w:rsid w:val="00C5668B"/>
    <w:rsid w:val="00C5668C"/>
    <w:rsid w:val="00C5698A"/>
    <w:rsid w:val="00C5770C"/>
    <w:rsid w:val="00C57E89"/>
    <w:rsid w:val="00C5F460"/>
    <w:rsid w:val="00C60072"/>
    <w:rsid w:val="00C60D2A"/>
    <w:rsid w:val="00C61154"/>
    <w:rsid w:val="00C6122D"/>
    <w:rsid w:val="00C61314"/>
    <w:rsid w:val="00C618C3"/>
    <w:rsid w:val="00C61DA4"/>
    <w:rsid w:val="00C62565"/>
    <w:rsid w:val="00C629BD"/>
    <w:rsid w:val="00C63879"/>
    <w:rsid w:val="00C641DF"/>
    <w:rsid w:val="00C64410"/>
    <w:rsid w:val="00C64B17"/>
    <w:rsid w:val="00C65467"/>
    <w:rsid w:val="00C65D95"/>
    <w:rsid w:val="00C66921"/>
    <w:rsid w:val="00C66B25"/>
    <w:rsid w:val="00C66EDE"/>
    <w:rsid w:val="00C66FFE"/>
    <w:rsid w:val="00C67002"/>
    <w:rsid w:val="00C674DE"/>
    <w:rsid w:val="00C67622"/>
    <w:rsid w:val="00C67866"/>
    <w:rsid w:val="00C67AB1"/>
    <w:rsid w:val="00C67C55"/>
    <w:rsid w:val="00C67CE7"/>
    <w:rsid w:val="00C67F56"/>
    <w:rsid w:val="00C703AB"/>
    <w:rsid w:val="00C704CA"/>
    <w:rsid w:val="00C704F0"/>
    <w:rsid w:val="00C70758"/>
    <w:rsid w:val="00C70E22"/>
    <w:rsid w:val="00C71309"/>
    <w:rsid w:val="00C713E7"/>
    <w:rsid w:val="00C71839"/>
    <w:rsid w:val="00C71AED"/>
    <w:rsid w:val="00C71E02"/>
    <w:rsid w:val="00C721E8"/>
    <w:rsid w:val="00C721FF"/>
    <w:rsid w:val="00C72386"/>
    <w:rsid w:val="00C72553"/>
    <w:rsid w:val="00C72720"/>
    <w:rsid w:val="00C727A2"/>
    <w:rsid w:val="00C72B29"/>
    <w:rsid w:val="00C736F2"/>
    <w:rsid w:val="00C7402C"/>
    <w:rsid w:val="00C74209"/>
    <w:rsid w:val="00C74469"/>
    <w:rsid w:val="00C74CF4"/>
    <w:rsid w:val="00C74EAC"/>
    <w:rsid w:val="00C75CD4"/>
    <w:rsid w:val="00C75DAF"/>
    <w:rsid w:val="00C75F2D"/>
    <w:rsid w:val="00C7626C"/>
    <w:rsid w:val="00C762AD"/>
    <w:rsid w:val="00C7669F"/>
    <w:rsid w:val="00C76815"/>
    <w:rsid w:val="00C76871"/>
    <w:rsid w:val="00C77055"/>
    <w:rsid w:val="00C77149"/>
    <w:rsid w:val="00C77221"/>
    <w:rsid w:val="00C776B2"/>
    <w:rsid w:val="00C776CF"/>
    <w:rsid w:val="00C77A75"/>
    <w:rsid w:val="00C77AC4"/>
    <w:rsid w:val="00C77DF6"/>
    <w:rsid w:val="00C80065"/>
    <w:rsid w:val="00C81164"/>
    <w:rsid w:val="00C812BC"/>
    <w:rsid w:val="00C81669"/>
    <w:rsid w:val="00C817D8"/>
    <w:rsid w:val="00C81C06"/>
    <w:rsid w:val="00C81C22"/>
    <w:rsid w:val="00C81E38"/>
    <w:rsid w:val="00C81EEF"/>
    <w:rsid w:val="00C82281"/>
    <w:rsid w:val="00C82C16"/>
    <w:rsid w:val="00C83195"/>
    <w:rsid w:val="00C8331A"/>
    <w:rsid w:val="00C835C0"/>
    <w:rsid w:val="00C838E1"/>
    <w:rsid w:val="00C83F70"/>
    <w:rsid w:val="00C84312"/>
    <w:rsid w:val="00C84BDE"/>
    <w:rsid w:val="00C84FF3"/>
    <w:rsid w:val="00C85730"/>
    <w:rsid w:val="00C85B95"/>
    <w:rsid w:val="00C85EB2"/>
    <w:rsid w:val="00C85F5D"/>
    <w:rsid w:val="00C863CA"/>
    <w:rsid w:val="00C86E49"/>
    <w:rsid w:val="00C86E8A"/>
    <w:rsid w:val="00C86FED"/>
    <w:rsid w:val="00C8794F"/>
    <w:rsid w:val="00C879CC"/>
    <w:rsid w:val="00C903AE"/>
    <w:rsid w:val="00C908C7"/>
    <w:rsid w:val="00C91DA0"/>
    <w:rsid w:val="00C92215"/>
    <w:rsid w:val="00C92D66"/>
    <w:rsid w:val="00C92E5F"/>
    <w:rsid w:val="00C9308E"/>
    <w:rsid w:val="00C9347F"/>
    <w:rsid w:val="00C93E3F"/>
    <w:rsid w:val="00C940A0"/>
    <w:rsid w:val="00C940C1"/>
    <w:rsid w:val="00C941E4"/>
    <w:rsid w:val="00C948AE"/>
    <w:rsid w:val="00C9515B"/>
    <w:rsid w:val="00C95172"/>
    <w:rsid w:val="00C95173"/>
    <w:rsid w:val="00C955F2"/>
    <w:rsid w:val="00C95605"/>
    <w:rsid w:val="00C9570A"/>
    <w:rsid w:val="00C9585D"/>
    <w:rsid w:val="00C96177"/>
    <w:rsid w:val="00C96910"/>
    <w:rsid w:val="00C96B76"/>
    <w:rsid w:val="00C96ED8"/>
    <w:rsid w:val="00C9726E"/>
    <w:rsid w:val="00C974B6"/>
    <w:rsid w:val="00C975E7"/>
    <w:rsid w:val="00C97EE7"/>
    <w:rsid w:val="00CA07DB"/>
    <w:rsid w:val="00CA082A"/>
    <w:rsid w:val="00CA16EA"/>
    <w:rsid w:val="00CA1AAE"/>
    <w:rsid w:val="00CA1BE2"/>
    <w:rsid w:val="00CA216B"/>
    <w:rsid w:val="00CA2679"/>
    <w:rsid w:val="00CA3664"/>
    <w:rsid w:val="00CA397C"/>
    <w:rsid w:val="00CA39EB"/>
    <w:rsid w:val="00CA4090"/>
    <w:rsid w:val="00CA4699"/>
    <w:rsid w:val="00CA4B60"/>
    <w:rsid w:val="00CA5248"/>
    <w:rsid w:val="00CA53E0"/>
    <w:rsid w:val="00CA5821"/>
    <w:rsid w:val="00CA5AF4"/>
    <w:rsid w:val="00CA5C36"/>
    <w:rsid w:val="00CA5E69"/>
    <w:rsid w:val="00CA6611"/>
    <w:rsid w:val="00CA67DA"/>
    <w:rsid w:val="00CA6D86"/>
    <w:rsid w:val="00CA6F2A"/>
    <w:rsid w:val="00CA702F"/>
    <w:rsid w:val="00CA70D5"/>
    <w:rsid w:val="00CB010F"/>
    <w:rsid w:val="00CB0AD8"/>
    <w:rsid w:val="00CB1140"/>
    <w:rsid w:val="00CB131B"/>
    <w:rsid w:val="00CB1DEF"/>
    <w:rsid w:val="00CB231B"/>
    <w:rsid w:val="00CB29B8"/>
    <w:rsid w:val="00CB30DA"/>
    <w:rsid w:val="00CB317B"/>
    <w:rsid w:val="00CB337A"/>
    <w:rsid w:val="00CB3B8F"/>
    <w:rsid w:val="00CB464E"/>
    <w:rsid w:val="00CB488C"/>
    <w:rsid w:val="00CB4A2D"/>
    <w:rsid w:val="00CB4E29"/>
    <w:rsid w:val="00CB5818"/>
    <w:rsid w:val="00CB5D9C"/>
    <w:rsid w:val="00CB6398"/>
    <w:rsid w:val="00CB6531"/>
    <w:rsid w:val="00CB6848"/>
    <w:rsid w:val="00CC04AD"/>
    <w:rsid w:val="00CC06E0"/>
    <w:rsid w:val="00CC09D3"/>
    <w:rsid w:val="00CC0F31"/>
    <w:rsid w:val="00CC1172"/>
    <w:rsid w:val="00CC1423"/>
    <w:rsid w:val="00CC15ED"/>
    <w:rsid w:val="00CC2054"/>
    <w:rsid w:val="00CC26DF"/>
    <w:rsid w:val="00CC29D0"/>
    <w:rsid w:val="00CC2C24"/>
    <w:rsid w:val="00CC2C91"/>
    <w:rsid w:val="00CC2CBC"/>
    <w:rsid w:val="00CC3358"/>
    <w:rsid w:val="00CC33A9"/>
    <w:rsid w:val="00CC3CBC"/>
    <w:rsid w:val="00CC3E77"/>
    <w:rsid w:val="00CC4739"/>
    <w:rsid w:val="00CC50AD"/>
    <w:rsid w:val="00CC5CB5"/>
    <w:rsid w:val="00CC5FF5"/>
    <w:rsid w:val="00CC6187"/>
    <w:rsid w:val="00CC6589"/>
    <w:rsid w:val="00CC6664"/>
    <w:rsid w:val="00CC67DC"/>
    <w:rsid w:val="00CC6E30"/>
    <w:rsid w:val="00CC6EEF"/>
    <w:rsid w:val="00CC75AA"/>
    <w:rsid w:val="00CC7645"/>
    <w:rsid w:val="00CC7972"/>
    <w:rsid w:val="00CC7B83"/>
    <w:rsid w:val="00CD0221"/>
    <w:rsid w:val="00CD0483"/>
    <w:rsid w:val="00CD0835"/>
    <w:rsid w:val="00CD10FD"/>
    <w:rsid w:val="00CD113F"/>
    <w:rsid w:val="00CD1A0A"/>
    <w:rsid w:val="00CD1A83"/>
    <w:rsid w:val="00CD1CEB"/>
    <w:rsid w:val="00CD283C"/>
    <w:rsid w:val="00CD2F1A"/>
    <w:rsid w:val="00CD321A"/>
    <w:rsid w:val="00CD3330"/>
    <w:rsid w:val="00CD4061"/>
    <w:rsid w:val="00CD442B"/>
    <w:rsid w:val="00CD4BE2"/>
    <w:rsid w:val="00CD4D97"/>
    <w:rsid w:val="00CD52FF"/>
    <w:rsid w:val="00CD5352"/>
    <w:rsid w:val="00CD57B9"/>
    <w:rsid w:val="00CD580E"/>
    <w:rsid w:val="00CD69BB"/>
    <w:rsid w:val="00CD6C69"/>
    <w:rsid w:val="00CD6FBD"/>
    <w:rsid w:val="00CD7061"/>
    <w:rsid w:val="00CD7D19"/>
    <w:rsid w:val="00CD7E68"/>
    <w:rsid w:val="00CE104F"/>
    <w:rsid w:val="00CE120A"/>
    <w:rsid w:val="00CE12A3"/>
    <w:rsid w:val="00CE17F3"/>
    <w:rsid w:val="00CE1820"/>
    <w:rsid w:val="00CE22F0"/>
    <w:rsid w:val="00CE2947"/>
    <w:rsid w:val="00CE2D92"/>
    <w:rsid w:val="00CE3565"/>
    <w:rsid w:val="00CE37CF"/>
    <w:rsid w:val="00CE3D4E"/>
    <w:rsid w:val="00CE47AD"/>
    <w:rsid w:val="00CE48A1"/>
    <w:rsid w:val="00CE4952"/>
    <w:rsid w:val="00CE4AD8"/>
    <w:rsid w:val="00CE4D8E"/>
    <w:rsid w:val="00CE4DC7"/>
    <w:rsid w:val="00CE4E61"/>
    <w:rsid w:val="00CE5922"/>
    <w:rsid w:val="00CE5B1D"/>
    <w:rsid w:val="00CE6B1D"/>
    <w:rsid w:val="00CE7319"/>
    <w:rsid w:val="00CE73FD"/>
    <w:rsid w:val="00CE752D"/>
    <w:rsid w:val="00CE7C1E"/>
    <w:rsid w:val="00CEDDCB"/>
    <w:rsid w:val="00CF026A"/>
    <w:rsid w:val="00CF0299"/>
    <w:rsid w:val="00CF0359"/>
    <w:rsid w:val="00CF068B"/>
    <w:rsid w:val="00CF06F7"/>
    <w:rsid w:val="00CF1403"/>
    <w:rsid w:val="00CF16C2"/>
    <w:rsid w:val="00CF1A46"/>
    <w:rsid w:val="00CF1A47"/>
    <w:rsid w:val="00CF240A"/>
    <w:rsid w:val="00CF243F"/>
    <w:rsid w:val="00CF2AF3"/>
    <w:rsid w:val="00CF2CC7"/>
    <w:rsid w:val="00CF2FD0"/>
    <w:rsid w:val="00CF3075"/>
    <w:rsid w:val="00CF3490"/>
    <w:rsid w:val="00CF4114"/>
    <w:rsid w:val="00CF47EC"/>
    <w:rsid w:val="00CF496A"/>
    <w:rsid w:val="00CF4B62"/>
    <w:rsid w:val="00CF5BF1"/>
    <w:rsid w:val="00CF5C14"/>
    <w:rsid w:val="00CF6949"/>
    <w:rsid w:val="00CF6EE1"/>
    <w:rsid w:val="00CF73EB"/>
    <w:rsid w:val="00CF74E5"/>
    <w:rsid w:val="00CF7819"/>
    <w:rsid w:val="00CF79DD"/>
    <w:rsid w:val="00CF79ED"/>
    <w:rsid w:val="00CF7E63"/>
    <w:rsid w:val="00CF7FA9"/>
    <w:rsid w:val="00D001F6"/>
    <w:rsid w:val="00D0045C"/>
    <w:rsid w:val="00D0061A"/>
    <w:rsid w:val="00D007EF"/>
    <w:rsid w:val="00D00802"/>
    <w:rsid w:val="00D009F6"/>
    <w:rsid w:val="00D00EF3"/>
    <w:rsid w:val="00D00FAA"/>
    <w:rsid w:val="00D0157E"/>
    <w:rsid w:val="00D01955"/>
    <w:rsid w:val="00D01B93"/>
    <w:rsid w:val="00D01D0B"/>
    <w:rsid w:val="00D01DA6"/>
    <w:rsid w:val="00D020EB"/>
    <w:rsid w:val="00D026ED"/>
    <w:rsid w:val="00D027B4"/>
    <w:rsid w:val="00D029BC"/>
    <w:rsid w:val="00D03803"/>
    <w:rsid w:val="00D03807"/>
    <w:rsid w:val="00D03C21"/>
    <w:rsid w:val="00D03D5D"/>
    <w:rsid w:val="00D04179"/>
    <w:rsid w:val="00D04453"/>
    <w:rsid w:val="00D04AA2"/>
    <w:rsid w:val="00D04E48"/>
    <w:rsid w:val="00D05168"/>
    <w:rsid w:val="00D05942"/>
    <w:rsid w:val="00D05D1C"/>
    <w:rsid w:val="00D05E8C"/>
    <w:rsid w:val="00D05FFA"/>
    <w:rsid w:val="00D06135"/>
    <w:rsid w:val="00D0683C"/>
    <w:rsid w:val="00D0713D"/>
    <w:rsid w:val="00D07224"/>
    <w:rsid w:val="00D07B15"/>
    <w:rsid w:val="00D07C18"/>
    <w:rsid w:val="00D07CAA"/>
    <w:rsid w:val="00D10B8D"/>
    <w:rsid w:val="00D10FBB"/>
    <w:rsid w:val="00D113A9"/>
    <w:rsid w:val="00D118B5"/>
    <w:rsid w:val="00D11DD4"/>
    <w:rsid w:val="00D123F4"/>
    <w:rsid w:val="00D12920"/>
    <w:rsid w:val="00D137B7"/>
    <w:rsid w:val="00D138D3"/>
    <w:rsid w:val="00D13BD4"/>
    <w:rsid w:val="00D1407C"/>
    <w:rsid w:val="00D14594"/>
    <w:rsid w:val="00D145CD"/>
    <w:rsid w:val="00D14B9B"/>
    <w:rsid w:val="00D15583"/>
    <w:rsid w:val="00D15929"/>
    <w:rsid w:val="00D1615B"/>
    <w:rsid w:val="00D1645E"/>
    <w:rsid w:val="00D1651D"/>
    <w:rsid w:val="00D167CB"/>
    <w:rsid w:val="00D1681F"/>
    <w:rsid w:val="00D16B29"/>
    <w:rsid w:val="00D1719F"/>
    <w:rsid w:val="00D177BA"/>
    <w:rsid w:val="00D1797F"/>
    <w:rsid w:val="00D20B4F"/>
    <w:rsid w:val="00D21007"/>
    <w:rsid w:val="00D21629"/>
    <w:rsid w:val="00D2182A"/>
    <w:rsid w:val="00D21B7B"/>
    <w:rsid w:val="00D21C75"/>
    <w:rsid w:val="00D22FDF"/>
    <w:rsid w:val="00D2328B"/>
    <w:rsid w:val="00D2338B"/>
    <w:rsid w:val="00D245A8"/>
    <w:rsid w:val="00D24A42"/>
    <w:rsid w:val="00D24D1D"/>
    <w:rsid w:val="00D24F59"/>
    <w:rsid w:val="00D25174"/>
    <w:rsid w:val="00D25244"/>
    <w:rsid w:val="00D2536C"/>
    <w:rsid w:val="00D25ADA"/>
    <w:rsid w:val="00D25EA5"/>
    <w:rsid w:val="00D2607A"/>
    <w:rsid w:val="00D263F0"/>
    <w:rsid w:val="00D26D70"/>
    <w:rsid w:val="00D27260"/>
    <w:rsid w:val="00D27861"/>
    <w:rsid w:val="00D27D5C"/>
    <w:rsid w:val="00D3014B"/>
    <w:rsid w:val="00D30519"/>
    <w:rsid w:val="00D305AF"/>
    <w:rsid w:val="00D308C4"/>
    <w:rsid w:val="00D30B18"/>
    <w:rsid w:val="00D30C14"/>
    <w:rsid w:val="00D3117E"/>
    <w:rsid w:val="00D31B17"/>
    <w:rsid w:val="00D32003"/>
    <w:rsid w:val="00D3202E"/>
    <w:rsid w:val="00D3205B"/>
    <w:rsid w:val="00D3270D"/>
    <w:rsid w:val="00D329D8"/>
    <w:rsid w:val="00D32A73"/>
    <w:rsid w:val="00D33428"/>
    <w:rsid w:val="00D334C2"/>
    <w:rsid w:val="00D33894"/>
    <w:rsid w:val="00D34239"/>
    <w:rsid w:val="00D34782"/>
    <w:rsid w:val="00D349BA"/>
    <w:rsid w:val="00D3510D"/>
    <w:rsid w:val="00D352A6"/>
    <w:rsid w:val="00D353B2"/>
    <w:rsid w:val="00D36213"/>
    <w:rsid w:val="00D36563"/>
    <w:rsid w:val="00D36719"/>
    <w:rsid w:val="00D372C2"/>
    <w:rsid w:val="00D37CE3"/>
    <w:rsid w:val="00D37FAF"/>
    <w:rsid w:val="00D400D4"/>
    <w:rsid w:val="00D40390"/>
    <w:rsid w:val="00D407AB"/>
    <w:rsid w:val="00D411E1"/>
    <w:rsid w:val="00D41331"/>
    <w:rsid w:val="00D4190E"/>
    <w:rsid w:val="00D4197B"/>
    <w:rsid w:val="00D41BE8"/>
    <w:rsid w:val="00D42DC6"/>
    <w:rsid w:val="00D42F9C"/>
    <w:rsid w:val="00D44655"/>
    <w:rsid w:val="00D44BD2"/>
    <w:rsid w:val="00D44DD8"/>
    <w:rsid w:val="00D45183"/>
    <w:rsid w:val="00D4532E"/>
    <w:rsid w:val="00D45476"/>
    <w:rsid w:val="00D454D9"/>
    <w:rsid w:val="00D4554A"/>
    <w:rsid w:val="00D45B6F"/>
    <w:rsid w:val="00D460B8"/>
    <w:rsid w:val="00D467B6"/>
    <w:rsid w:val="00D46B3E"/>
    <w:rsid w:val="00D46DFD"/>
    <w:rsid w:val="00D4782D"/>
    <w:rsid w:val="00D47AAE"/>
    <w:rsid w:val="00D47B3D"/>
    <w:rsid w:val="00D47E9E"/>
    <w:rsid w:val="00D500FD"/>
    <w:rsid w:val="00D50476"/>
    <w:rsid w:val="00D506A3"/>
    <w:rsid w:val="00D50BD6"/>
    <w:rsid w:val="00D5108A"/>
    <w:rsid w:val="00D51927"/>
    <w:rsid w:val="00D5192B"/>
    <w:rsid w:val="00D51BED"/>
    <w:rsid w:val="00D520BB"/>
    <w:rsid w:val="00D5235C"/>
    <w:rsid w:val="00D52383"/>
    <w:rsid w:val="00D529B9"/>
    <w:rsid w:val="00D532CE"/>
    <w:rsid w:val="00D533A0"/>
    <w:rsid w:val="00D53515"/>
    <w:rsid w:val="00D53851"/>
    <w:rsid w:val="00D53CDD"/>
    <w:rsid w:val="00D54036"/>
    <w:rsid w:val="00D54445"/>
    <w:rsid w:val="00D546C0"/>
    <w:rsid w:val="00D54AA0"/>
    <w:rsid w:val="00D54C20"/>
    <w:rsid w:val="00D54ED1"/>
    <w:rsid w:val="00D5597A"/>
    <w:rsid w:val="00D55CD5"/>
    <w:rsid w:val="00D562CB"/>
    <w:rsid w:val="00D5684F"/>
    <w:rsid w:val="00D56CDA"/>
    <w:rsid w:val="00D571F4"/>
    <w:rsid w:val="00D575BD"/>
    <w:rsid w:val="00D575EB"/>
    <w:rsid w:val="00D5762F"/>
    <w:rsid w:val="00D57635"/>
    <w:rsid w:val="00D57BD4"/>
    <w:rsid w:val="00D60079"/>
    <w:rsid w:val="00D60597"/>
    <w:rsid w:val="00D60A88"/>
    <w:rsid w:val="00D60BD3"/>
    <w:rsid w:val="00D60DE9"/>
    <w:rsid w:val="00D60E10"/>
    <w:rsid w:val="00D60FC0"/>
    <w:rsid w:val="00D61205"/>
    <w:rsid w:val="00D61467"/>
    <w:rsid w:val="00D6146B"/>
    <w:rsid w:val="00D614D4"/>
    <w:rsid w:val="00D61799"/>
    <w:rsid w:val="00D620DA"/>
    <w:rsid w:val="00D6279C"/>
    <w:rsid w:val="00D62A16"/>
    <w:rsid w:val="00D62B68"/>
    <w:rsid w:val="00D62D47"/>
    <w:rsid w:val="00D632EA"/>
    <w:rsid w:val="00D636F8"/>
    <w:rsid w:val="00D63CA9"/>
    <w:rsid w:val="00D63D30"/>
    <w:rsid w:val="00D63E8B"/>
    <w:rsid w:val="00D64086"/>
    <w:rsid w:val="00D6436F"/>
    <w:rsid w:val="00D649DB"/>
    <w:rsid w:val="00D64DCD"/>
    <w:rsid w:val="00D65488"/>
    <w:rsid w:val="00D65C03"/>
    <w:rsid w:val="00D66647"/>
    <w:rsid w:val="00D66802"/>
    <w:rsid w:val="00D66B38"/>
    <w:rsid w:val="00D66FC7"/>
    <w:rsid w:val="00D6709C"/>
    <w:rsid w:val="00D6728B"/>
    <w:rsid w:val="00D67316"/>
    <w:rsid w:val="00D674E5"/>
    <w:rsid w:val="00D674F0"/>
    <w:rsid w:val="00D6761B"/>
    <w:rsid w:val="00D67734"/>
    <w:rsid w:val="00D67C46"/>
    <w:rsid w:val="00D67FAA"/>
    <w:rsid w:val="00D70186"/>
    <w:rsid w:val="00D7040E"/>
    <w:rsid w:val="00D704FA"/>
    <w:rsid w:val="00D71D00"/>
    <w:rsid w:val="00D725E9"/>
    <w:rsid w:val="00D72F3B"/>
    <w:rsid w:val="00D73E03"/>
    <w:rsid w:val="00D73EAC"/>
    <w:rsid w:val="00D741C4"/>
    <w:rsid w:val="00D75475"/>
    <w:rsid w:val="00D75B2F"/>
    <w:rsid w:val="00D75C5A"/>
    <w:rsid w:val="00D76019"/>
    <w:rsid w:val="00D765FB"/>
    <w:rsid w:val="00D776F5"/>
    <w:rsid w:val="00D77723"/>
    <w:rsid w:val="00D7788A"/>
    <w:rsid w:val="00D77DDD"/>
    <w:rsid w:val="00D7B195"/>
    <w:rsid w:val="00D80174"/>
    <w:rsid w:val="00D8067F"/>
    <w:rsid w:val="00D80773"/>
    <w:rsid w:val="00D807DA"/>
    <w:rsid w:val="00D80D19"/>
    <w:rsid w:val="00D80F2F"/>
    <w:rsid w:val="00D80F7B"/>
    <w:rsid w:val="00D81053"/>
    <w:rsid w:val="00D829E7"/>
    <w:rsid w:val="00D82CF7"/>
    <w:rsid w:val="00D836F7"/>
    <w:rsid w:val="00D83A33"/>
    <w:rsid w:val="00D8403A"/>
    <w:rsid w:val="00D8445A"/>
    <w:rsid w:val="00D84776"/>
    <w:rsid w:val="00D849E7"/>
    <w:rsid w:val="00D84BD6"/>
    <w:rsid w:val="00D84D8D"/>
    <w:rsid w:val="00D84FD0"/>
    <w:rsid w:val="00D85163"/>
    <w:rsid w:val="00D85531"/>
    <w:rsid w:val="00D855A8"/>
    <w:rsid w:val="00D8560B"/>
    <w:rsid w:val="00D86303"/>
    <w:rsid w:val="00D863BA"/>
    <w:rsid w:val="00D8644F"/>
    <w:rsid w:val="00D865C7"/>
    <w:rsid w:val="00D8689C"/>
    <w:rsid w:val="00D86DA9"/>
    <w:rsid w:val="00D86DC9"/>
    <w:rsid w:val="00D87E62"/>
    <w:rsid w:val="00D904C8"/>
    <w:rsid w:val="00D905FD"/>
    <w:rsid w:val="00D91359"/>
    <w:rsid w:val="00D91E6D"/>
    <w:rsid w:val="00D91F74"/>
    <w:rsid w:val="00D92527"/>
    <w:rsid w:val="00D92852"/>
    <w:rsid w:val="00D93DE5"/>
    <w:rsid w:val="00D94186"/>
    <w:rsid w:val="00D95C15"/>
    <w:rsid w:val="00D974AD"/>
    <w:rsid w:val="00D978EA"/>
    <w:rsid w:val="00D97E2B"/>
    <w:rsid w:val="00DA0335"/>
    <w:rsid w:val="00DA04AF"/>
    <w:rsid w:val="00DA0820"/>
    <w:rsid w:val="00DA0AFA"/>
    <w:rsid w:val="00DA15C8"/>
    <w:rsid w:val="00DA1860"/>
    <w:rsid w:val="00DA1DEC"/>
    <w:rsid w:val="00DA1EC7"/>
    <w:rsid w:val="00DA202C"/>
    <w:rsid w:val="00DA2079"/>
    <w:rsid w:val="00DA2928"/>
    <w:rsid w:val="00DA3CAD"/>
    <w:rsid w:val="00DA4209"/>
    <w:rsid w:val="00DA44DE"/>
    <w:rsid w:val="00DA4976"/>
    <w:rsid w:val="00DA4AD3"/>
    <w:rsid w:val="00DA4C80"/>
    <w:rsid w:val="00DA53B1"/>
    <w:rsid w:val="00DA5BB6"/>
    <w:rsid w:val="00DA5E07"/>
    <w:rsid w:val="00DA6345"/>
    <w:rsid w:val="00DA65EA"/>
    <w:rsid w:val="00DA66B7"/>
    <w:rsid w:val="00DA67B6"/>
    <w:rsid w:val="00DA69EE"/>
    <w:rsid w:val="00DA6AA4"/>
    <w:rsid w:val="00DA7237"/>
    <w:rsid w:val="00DA79DA"/>
    <w:rsid w:val="00DA7B9E"/>
    <w:rsid w:val="00DA7E9C"/>
    <w:rsid w:val="00DB0378"/>
    <w:rsid w:val="00DB0B3A"/>
    <w:rsid w:val="00DB0F6C"/>
    <w:rsid w:val="00DB1A7F"/>
    <w:rsid w:val="00DB1CB4"/>
    <w:rsid w:val="00DB2056"/>
    <w:rsid w:val="00DB2ADE"/>
    <w:rsid w:val="00DB300C"/>
    <w:rsid w:val="00DB3ECE"/>
    <w:rsid w:val="00DB4129"/>
    <w:rsid w:val="00DB454E"/>
    <w:rsid w:val="00DB493F"/>
    <w:rsid w:val="00DB4A76"/>
    <w:rsid w:val="00DB54A5"/>
    <w:rsid w:val="00DB5894"/>
    <w:rsid w:val="00DB5977"/>
    <w:rsid w:val="00DB5DB1"/>
    <w:rsid w:val="00DB7037"/>
    <w:rsid w:val="00DB7196"/>
    <w:rsid w:val="00DB7435"/>
    <w:rsid w:val="00DB7622"/>
    <w:rsid w:val="00DB7648"/>
    <w:rsid w:val="00DB781C"/>
    <w:rsid w:val="00DB795B"/>
    <w:rsid w:val="00DB7AA0"/>
    <w:rsid w:val="00DB7DCB"/>
    <w:rsid w:val="00DC006B"/>
    <w:rsid w:val="00DC0273"/>
    <w:rsid w:val="00DC0434"/>
    <w:rsid w:val="00DC0E9C"/>
    <w:rsid w:val="00DC10B4"/>
    <w:rsid w:val="00DC133B"/>
    <w:rsid w:val="00DC1412"/>
    <w:rsid w:val="00DC1682"/>
    <w:rsid w:val="00DC18CB"/>
    <w:rsid w:val="00DC1902"/>
    <w:rsid w:val="00DC29FB"/>
    <w:rsid w:val="00DC36AA"/>
    <w:rsid w:val="00DC38DA"/>
    <w:rsid w:val="00DC40B6"/>
    <w:rsid w:val="00DC45D6"/>
    <w:rsid w:val="00DC45FB"/>
    <w:rsid w:val="00DC4672"/>
    <w:rsid w:val="00DC46B7"/>
    <w:rsid w:val="00DC4A68"/>
    <w:rsid w:val="00DC566F"/>
    <w:rsid w:val="00DC5C7E"/>
    <w:rsid w:val="00DC5DCE"/>
    <w:rsid w:val="00DC6419"/>
    <w:rsid w:val="00DC6688"/>
    <w:rsid w:val="00DC769A"/>
    <w:rsid w:val="00DD0085"/>
    <w:rsid w:val="00DD03FA"/>
    <w:rsid w:val="00DD0450"/>
    <w:rsid w:val="00DD05C7"/>
    <w:rsid w:val="00DD0681"/>
    <w:rsid w:val="00DD09D9"/>
    <w:rsid w:val="00DD0B7C"/>
    <w:rsid w:val="00DD0C0D"/>
    <w:rsid w:val="00DD0C96"/>
    <w:rsid w:val="00DD1CE5"/>
    <w:rsid w:val="00DD2B46"/>
    <w:rsid w:val="00DD2ED1"/>
    <w:rsid w:val="00DD3217"/>
    <w:rsid w:val="00DD3265"/>
    <w:rsid w:val="00DD3739"/>
    <w:rsid w:val="00DD3752"/>
    <w:rsid w:val="00DD3920"/>
    <w:rsid w:val="00DD3CBD"/>
    <w:rsid w:val="00DD4240"/>
    <w:rsid w:val="00DD4441"/>
    <w:rsid w:val="00DD45B5"/>
    <w:rsid w:val="00DD47D7"/>
    <w:rsid w:val="00DD4B4B"/>
    <w:rsid w:val="00DD4E16"/>
    <w:rsid w:val="00DD544F"/>
    <w:rsid w:val="00DD5475"/>
    <w:rsid w:val="00DD5CC6"/>
    <w:rsid w:val="00DD5FB1"/>
    <w:rsid w:val="00DD6A9F"/>
    <w:rsid w:val="00DD6AC7"/>
    <w:rsid w:val="00DD7257"/>
    <w:rsid w:val="00DD7BAD"/>
    <w:rsid w:val="00DE01F8"/>
    <w:rsid w:val="00DE0685"/>
    <w:rsid w:val="00DE0DAF"/>
    <w:rsid w:val="00DE0F31"/>
    <w:rsid w:val="00DE1124"/>
    <w:rsid w:val="00DE131E"/>
    <w:rsid w:val="00DE149E"/>
    <w:rsid w:val="00DE165B"/>
    <w:rsid w:val="00DE1797"/>
    <w:rsid w:val="00DE1C68"/>
    <w:rsid w:val="00DE1FB3"/>
    <w:rsid w:val="00DE2194"/>
    <w:rsid w:val="00DE234E"/>
    <w:rsid w:val="00DE244E"/>
    <w:rsid w:val="00DE2925"/>
    <w:rsid w:val="00DE2D42"/>
    <w:rsid w:val="00DE3055"/>
    <w:rsid w:val="00DE30C4"/>
    <w:rsid w:val="00DE3199"/>
    <w:rsid w:val="00DE3286"/>
    <w:rsid w:val="00DE3494"/>
    <w:rsid w:val="00DE3B12"/>
    <w:rsid w:val="00DE3F8D"/>
    <w:rsid w:val="00DE4D93"/>
    <w:rsid w:val="00DE54F9"/>
    <w:rsid w:val="00DE5AD2"/>
    <w:rsid w:val="00DE5CAF"/>
    <w:rsid w:val="00DE5F77"/>
    <w:rsid w:val="00DE6692"/>
    <w:rsid w:val="00DE6CDC"/>
    <w:rsid w:val="00DE6FBF"/>
    <w:rsid w:val="00DE714B"/>
    <w:rsid w:val="00DE721A"/>
    <w:rsid w:val="00DE7A12"/>
    <w:rsid w:val="00DE7AE7"/>
    <w:rsid w:val="00DF0212"/>
    <w:rsid w:val="00DF063C"/>
    <w:rsid w:val="00DF0762"/>
    <w:rsid w:val="00DF098C"/>
    <w:rsid w:val="00DF09E3"/>
    <w:rsid w:val="00DF1173"/>
    <w:rsid w:val="00DF13A6"/>
    <w:rsid w:val="00DF1C46"/>
    <w:rsid w:val="00DF1DBF"/>
    <w:rsid w:val="00DF1E16"/>
    <w:rsid w:val="00DF22D7"/>
    <w:rsid w:val="00DF2F84"/>
    <w:rsid w:val="00DF3979"/>
    <w:rsid w:val="00DF3ABE"/>
    <w:rsid w:val="00DF3B6E"/>
    <w:rsid w:val="00DF3C6B"/>
    <w:rsid w:val="00DF3DF8"/>
    <w:rsid w:val="00DF40CF"/>
    <w:rsid w:val="00DF44BF"/>
    <w:rsid w:val="00DF460E"/>
    <w:rsid w:val="00DF4740"/>
    <w:rsid w:val="00DF52D5"/>
    <w:rsid w:val="00DF5713"/>
    <w:rsid w:val="00DF5B27"/>
    <w:rsid w:val="00DF5EB9"/>
    <w:rsid w:val="00DF6093"/>
    <w:rsid w:val="00DF60DA"/>
    <w:rsid w:val="00DF6AA4"/>
    <w:rsid w:val="00DF72B9"/>
    <w:rsid w:val="00DF7A81"/>
    <w:rsid w:val="00E01193"/>
    <w:rsid w:val="00E01315"/>
    <w:rsid w:val="00E0190D"/>
    <w:rsid w:val="00E01ED3"/>
    <w:rsid w:val="00E02170"/>
    <w:rsid w:val="00E03217"/>
    <w:rsid w:val="00E0382B"/>
    <w:rsid w:val="00E03A08"/>
    <w:rsid w:val="00E03BDE"/>
    <w:rsid w:val="00E04784"/>
    <w:rsid w:val="00E04866"/>
    <w:rsid w:val="00E04F5B"/>
    <w:rsid w:val="00E05257"/>
    <w:rsid w:val="00E056F2"/>
    <w:rsid w:val="00E06077"/>
    <w:rsid w:val="00E060C2"/>
    <w:rsid w:val="00E060E2"/>
    <w:rsid w:val="00E069B0"/>
    <w:rsid w:val="00E06BA4"/>
    <w:rsid w:val="00E06DDA"/>
    <w:rsid w:val="00E07077"/>
    <w:rsid w:val="00E07291"/>
    <w:rsid w:val="00E0799E"/>
    <w:rsid w:val="00E07AE1"/>
    <w:rsid w:val="00E10587"/>
    <w:rsid w:val="00E10BFC"/>
    <w:rsid w:val="00E10C3A"/>
    <w:rsid w:val="00E10D30"/>
    <w:rsid w:val="00E10F82"/>
    <w:rsid w:val="00E11286"/>
    <w:rsid w:val="00E115A7"/>
    <w:rsid w:val="00E11DA5"/>
    <w:rsid w:val="00E12AFC"/>
    <w:rsid w:val="00E13206"/>
    <w:rsid w:val="00E1367F"/>
    <w:rsid w:val="00E138A9"/>
    <w:rsid w:val="00E14427"/>
    <w:rsid w:val="00E147D7"/>
    <w:rsid w:val="00E14A3B"/>
    <w:rsid w:val="00E15AC0"/>
    <w:rsid w:val="00E15B34"/>
    <w:rsid w:val="00E15D31"/>
    <w:rsid w:val="00E15D88"/>
    <w:rsid w:val="00E162EE"/>
    <w:rsid w:val="00E16F9E"/>
    <w:rsid w:val="00E1785B"/>
    <w:rsid w:val="00E17B66"/>
    <w:rsid w:val="00E205D8"/>
    <w:rsid w:val="00E206E8"/>
    <w:rsid w:val="00E20AE9"/>
    <w:rsid w:val="00E21549"/>
    <w:rsid w:val="00E217E0"/>
    <w:rsid w:val="00E2196E"/>
    <w:rsid w:val="00E21AE5"/>
    <w:rsid w:val="00E22660"/>
    <w:rsid w:val="00E22761"/>
    <w:rsid w:val="00E231A6"/>
    <w:rsid w:val="00E23656"/>
    <w:rsid w:val="00E24560"/>
    <w:rsid w:val="00E247C9"/>
    <w:rsid w:val="00E2482B"/>
    <w:rsid w:val="00E2486B"/>
    <w:rsid w:val="00E24D30"/>
    <w:rsid w:val="00E24E5F"/>
    <w:rsid w:val="00E252A6"/>
    <w:rsid w:val="00E254FD"/>
    <w:rsid w:val="00E2555D"/>
    <w:rsid w:val="00E257D9"/>
    <w:rsid w:val="00E266E6"/>
    <w:rsid w:val="00E26832"/>
    <w:rsid w:val="00E26CF6"/>
    <w:rsid w:val="00E26D25"/>
    <w:rsid w:val="00E2754F"/>
    <w:rsid w:val="00E304B7"/>
    <w:rsid w:val="00E31700"/>
    <w:rsid w:val="00E31941"/>
    <w:rsid w:val="00E31CC7"/>
    <w:rsid w:val="00E31E5F"/>
    <w:rsid w:val="00E32044"/>
    <w:rsid w:val="00E321EC"/>
    <w:rsid w:val="00E32A55"/>
    <w:rsid w:val="00E32F3E"/>
    <w:rsid w:val="00E332B3"/>
    <w:rsid w:val="00E334F8"/>
    <w:rsid w:val="00E33885"/>
    <w:rsid w:val="00E33C40"/>
    <w:rsid w:val="00E33EB9"/>
    <w:rsid w:val="00E34679"/>
    <w:rsid w:val="00E346FE"/>
    <w:rsid w:val="00E3470A"/>
    <w:rsid w:val="00E34768"/>
    <w:rsid w:val="00E34992"/>
    <w:rsid w:val="00E35CAD"/>
    <w:rsid w:val="00E35E66"/>
    <w:rsid w:val="00E36B77"/>
    <w:rsid w:val="00E36DA6"/>
    <w:rsid w:val="00E36E97"/>
    <w:rsid w:val="00E36FE3"/>
    <w:rsid w:val="00E37A32"/>
    <w:rsid w:val="00E37B78"/>
    <w:rsid w:val="00E37F9F"/>
    <w:rsid w:val="00E413EF"/>
    <w:rsid w:val="00E4165D"/>
    <w:rsid w:val="00E423B7"/>
    <w:rsid w:val="00E423E7"/>
    <w:rsid w:val="00E42730"/>
    <w:rsid w:val="00E42824"/>
    <w:rsid w:val="00E42AA0"/>
    <w:rsid w:val="00E42B1D"/>
    <w:rsid w:val="00E42B88"/>
    <w:rsid w:val="00E42F97"/>
    <w:rsid w:val="00E42FC2"/>
    <w:rsid w:val="00E4329E"/>
    <w:rsid w:val="00E433D1"/>
    <w:rsid w:val="00E433F4"/>
    <w:rsid w:val="00E4371D"/>
    <w:rsid w:val="00E43CE9"/>
    <w:rsid w:val="00E43D3D"/>
    <w:rsid w:val="00E43DE8"/>
    <w:rsid w:val="00E43FC7"/>
    <w:rsid w:val="00E44296"/>
    <w:rsid w:val="00E446B7"/>
    <w:rsid w:val="00E44D80"/>
    <w:rsid w:val="00E44E99"/>
    <w:rsid w:val="00E452CD"/>
    <w:rsid w:val="00E4552E"/>
    <w:rsid w:val="00E456CA"/>
    <w:rsid w:val="00E456DD"/>
    <w:rsid w:val="00E45B06"/>
    <w:rsid w:val="00E45F2B"/>
    <w:rsid w:val="00E45F61"/>
    <w:rsid w:val="00E468D5"/>
    <w:rsid w:val="00E46BF8"/>
    <w:rsid w:val="00E4724A"/>
    <w:rsid w:val="00E4748D"/>
    <w:rsid w:val="00E47660"/>
    <w:rsid w:val="00E502B6"/>
    <w:rsid w:val="00E502EB"/>
    <w:rsid w:val="00E503E5"/>
    <w:rsid w:val="00E50B7C"/>
    <w:rsid w:val="00E513FC"/>
    <w:rsid w:val="00E51CC6"/>
    <w:rsid w:val="00E52150"/>
    <w:rsid w:val="00E5286E"/>
    <w:rsid w:val="00E5339D"/>
    <w:rsid w:val="00E536AC"/>
    <w:rsid w:val="00E539E8"/>
    <w:rsid w:val="00E53D3A"/>
    <w:rsid w:val="00E543F1"/>
    <w:rsid w:val="00E544E6"/>
    <w:rsid w:val="00E54801"/>
    <w:rsid w:val="00E54C19"/>
    <w:rsid w:val="00E54E10"/>
    <w:rsid w:val="00E554C1"/>
    <w:rsid w:val="00E555AB"/>
    <w:rsid w:val="00E557D2"/>
    <w:rsid w:val="00E564EE"/>
    <w:rsid w:val="00E566A2"/>
    <w:rsid w:val="00E567DB"/>
    <w:rsid w:val="00E56DB4"/>
    <w:rsid w:val="00E5709F"/>
    <w:rsid w:val="00E571DD"/>
    <w:rsid w:val="00E57235"/>
    <w:rsid w:val="00E5732D"/>
    <w:rsid w:val="00E59167"/>
    <w:rsid w:val="00E61229"/>
    <w:rsid w:val="00E618B8"/>
    <w:rsid w:val="00E61A39"/>
    <w:rsid w:val="00E622A3"/>
    <w:rsid w:val="00E622D0"/>
    <w:rsid w:val="00E62851"/>
    <w:rsid w:val="00E633F6"/>
    <w:rsid w:val="00E6347B"/>
    <w:rsid w:val="00E63A47"/>
    <w:rsid w:val="00E642CE"/>
    <w:rsid w:val="00E64807"/>
    <w:rsid w:val="00E64AFC"/>
    <w:rsid w:val="00E64DE4"/>
    <w:rsid w:val="00E64E48"/>
    <w:rsid w:val="00E65223"/>
    <w:rsid w:val="00E653D3"/>
    <w:rsid w:val="00E65AFB"/>
    <w:rsid w:val="00E661EB"/>
    <w:rsid w:val="00E66466"/>
    <w:rsid w:val="00E66546"/>
    <w:rsid w:val="00E66907"/>
    <w:rsid w:val="00E67B4D"/>
    <w:rsid w:val="00E67CD2"/>
    <w:rsid w:val="00E67ECA"/>
    <w:rsid w:val="00E710C7"/>
    <w:rsid w:val="00E7158D"/>
    <w:rsid w:val="00E72057"/>
    <w:rsid w:val="00E72A7F"/>
    <w:rsid w:val="00E72BBF"/>
    <w:rsid w:val="00E72C4D"/>
    <w:rsid w:val="00E72D35"/>
    <w:rsid w:val="00E72EBD"/>
    <w:rsid w:val="00E73B31"/>
    <w:rsid w:val="00E73B66"/>
    <w:rsid w:val="00E73D4B"/>
    <w:rsid w:val="00E742CA"/>
    <w:rsid w:val="00E74524"/>
    <w:rsid w:val="00E74697"/>
    <w:rsid w:val="00E74D47"/>
    <w:rsid w:val="00E752E9"/>
    <w:rsid w:val="00E75A93"/>
    <w:rsid w:val="00E760AA"/>
    <w:rsid w:val="00E76202"/>
    <w:rsid w:val="00E765B5"/>
    <w:rsid w:val="00E7669C"/>
    <w:rsid w:val="00E76D80"/>
    <w:rsid w:val="00E76F4F"/>
    <w:rsid w:val="00E76FD4"/>
    <w:rsid w:val="00E771BA"/>
    <w:rsid w:val="00E77AA6"/>
    <w:rsid w:val="00E77D05"/>
    <w:rsid w:val="00E77D47"/>
    <w:rsid w:val="00E80F71"/>
    <w:rsid w:val="00E81054"/>
    <w:rsid w:val="00E81063"/>
    <w:rsid w:val="00E81133"/>
    <w:rsid w:val="00E8116E"/>
    <w:rsid w:val="00E8177F"/>
    <w:rsid w:val="00E81B64"/>
    <w:rsid w:val="00E82C79"/>
    <w:rsid w:val="00E82F32"/>
    <w:rsid w:val="00E83934"/>
    <w:rsid w:val="00E83C67"/>
    <w:rsid w:val="00E8508F"/>
    <w:rsid w:val="00E854EF"/>
    <w:rsid w:val="00E857BD"/>
    <w:rsid w:val="00E862A7"/>
    <w:rsid w:val="00E869BD"/>
    <w:rsid w:val="00E86AE6"/>
    <w:rsid w:val="00E87456"/>
    <w:rsid w:val="00E87554"/>
    <w:rsid w:val="00E8756B"/>
    <w:rsid w:val="00E87BF0"/>
    <w:rsid w:val="00E87DCA"/>
    <w:rsid w:val="00E90775"/>
    <w:rsid w:val="00E90A23"/>
    <w:rsid w:val="00E90C70"/>
    <w:rsid w:val="00E91476"/>
    <w:rsid w:val="00E91A1B"/>
    <w:rsid w:val="00E91D22"/>
    <w:rsid w:val="00E92CEA"/>
    <w:rsid w:val="00E93EAC"/>
    <w:rsid w:val="00E941AB"/>
    <w:rsid w:val="00E955B9"/>
    <w:rsid w:val="00E956C2"/>
    <w:rsid w:val="00E95F34"/>
    <w:rsid w:val="00E96E38"/>
    <w:rsid w:val="00E979C4"/>
    <w:rsid w:val="00E97E29"/>
    <w:rsid w:val="00EA00D8"/>
    <w:rsid w:val="00EA0218"/>
    <w:rsid w:val="00EA0566"/>
    <w:rsid w:val="00EA0AA6"/>
    <w:rsid w:val="00EA0BDB"/>
    <w:rsid w:val="00EA0CD3"/>
    <w:rsid w:val="00EA0E0A"/>
    <w:rsid w:val="00EA0E15"/>
    <w:rsid w:val="00EA0F2F"/>
    <w:rsid w:val="00EA1B85"/>
    <w:rsid w:val="00EA21E4"/>
    <w:rsid w:val="00EA2809"/>
    <w:rsid w:val="00EA298D"/>
    <w:rsid w:val="00EA2A6F"/>
    <w:rsid w:val="00EA2A8C"/>
    <w:rsid w:val="00EA31D8"/>
    <w:rsid w:val="00EA3550"/>
    <w:rsid w:val="00EA3CEF"/>
    <w:rsid w:val="00EA3E3A"/>
    <w:rsid w:val="00EA4564"/>
    <w:rsid w:val="00EA48BE"/>
    <w:rsid w:val="00EA493D"/>
    <w:rsid w:val="00EA5367"/>
    <w:rsid w:val="00EA5D0F"/>
    <w:rsid w:val="00EA6594"/>
    <w:rsid w:val="00EA7314"/>
    <w:rsid w:val="00EA763C"/>
    <w:rsid w:val="00EB03D8"/>
    <w:rsid w:val="00EB0A30"/>
    <w:rsid w:val="00EB0ECA"/>
    <w:rsid w:val="00EB151A"/>
    <w:rsid w:val="00EB1672"/>
    <w:rsid w:val="00EB19B0"/>
    <w:rsid w:val="00EB2059"/>
    <w:rsid w:val="00EB2499"/>
    <w:rsid w:val="00EB24E2"/>
    <w:rsid w:val="00EB319E"/>
    <w:rsid w:val="00EB3299"/>
    <w:rsid w:val="00EB3A4A"/>
    <w:rsid w:val="00EB3B0F"/>
    <w:rsid w:val="00EB3D4D"/>
    <w:rsid w:val="00EB4087"/>
    <w:rsid w:val="00EB425F"/>
    <w:rsid w:val="00EB42AF"/>
    <w:rsid w:val="00EB49FA"/>
    <w:rsid w:val="00EB4F30"/>
    <w:rsid w:val="00EB55EE"/>
    <w:rsid w:val="00EB5897"/>
    <w:rsid w:val="00EB5948"/>
    <w:rsid w:val="00EB5962"/>
    <w:rsid w:val="00EB60B5"/>
    <w:rsid w:val="00EB6968"/>
    <w:rsid w:val="00EB6C1D"/>
    <w:rsid w:val="00EB6D5B"/>
    <w:rsid w:val="00EB762A"/>
    <w:rsid w:val="00EB7A09"/>
    <w:rsid w:val="00EB7B5A"/>
    <w:rsid w:val="00EB7C20"/>
    <w:rsid w:val="00EC0607"/>
    <w:rsid w:val="00EC072E"/>
    <w:rsid w:val="00EC0B3B"/>
    <w:rsid w:val="00EC0FE4"/>
    <w:rsid w:val="00EC13C6"/>
    <w:rsid w:val="00EC22DB"/>
    <w:rsid w:val="00EC26F9"/>
    <w:rsid w:val="00EC2FC2"/>
    <w:rsid w:val="00EC31F1"/>
    <w:rsid w:val="00EC3569"/>
    <w:rsid w:val="00EC35BD"/>
    <w:rsid w:val="00EC35F4"/>
    <w:rsid w:val="00EC4D11"/>
    <w:rsid w:val="00EC5144"/>
    <w:rsid w:val="00EC5A2C"/>
    <w:rsid w:val="00EC5ABA"/>
    <w:rsid w:val="00EC5B17"/>
    <w:rsid w:val="00EC5C1B"/>
    <w:rsid w:val="00EC5E33"/>
    <w:rsid w:val="00EC6432"/>
    <w:rsid w:val="00EC6B69"/>
    <w:rsid w:val="00EC6E05"/>
    <w:rsid w:val="00EC6F56"/>
    <w:rsid w:val="00EC6F89"/>
    <w:rsid w:val="00EC7B5B"/>
    <w:rsid w:val="00ED03E2"/>
    <w:rsid w:val="00ED0AB2"/>
    <w:rsid w:val="00ED1184"/>
    <w:rsid w:val="00ED1627"/>
    <w:rsid w:val="00ED19AA"/>
    <w:rsid w:val="00ED1E35"/>
    <w:rsid w:val="00ED20DC"/>
    <w:rsid w:val="00ED3537"/>
    <w:rsid w:val="00ED3B8C"/>
    <w:rsid w:val="00ED3D71"/>
    <w:rsid w:val="00ED3D8A"/>
    <w:rsid w:val="00ED403F"/>
    <w:rsid w:val="00ED43AF"/>
    <w:rsid w:val="00ED4C17"/>
    <w:rsid w:val="00ED4EE5"/>
    <w:rsid w:val="00ED4EF4"/>
    <w:rsid w:val="00ED511D"/>
    <w:rsid w:val="00ED54C4"/>
    <w:rsid w:val="00ED5AEA"/>
    <w:rsid w:val="00ED6372"/>
    <w:rsid w:val="00ED65D9"/>
    <w:rsid w:val="00ED6CFD"/>
    <w:rsid w:val="00ED6EE9"/>
    <w:rsid w:val="00EE00A4"/>
    <w:rsid w:val="00EE0512"/>
    <w:rsid w:val="00EE05FD"/>
    <w:rsid w:val="00EE0790"/>
    <w:rsid w:val="00EE0897"/>
    <w:rsid w:val="00EE0BBF"/>
    <w:rsid w:val="00EE1788"/>
    <w:rsid w:val="00EE17D5"/>
    <w:rsid w:val="00EE1888"/>
    <w:rsid w:val="00EE249D"/>
    <w:rsid w:val="00EE2603"/>
    <w:rsid w:val="00EE419E"/>
    <w:rsid w:val="00EE439D"/>
    <w:rsid w:val="00EE4636"/>
    <w:rsid w:val="00EE4774"/>
    <w:rsid w:val="00EE534B"/>
    <w:rsid w:val="00EE54BD"/>
    <w:rsid w:val="00EE618B"/>
    <w:rsid w:val="00EE61CE"/>
    <w:rsid w:val="00EE6478"/>
    <w:rsid w:val="00EE6578"/>
    <w:rsid w:val="00EE66B0"/>
    <w:rsid w:val="00EE6A29"/>
    <w:rsid w:val="00EE6A46"/>
    <w:rsid w:val="00EE6D58"/>
    <w:rsid w:val="00EE6FAD"/>
    <w:rsid w:val="00EE7678"/>
    <w:rsid w:val="00EE77A6"/>
    <w:rsid w:val="00EE7A53"/>
    <w:rsid w:val="00EF0144"/>
    <w:rsid w:val="00EF0258"/>
    <w:rsid w:val="00EF0593"/>
    <w:rsid w:val="00EF108D"/>
    <w:rsid w:val="00EF15BF"/>
    <w:rsid w:val="00EF1D10"/>
    <w:rsid w:val="00EF1F05"/>
    <w:rsid w:val="00EF1F6B"/>
    <w:rsid w:val="00EF2505"/>
    <w:rsid w:val="00EF3188"/>
    <w:rsid w:val="00EF350C"/>
    <w:rsid w:val="00EF36AD"/>
    <w:rsid w:val="00EF3A63"/>
    <w:rsid w:val="00EF4C56"/>
    <w:rsid w:val="00EF513B"/>
    <w:rsid w:val="00EF5221"/>
    <w:rsid w:val="00EF5A67"/>
    <w:rsid w:val="00EF5DC9"/>
    <w:rsid w:val="00EF602A"/>
    <w:rsid w:val="00EF63AA"/>
    <w:rsid w:val="00EF6FC4"/>
    <w:rsid w:val="00EF7A8B"/>
    <w:rsid w:val="00EF7B69"/>
    <w:rsid w:val="00EF7C8D"/>
    <w:rsid w:val="00F004CF"/>
    <w:rsid w:val="00F00A82"/>
    <w:rsid w:val="00F00E66"/>
    <w:rsid w:val="00F01000"/>
    <w:rsid w:val="00F0110B"/>
    <w:rsid w:val="00F0130F"/>
    <w:rsid w:val="00F014AC"/>
    <w:rsid w:val="00F022A1"/>
    <w:rsid w:val="00F02906"/>
    <w:rsid w:val="00F03298"/>
    <w:rsid w:val="00F03C93"/>
    <w:rsid w:val="00F03CAD"/>
    <w:rsid w:val="00F03EED"/>
    <w:rsid w:val="00F04356"/>
    <w:rsid w:val="00F05199"/>
    <w:rsid w:val="00F05E2D"/>
    <w:rsid w:val="00F05EF0"/>
    <w:rsid w:val="00F05F90"/>
    <w:rsid w:val="00F06E72"/>
    <w:rsid w:val="00F0739E"/>
    <w:rsid w:val="00F1022F"/>
    <w:rsid w:val="00F1026B"/>
    <w:rsid w:val="00F1065E"/>
    <w:rsid w:val="00F10EC1"/>
    <w:rsid w:val="00F1129C"/>
    <w:rsid w:val="00F115D6"/>
    <w:rsid w:val="00F11698"/>
    <w:rsid w:val="00F116EB"/>
    <w:rsid w:val="00F11706"/>
    <w:rsid w:val="00F11754"/>
    <w:rsid w:val="00F117A7"/>
    <w:rsid w:val="00F11A69"/>
    <w:rsid w:val="00F124B3"/>
    <w:rsid w:val="00F12668"/>
    <w:rsid w:val="00F12D41"/>
    <w:rsid w:val="00F14191"/>
    <w:rsid w:val="00F1426A"/>
    <w:rsid w:val="00F14A7F"/>
    <w:rsid w:val="00F15F21"/>
    <w:rsid w:val="00F168C3"/>
    <w:rsid w:val="00F16AB0"/>
    <w:rsid w:val="00F16B39"/>
    <w:rsid w:val="00F16C7E"/>
    <w:rsid w:val="00F16F6A"/>
    <w:rsid w:val="00F17142"/>
    <w:rsid w:val="00F17381"/>
    <w:rsid w:val="00F17691"/>
    <w:rsid w:val="00F17DAE"/>
    <w:rsid w:val="00F1A8F7"/>
    <w:rsid w:val="00F2084B"/>
    <w:rsid w:val="00F211C6"/>
    <w:rsid w:val="00F216FE"/>
    <w:rsid w:val="00F21900"/>
    <w:rsid w:val="00F219DA"/>
    <w:rsid w:val="00F21F3E"/>
    <w:rsid w:val="00F21F71"/>
    <w:rsid w:val="00F22162"/>
    <w:rsid w:val="00F22214"/>
    <w:rsid w:val="00F2280C"/>
    <w:rsid w:val="00F22AF0"/>
    <w:rsid w:val="00F23141"/>
    <w:rsid w:val="00F235A4"/>
    <w:rsid w:val="00F236CA"/>
    <w:rsid w:val="00F23B80"/>
    <w:rsid w:val="00F240A6"/>
    <w:rsid w:val="00F2420E"/>
    <w:rsid w:val="00F2474F"/>
    <w:rsid w:val="00F24AFA"/>
    <w:rsid w:val="00F24CEB"/>
    <w:rsid w:val="00F2551C"/>
    <w:rsid w:val="00F25838"/>
    <w:rsid w:val="00F25A16"/>
    <w:rsid w:val="00F25C15"/>
    <w:rsid w:val="00F25CE9"/>
    <w:rsid w:val="00F2621E"/>
    <w:rsid w:val="00F26364"/>
    <w:rsid w:val="00F26622"/>
    <w:rsid w:val="00F267E5"/>
    <w:rsid w:val="00F26B2E"/>
    <w:rsid w:val="00F26C2A"/>
    <w:rsid w:val="00F26CD3"/>
    <w:rsid w:val="00F26FD3"/>
    <w:rsid w:val="00F2714A"/>
    <w:rsid w:val="00F27577"/>
    <w:rsid w:val="00F27869"/>
    <w:rsid w:val="00F27BB0"/>
    <w:rsid w:val="00F27D09"/>
    <w:rsid w:val="00F30B75"/>
    <w:rsid w:val="00F30BA9"/>
    <w:rsid w:val="00F30F22"/>
    <w:rsid w:val="00F317B5"/>
    <w:rsid w:val="00F31AD8"/>
    <w:rsid w:val="00F32D55"/>
    <w:rsid w:val="00F32E51"/>
    <w:rsid w:val="00F32ED1"/>
    <w:rsid w:val="00F32F1D"/>
    <w:rsid w:val="00F3306C"/>
    <w:rsid w:val="00F331B7"/>
    <w:rsid w:val="00F3408A"/>
    <w:rsid w:val="00F3426E"/>
    <w:rsid w:val="00F34477"/>
    <w:rsid w:val="00F34498"/>
    <w:rsid w:val="00F347FF"/>
    <w:rsid w:val="00F349B7"/>
    <w:rsid w:val="00F34AC3"/>
    <w:rsid w:val="00F34B84"/>
    <w:rsid w:val="00F34F14"/>
    <w:rsid w:val="00F353DB"/>
    <w:rsid w:val="00F35960"/>
    <w:rsid w:val="00F359EB"/>
    <w:rsid w:val="00F36189"/>
    <w:rsid w:val="00F3621B"/>
    <w:rsid w:val="00F369D8"/>
    <w:rsid w:val="00F370B4"/>
    <w:rsid w:val="00F37372"/>
    <w:rsid w:val="00F378A1"/>
    <w:rsid w:val="00F378A9"/>
    <w:rsid w:val="00F3793E"/>
    <w:rsid w:val="00F40133"/>
    <w:rsid w:val="00F40805"/>
    <w:rsid w:val="00F4087E"/>
    <w:rsid w:val="00F4142A"/>
    <w:rsid w:val="00F417E8"/>
    <w:rsid w:val="00F418E5"/>
    <w:rsid w:val="00F41BB0"/>
    <w:rsid w:val="00F41FA0"/>
    <w:rsid w:val="00F42480"/>
    <w:rsid w:val="00F424C6"/>
    <w:rsid w:val="00F42DBF"/>
    <w:rsid w:val="00F43B8D"/>
    <w:rsid w:val="00F43BE4"/>
    <w:rsid w:val="00F43D39"/>
    <w:rsid w:val="00F43DBF"/>
    <w:rsid w:val="00F44062"/>
    <w:rsid w:val="00F4422F"/>
    <w:rsid w:val="00F444BA"/>
    <w:rsid w:val="00F44D04"/>
    <w:rsid w:val="00F453EE"/>
    <w:rsid w:val="00F45420"/>
    <w:rsid w:val="00F45439"/>
    <w:rsid w:val="00F456D0"/>
    <w:rsid w:val="00F45AD3"/>
    <w:rsid w:val="00F45B1E"/>
    <w:rsid w:val="00F460D9"/>
    <w:rsid w:val="00F465D7"/>
    <w:rsid w:val="00F470D1"/>
    <w:rsid w:val="00F50000"/>
    <w:rsid w:val="00F50422"/>
    <w:rsid w:val="00F504C2"/>
    <w:rsid w:val="00F505CF"/>
    <w:rsid w:val="00F509BD"/>
    <w:rsid w:val="00F50A91"/>
    <w:rsid w:val="00F50F16"/>
    <w:rsid w:val="00F5152D"/>
    <w:rsid w:val="00F51AF4"/>
    <w:rsid w:val="00F52392"/>
    <w:rsid w:val="00F527F7"/>
    <w:rsid w:val="00F52E46"/>
    <w:rsid w:val="00F53610"/>
    <w:rsid w:val="00F5365A"/>
    <w:rsid w:val="00F53956"/>
    <w:rsid w:val="00F5397B"/>
    <w:rsid w:val="00F53A4C"/>
    <w:rsid w:val="00F5412D"/>
    <w:rsid w:val="00F54488"/>
    <w:rsid w:val="00F5468C"/>
    <w:rsid w:val="00F5468E"/>
    <w:rsid w:val="00F54DE0"/>
    <w:rsid w:val="00F54F40"/>
    <w:rsid w:val="00F55783"/>
    <w:rsid w:val="00F55919"/>
    <w:rsid w:val="00F559B7"/>
    <w:rsid w:val="00F559C0"/>
    <w:rsid w:val="00F55AED"/>
    <w:rsid w:val="00F55CEB"/>
    <w:rsid w:val="00F55F8D"/>
    <w:rsid w:val="00F55FC6"/>
    <w:rsid w:val="00F568E0"/>
    <w:rsid w:val="00F56E5C"/>
    <w:rsid w:val="00F57038"/>
    <w:rsid w:val="00F57106"/>
    <w:rsid w:val="00F572E9"/>
    <w:rsid w:val="00F576DC"/>
    <w:rsid w:val="00F57B0A"/>
    <w:rsid w:val="00F60080"/>
    <w:rsid w:val="00F6027A"/>
    <w:rsid w:val="00F60580"/>
    <w:rsid w:val="00F60745"/>
    <w:rsid w:val="00F60916"/>
    <w:rsid w:val="00F620F7"/>
    <w:rsid w:val="00F626A2"/>
    <w:rsid w:val="00F628B0"/>
    <w:rsid w:val="00F62EA1"/>
    <w:rsid w:val="00F62F85"/>
    <w:rsid w:val="00F631B0"/>
    <w:rsid w:val="00F63B2F"/>
    <w:rsid w:val="00F6402C"/>
    <w:rsid w:val="00F6436A"/>
    <w:rsid w:val="00F643FE"/>
    <w:rsid w:val="00F6477B"/>
    <w:rsid w:val="00F647D0"/>
    <w:rsid w:val="00F64947"/>
    <w:rsid w:val="00F64D5C"/>
    <w:rsid w:val="00F6579E"/>
    <w:rsid w:val="00F65852"/>
    <w:rsid w:val="00F65AE7"/>
    <w:rsid w:val="00F65B66"/>
    <w:rsid w:val="00F65C66"/>
    <w:rsid w:val="00F65EBC"/>
    <w:rsid w:val="00F6692F"/>
    <w:rsid w:val="00F66953"/>
    <w:rsid w:val="00F66F4F"/>
    <w:rsid w:val="00F6730A"/>
    <w:rsid w:val="00F674E8"/>
    <w:rsid w:val="00F7026C"/>
    <w:rsid w:val="00F70D2E"/>
    <w:rsid w:val="00F712FE"/>
    <w:rsid w:val="00F713BB"/>
    <w:rsid w:val="00F718F6"/>
    <w:rsid w:val="00F71AD2"/>
    <w:rsid w:val="00F72386"/>
    <w:rsid w:val="00F7263B"/>
    <w:rsid w:val="00F72CF0"/>
    <w:rsid w:val="00F72DCE"/>
    <w:rsid w:val="00F72E0E"/>
    <w:rsid w:val="00F7377D"/>
    <w:rsid w:val="00F73791"/>
    <w:rsid w:val="00F745FC"/>
    <w:rsid w:val="00F7466E"/>
    <w:rsid w:val="00F74C3E"/>
    <w:rsid w:val="00F7532B"/>
    <w:rsid w:val="00F75613"/>
    <w:rsid w:val="00F756C8"/>
    <w:rsid w:val="00F75A51"/>
    <w:rsid w:val="00F75AC5"/>
    <w:rsid w:val="00F75CFF"/>
    <w:rsid w:val="00F75D76"/>
    <w:rsid w:val="00F76243"/>
    <w:rsid w:val="00F76697"/>
    <w:rsid w:val="00F77040"/>
    <w:rsid w:val="00F7735D"/>
    <w:rsid w:val="00F80044"/>
    <w:rsid w:val="00F8010A"/>
    <w:rsid w:val="00F80220"/>
    <w:rsid w:val="00F803E6"/>
    <w:rsid w:val="00F807CC"/>
    <w:rsid w:val="00F80BC9"/>
    <w:rsid w:val="00F80D05"/>
    <w:rsid w:val="00F80F77"/>
    <w:rsid w:val="00F8154D"/>
    <w:rsid w:val="00F81695"/>
    <w:rsid w:val="00F81794"/>
    <w:rsid w:val="00F8194E"/>
    <w:rsid w:val="00F81AAB"/>
    <w:rsid w:val="00F81AB9"/>
    <w:rsid w:val="00F81E56"/>
    <w:rsid w:val="00F82020"/>
    <w:rsid w:val="00F824DA"/>
    <w:rsid w:val="00F82568"/>
    <w:rsid w:val="00F829AD"/>
    <w:rsid w:val="00F82C77"/>
    <w:rsid w:val="00F83651"/>
    <w:rsid w:val="00F836F1"/>
    <w:rsid w:val="00F837F8"/>
    <w:rsid w:val="00F83BD3"/>
    <w:rsid w:val="00F83E17"/>
    <w:rsid w:val="00F83E6B"/>
    <w:rsid w:val="00F83EE6"/>
    <w:rsid w:val="00F842F3"/>
    <w:rsid w:val="00F84416"/>
    <w:rsid w:val="00F84482"/>
    <w:rsid w:val="00F84796"/>
    <w:rsid w:val="00F84876"/>
    <w:rsid w:val="00F84998"/>
    <w:rsid w:val="00F84AE8"/>
    <w:rsid w:val="00F8528C"/>
    <w:rsid w:val="00F8563E"/>
    <w:rsid w:val="00F8579C"/>
    <w:rsid w:val="00F85A4A"/>
    <w:rsid w:val="00F861D5"/>
    <w:rsid w:val="00F866CA"/>
    <w:rsid w:val="00F867F3"/>
    <w:rsid w:val="00F86A66"/>
    <w:rsid w:val="00F87541"/>
    <w:rsid w:val="00F877AE"/>
    <w:rsid w:val="00F87CF2"/>
    <w:rsid w:val="00F90041"/>
    <w:rsid w:val="00F901FE"/>
    <w:rsid w:val="00F90D11"/>
    <w:rsid w:val="00F91999"/>
    <w:rsid w:val="00F91DD8"/>
    <w:rsid w:val="00F91F0F"/>
    <w:rsid w:val="00F92458"/>
    <w:rsid w:val="00F928F0"/>
    <w:rsid w:val="00F93B15"/>
    <w:rsid w:val="00F93B91"/>
    <w:rsid w:val="00F941CE"/>
    <w:rsid w:val="00F94D37"/>
    <w:rsid w:val="00F952A5"/>
    <w:rsid w:val="00F95518"/>
    <w:rsid w:val="00F955B7"/>
    <w:rsid w:val="00F956F1"/>
    <w:rsid w:val="00F95A9B"/>
    <w:rsid w:val="00F95C7F"/>
    <w:rsid w:val="00F95E52"/>
    <w:rsid w:val="00F961AD"/>
    <w:rsid w:val="00F9654B"/>
    <w:rsid w:val="00F967D6"/>
    <w:rsid w:val="00F9725C"/>
    <w:rsid w:val="00F97285"/>
    <w:rsid w:val="00F9782F"/>
    <w:rsid w:val="00F97DE4"/>
    <w:rsid w:val="00FA0046"/>
    <w:rsid w:val="00FA01DA"/>
    <w:rsid w:val="00FA0EDA"/>
    <w:rsid w:val="00FA10DF"/>
    <w:rsid w:val="00FA14D7"/>
    <w:rsid w:val="00FA1A16"/>
    <w:rsid w:val="00FA2159"/>
    <w:rsid w:val="00FA2C3B"/>
    <w:rsid w:val="00FA2DAB"/>
    <w:rsid w:val="00FA2FA8"/>
    <w:rsid w:val="00FA379A"/>
    <w:rsid w:val="00FA426E"/>
    <w:rsid w:val="00FA4355"/>
    <w:rsid w:val="00FA43A7"/>
    <w:rsid w:val="00FA44F7"/>
    <w:rsid w:val="00FA46AE"/>
    <w:rsid w:val="00FA4B45"/>
    <w:rsid w:val="00FA4CF7"/>
    <w:rsid w:val="00FA52C7"/>
    <w:rsid w:val="00FA56D5"/>
    <w:rsid w:val="00FA5A28"/>
    <w:rsid w:val="00FA5C42"/>
    <w:rsid w:val="00FA6059"/>
    <w:rsid w:val="00FA60E4"/>
    <w:rsid w:val="00FA67B0"/>
    <w:rsid w:val="00FA6AC1"/>
    <w:rsid w:val="00FA6D74"/>
    <w:rsid w:val="00FA71FC"/>
    <w:rsid w:val="00FA7311"/>
    <w:rsid w:val="00FA7467"/>
    <w:rsid w:val="00FB1067"/>
    <w:rsid w:val="00FB126B"/>
    <w:rsid w:val="00FB15DB"/>
    <w:rsid w:val="00FB172D"/>
    <w:rsid w:val="00FB24E6"/>
    <w:rsid w:val="00FB28A1"/>
    <w:rsid w:val="00FB28C9"/>
    <w:rsid w:val="00FB2A60"/>
    <w:rsid w:val="00FB2AD1"/>
    <w:rsid w:val="00FB2B08"/>
    <w:rsid w:val="00FB2D26"/>
    <w:rsid w:val="00FB2DB2"/>
    <w:rsid w:val="00FB3416"/>
    <w:rsid w:val="00FB34F8"/>
    <w:rsid w:val="00FB370A"/>
    <w:rsid w:val="00FB3CC8"/>
    <w:rsid w:val="00FB3D72"/>
    <w:rsid w:val="00FB4319"/>
    <w:rsid w:val="00FB4D50"/>
    <w:rsid w:val="00FB5092"/>
    <w:rsid w:val="00FB520A"/>
    <w:rsid w:val="00FB5A9F"/>
    <w:rsid w:val="00FB5C3E"/>
    <w:rsid w:val="00FB5D61"/>
    <w:rsid w:val="00FB5E5E"/>
    <w:rsid w:val="00FB61E0"/>
    <w:rsid w:val="00FB62B9"/>
    <w:rsid w:val="00FB69C5"/>
    <w:rsid w:val="00FB6CC7"/>
    <w:rsid w:val="00FB6F52"/>
    <w:rsid w:val="00FB74F3"/>
    <w:rsid w:val="00FB75B9"/>
    <w:rsid w:val="00FB75F2"/>
    <w:rsid w:val="00FB78CC"/>
    <w:rsid w:val="00FB7D65"/>
    <w:rsid w:val="00FC04B3"/>
    <w:rsid w:val="00FC0B99"/>
    <w:rsid w:val="00FC1279"/>
    <w:rsid w:val="00FC1865"/>
    <w:rsid w:val="00FC1ADA"/>
    <w:rsid w:val="00FC1D41"/>
    <w:rsid w:val="00FC2188"/>
    <w:rsid w:val="00FC3525"/>
    <w:rsid w:val="00FC40D8"/>
    <w:rsid w:val="00FC419E"/>
    <w:rsid w:val="00FC4218"/>
    <w:rsid w:val="00FC46E8"/>
    <w:rsid w:val="00FC4BC4"/>
    <w:rsid w:val="00FC5791"/>
    <w:rsid w:val="00FC5D8C"/>
    <w:rsid w:val="00FC5E3F"/>
    <w:rsid w:val="00FC63A3"/>
    <w:rsid w:val="00FC6679"/>
    <w:rsid w:val="00FC6983"/>
    <w:rsid w:val="00FC6B55"/>
    <w:rsid w:val="00FC71FE"/>
    <w:rsid w:val="00FC7633"/>
    <w:rsid w:val="00FC7726"/>
    <w:rsid w:val="00FC7879"/>
    <w:rsid w:val="00FC78D2"/>
    <w:rsid w:val="00FC7C3D"/>
    <w:rsid w:val="00FC7C74"/>
    <w:rsid w:val="00FD022C"/>
    <w:rsid w:val="00FD0287"/>
    <w:rsid w:val="00FD089D"/>
    <w:rsid w:val="00FD1207"/>
    <w:rsid w:val="00FD1263"/>
    <w:rsid w:val="00FD12BC"/>
    <w:rsid w:val="00FD17CB"/>
    <w:rsid w:val="00FD204A"/>
    <w:rsid w:val="00FD2193"/>
    <w:rsid w:val="00FD2794"/>
    <w:rsid w:val="00FD2885"/>
    <w:rsid w:val="00FD2907"/>
    <w:rsid w:val="00FD2D3F"/>
    <w:rsid w:val="00FD2DA2"/>
    <w:rsid w:val="00FD3211"/>
    <w:rsid w:val="00FD3675"/>
    <w:rsid w:val="00FD3B1D"/>
    <w:rsid w:val="00FD3D15"/>
    <w:rsid w:val="00FD4029"/>
    <w:rsid w:val="00FD405A"/>
    <w:rsid w:val="00FD40FA"/>
    <w:rsid w:val="00FD42EF"/>
    <w:rsid w:val="00FD46A6"/>
    <w:rsid w:val="00FD491C"/>
    <w:rsid w:val="00FD4FAD"/>
    <w:rsid w:val="00FD509D"/>
    <w:rsid w:val="00FD534F"/>
    <w:rsid w:val="00FD6894"/>
    <w:rsid w:val="00FD69C0"/>
    <w:rsid w:val="00FD6EE0"/>
    <w:rsid w:val="00FD72B7"/>
    <w:rsid w:val="00FD7B2A"/>
    <w:rsid w:val="00FE111B"/>
    <w:rsid w:val="00FE13A7"/>
    <w:rsid w:val="00FE173A"/>
    <w:rsid w:val="00FE1A22"/>
    <w:rsid w:val="00FE1E39"/>
    <w:rsid w:val="00FE221A"/>
    <w:rsid w:val="00FE2452"/>
    <w:rsid w:val="00FE27C3"/>
    <w:rsid w:val="00FE2AB4"/>
    <w:rsid w:val="00FE2C24"/>
    <w:rsid w:val="00FE2C6B"/>
    <w:rsid w:val="00FE2D27"/>
    <w:rsid w:val="00FE4AE6"/>
    <w:rsid w:val="00FE4B13"/>
    <w:rsid w:val="00FE4E36"/>
    <w:rsid w:val="00FE4EF6"/>
    <w:rsid w:val="00FE58F4"/>
    <w:rsid w:val="00FE6D68"/>
    <w:rsid w:val="00FE7E5F"/>
    <w:rsid w:val="00FE7F73"/>
    <w:rsid w:val="00FF0D8F"/>
    <w:rsid w:val="00FF0ED3"/>
    <w:rsid w:val="00FF133B"/>
    <w:rsid w:val="00FF13D2"/>
    <w:rsid w:val="00FF1A1D"/>
    <w:rsid w:val="00FF1A9D"/>
    <w:rsid w:val="00FF1CD4"/>
    <w:rsid w:val="00FF24C1"/>
    <w:rsid w:val="00FF2C17"/>
    <w:rsid w:val="00FF2D8D"/>
    <w:rsid w:val="00FF2FF5"/>
    <w:rsid w:val="00FF35A2"/>
    <w:rsid w:val="00FF36E0"/>
    <w:rsid w:val="00FF376B"/>
    <w:rsid w:val="00FF3797"/>
    <w:rsid w:val="00FF3C85"/>
    <w:rsid w:val="00FF3EC3"/>
    <w:rsid w:val="00FF4294"/>
    <w:rsid w:val="00FF4414"/>
    <w:rsid w:val="00FF4592"/>
    <w:rsid w:val="00FF477F"/>
    <w:rsid w:val="00FF4974"/>
    <w:rsid w:val="00FF4B94"/>
    <w:rsid w:val="00FF5372"/>
    <w:rsid w:val="00FF579B"/>
    <w:rsid w:val="00FF5FDE"/>
    <w:rsid w:val="00FF613C"/>
    <w:rsid w:val="00FF62BC"/>
    <w:rsid w:val="00FF6524"/>
    <w:rsid w:val="00FF6878"/>
    <w:rsid w:val="00FF6A91"/>
    <w:rsid w:val="00FF6ACD"/>
    <w:rsid w:val="00FF6BD1"/>
    <w:rsid w:val="00FF6DC4"/>
    <w:rsid w:val="00FF7362"/>
    <w:rsid w:val="00FF754C"/>
    <w:rsid w:val="0103032F"/>
    <w:rsid w:val="011FB246"/>
    <w:rsid w:val="0120FFF9"/>
    <w:rsid w:val="0127EF7C"/>
    <w:rsid w:val="012BE9B0"/>
    <w:rsid w:val="013569E9"/>
    <w:rsid w:val="013E4036"/>
    <w:rsid w:val="013F0D55"/>
    <w:rsid w:val="01453FDA"/>
    <w:rsid w:val="0153C87A"/>
    <w:rsid w:val="0157E75C"/>
    <w:rsid w:val="015CEFFB"/>
    <w:rsid w:val="015E0BD2"/>
    <w:rsid w:val="016490FC"/>
    <w:rsid w:val="0165E164"/>
    <w:rsid w:val="016D3CBF"/>
    <w:rsid w:val="017C7EC3"/>
    <w:rsid w:val="018CD60C"/>
    <w:rsid w:val="0194ADC3"/>
    <w:rsid w:val="019B66C2"/>
    <w:rsid w:val="01B24814"/>
    <w:rsid w:val="01B937BF"/>
    <w:rsid w:val="01BC2989"/>
    <w:rsid w:val="01BF38D3"/>
    <w:rsid w:val="01C46A2F"/>
    <w:rsid w:val="01CECD05"/>
    <w:rsid w:val="01DF29EB"/>
    <w:rsid w:val="01E3F03A"/>
    <w:rsid w:val="01EDDF09"/>
    <w:rsid w:val="01F96494"/>
    <w:rsid w:val="020CEB10"/>
    <w:rsid w:val="0212EC73"/>
    <w:rsid w:val="02387E03"/>
    <w:rsid w:val="0242EA5A"/>
    <w:rsid w:val="024494B6"/>
    <w:rsid w:val="025454E0"/>
    <w:rsid w:val="025FCCA9"/>
    <w:rsid w:val="0266E977"/>
    <w:rsid w:val="0289D70D"/>
    <w:rsid w:val="0291289D"/>
    <w:rsid w:val="029CE63E"/>
    <w:rsid w:val="02AF13AA"/>
    <w:rsid w:val="02B05924"/>
    <w:rsid w:val="02B72B6A"/>
    <w:rsid w:val="02C92642"/>
    <w:rsid w:val="02CD627E"/>
    <w:rsid w:val="02D49B35"/>
    <w:rsid w:val="02DA26D1"/>
    <w:rsid w:val="02DA3C88"/>
    <w:rsid w:val="02FAA116"/>
    <w:rsid w:val="02FD8CA4"/>
    <w:rsid w:val="0309C7BA"/>
    <w:rsid w:val="030C046F"/>
    <w:rsid w:val="03186265"/>
    <w:rsid w:val="031EA22E"/>
    <w:rsid w:val="0321756C"/>
    <w:rsid w:val="032DCDAD"/>
    <w:rsid w:val="033BE2D1"/>
    <w:rsid w:val="034A8E57"/>
    <w:rsid w:val="03503C98"/>
    <w:rsid w:val="0359E5B7"/>
    <w:rsid w:val="035EF4E9"/>
    <w:rsid w:val="036E346F"/>
    <w:rsid w:val="03727FFF"/>
    <w:rsid w:val="03783C56"/>
    <w:rsid w:val="03881D4E"/>
    <w:rsid w:val="0390EAB4"/>
    <w:rsid w:val="0398CB83"/>
    <w:rsid w:val="039C4063"/>
    <w:rsid w:val="03A62705"/>
    <w:rsid w:val="03AA7CD1"/>
    <w:rsid w:val="03B8F05C"/>
    <w:rsid w:val="03BBDEFC"/>
    <w:rsid w:val="03BD13F3"/>
    <w:rsid w:val="03DFE1DE"/>
    <w:rsid w:val="03E175CA"/>
    <w:rsid w:val="03F8E377"/>
    <w:rsid w:val="0403369E"/>
    <w:rsid w:val="04036263"/>
    <w:rsid w:val="0411F9A3"/>
    <w:rsid w:val="0413F014"/>
    <w:rsid w:val="0418B75C"/>
    <w:rsid w:val="0419D773"/>
    <w:rsid w:val="0421664E"/>
    <w:rsid w:val="0422026D"/>
    <w:rsid w:val="0429A73B"/>
    <w:rsid w:val="042ABE76"/>
    <w:rsid w:val="042E5143"/>
    <w:rsid w:val="044575B8"/>
    <w:rsid w:val="0448E0D0"/>
    <w:rsid w:val="044E9D46"/>
    <w:rsid w:val="0453D05D"/>
    <w:rsid w:val="046A5776"/>
    <w:rsid w:val="047E32AB"/>
    <w:rsid w:val="049FA187"/>
    <w:rsid w:val="04AAB2ED"/>
    <w:rsid w:val="04BC6899"/>
    <w:rsid w:val="04BFB810"/>
    <w:rsid w:val="04C91847"/>
    <w:rsid w:val="04D82148"/>
    <w:rsid w:val="04E1B6D4"/>
    <w:rsid w:val="04E60F11"/>
    <w:rsid w:val="04F0F85C"/>
    <w:rsid w:val="04F4AEA5"/>
    <w:rsid w:val="04F4B601"/>
    <w:rsid w:val="052610EE"/>
    <w:rsid w:val="0529D876"/>
    <w:rsid w:val="052F697D"/>
    <w:rsid w:val="05537F06"/>
    <w:rsid w:val="0564457F"/>
    <w:rsid w:val="056476E0"/>
    <w:rsid w:val="056D4239"/>
    <w:rsid w:val="057D98C5"/>
    <w:rsid w:val="05886CCE"/>
    <w:rsid w:val="05955AE1"/>
    <w:rsid w:val="059C1CC6"/>
    <w:rsid w:val="05A8D9A4"/>
    <w:rsid w:val="05AA3733"/>
    <w:rsid w:val="05B43E9E"/>
    <w:rsid w:val="05BA969E"/>
    <w:rsid w:val="05D3AD90"/>
    <w:rsid w:val="05D427F2"/>
    <w:rsid w:val="05D8D1EA"/>
    <w:rsid w:val="05D9292A"/>
    <w:rsid w:val="05DCE3CD"/>
    <w:rsid w:val="05EE1FC0"/>
    <w:rsid w:val="05FC9D79"/>
    <w:rsid w:val="060477FA"/>
    <w:rsid w:val="0618B9E5"/>
    <w:rsid w:val="062E0BBC"/>
    <w:rsid w:val="06363CB9"/>
    <w:rsid w:val="0641C2A2"/>
    <w:rsid w:val="064DA779"/>
    <w:rsid w:val="0656786F"/>
    <w:rsid w:val="065C1E1C"/>
    <w:rsid w:val="06660934"/>
    <w:rsid w:val="0678188F"/>
    <w:rsid w:val="0688A404"/>
    <w:rsid w:val="0689B259"/>
    <w:rsid w:val="0689F518"/>
    <w:rsid w:val="06A1FBD1"/>
    <w:rsid w:val="06ACCCD3"/>
    <w:rsid w:val="06AD6D80"/>
    <w:rsid w:val="06C67F49"/>
    <w:rsid w:val="06C93641"/>
    <w:rsid w:val="06E33A96"/>
    <w:rsid w:val="06E460AF"/>
    <w:rsid w:val="06FA58FA"/>
    <w:rsid w:val="0701C06B"/>
    <w:rsid w:val="07113877"/>
    <w:rsid w:val="071FDD21"/>
    <w:rsid w:val="0728777A"/>
    <w:rsid w:val="072BD5E4"/>
    <w:rsid w:val="0739730D"/>
    <w:rsid w:val="073B509C"/>
    <w:rsid w:val="0755B536"/>
    <w:rsid w:val="0759CB79"/>
    <w:rsid w:val="07662435"/>
    <w:rsid w:val="0785F32B"/>
    <w:rsid w:val="078B1C27"/>
    <w:rsid w:val="078DE99D"/>
    <w:rsid w:val="078DFAFF"/>
    <w:rsid w:val="07E0FBC2"/>
    <w:rsid w:val="07E59764"/>
    <w:rsid w:val="07EE2195"/>
    <w:rsid w:val="07FD18B5"/>
    <w:rsid w:val="080E30D2"/>
    <w:rsid w:val="081510B1"/>
    <w:rsid w:val="0826AE21"/>
    <w:rsid w:val="084D483A"/>
    <w:rsid w:val="085F501D"/>
    <w:rsid w:val="08653CC5"/>
    <w:rsid w:val="0866CF99"/>
    <w:rsid w:val="086DB486"/>
    <w:rsid w:val="08755621"/>
    <w:rsid w:val="08879398"/>
    <w:rsid w:val="0895CE64"/>
    <w:rsid w:val="08BAD100"/>
    <w:rsid w:val="08BBE78B"/>
    <w:rsid w:val="08BFA0B3"/>
    <w:rsid w:val="08E00B8E"/>
    <w:rsid w:val="08E56328"/>
    <w:rsid w:val="08E7A010"/>
    <w:rsid w:val="08EE41A5"/>
    <w:rsid w:val="08F1955E"/>
    <w:rsid w:val="08FC9BB8"/>
    <w:rsid w:val="08FDC2B6"/>
    <w:rsid w:val="0902D4CD"/>
    <w:rsid w:val="091A0B21"/>
    <w:rsid w:val="091C61F9"/>
    <w:rsid w:val="09213A5E"/>
    <w:rsid w:val="092FA3F2"/>
    <w:rsid w:val="0931EC0A"/>
    <w:rsid w:val="093F7809"/>
    <w:rsid w:val="09536BDF"/>
    <w:rsid w:val="095F52FC"/>
    <w:rsid w:val="096D3419"/>
    <w:rsid w:val="0975EEAE"/>
    <w:rsid w:val="09791C0B"/>
    <w:rsid w:val="098079AC"/>
    <w:rsid w:val="09812F0E"/>
    <w:rsid w:val="0987860F"/>
    <w:rsid w:val="09929CF9"/>
    <w:rsid w:val="099CB0DF"/>
    <w:rsid w:val="09C5DFA3"/>
    <w:rsid w:val="09C9ABF3"/>
    <w:rsid w:val="09E06F10"/>
    <w:rsid w:val="09E4DCFB"/>
    <w:rsid w:val="09E90634"/>
    <w:rsid w:val="09F21197"/>
    <w:rsid w:val="09F40960"/>
    <w:rsid w:val="09F843E7"/>
    <w:rsid w:val="0A14CD90"/>
    <w:rsid w:val="0A198A4D"/>
    <w:rsid w:val="0A254CB0"/>
    <w:rsid w:val="0A37B5F7"/>
    <w:rsid w:val="0A384613"/>
    <w:rsid w:val="0A3DA20A"/>
    <w:rsid w:val="0A5CACCD"/>
    <w:rsid w:val="0A5EE394"/>
    <w:rsid w:val="0A62FE5D"/>
    <w:rsid w:val="0A6AACA1"/>
    <w:rsid w:val="0A7029A7"/>
    <w:rsid w:val="0A74C2CD"/>
    <w:rsid w:val="0A7DDBFA"/>
    <w:rsid w:val="0A976124"/>
    <w:rsid w:val="0A987FC6"/>
    <w:rsid w:val="0A98D37A"/>
    <w:rsid w:val="0AA7D7BE"/>
    <w:rsid w:val="0AB7C811"/>
    <w:rsid w:val="0ABA2504"/>
    <w:rsid w:val="0AC305FD"/>
    <w:rsid w:val="0ACBD9A8"/>
    <w:rsid w:val="0AD09960"/>
    <w:rsid w:val="0AD9721C"/>
    <w:rsid w:val="0ADCAA80"/>
    <w:rsid w:val="0ADF1C25"/>
    <w:rsid w:val="0AE7DCDE"/>
    <w:rsid w:val="0AF06D2A"/>
    <w:rsid w:val="0AF3D64A"/>
    <w:rsid w:val="0B35B5CB"/>
    <w:rsid w:val="0B39B937"/>
    <w:rsid w:val="0B3F484B"/>
    <w:rsid w:val="0B5B203E"/>
    <w:rsid w:val="0B643022"/>
    <w:rsid w:val="0B683755"/>
    <w:rsid w:val="0B68881B"/>
    <w:rsid w:val="0B6E0B90"/>
    <w:rsid w:val="0B72444D"/>
    <w:rsid w:val="0B72AF2E"/>
    <w:rsid w:val="0B7D4E0F"/>
    <w:rsid w:val="0B80862F"/>
    <w:rsid w:val="0B83CF77"/>
    <w:rsid w:val="0B93451A"/>
    <w:rsid w:val="0B970557"/>
    <w:rsid w:val="0B9DFD94"/>
    <w:rsid w:val="0BA1EA50"/>
    <w:rsid w:val="0BC641D9"/>
    <w:rsid w:val="0BC72298"/>
    <w:rsid w:val="0BC8E6AB"/>
    <w:rsid w:val="0BD71C75"/>
    <w:rsid w:val="0BDD8681"/>
    <w:rsid w:val="0BE92ADC"/>
    <w:rsid w:val="0BEEE7F6"/>
    <w:rsid w:val="0BF9DD6B"/>
    <w:rsid w:val="0BFF3C52"/>
    <w:rsid w:val="0C11E3CF"/>
    <w:rsid w:val="0C16EA65"/>
    <w:rsid w:val="0C18207E"/>
    <w:rsid w:val="0C24AAE1"/>
    <w:rsid w:val="0C24BC16"/>
    <w:rsid w:val="0C299CEA"/>
    <w:rsid w:val="0C32E3E9"/>
    <w:rsid w:val="0C3B8C0E"/>
    <w:rsid w:val="0C3D7C8A"/>
    <w:rsid w:val="0C429315"/>
    <w:rsid w:val="0C47D791"/>
    <w:rsid w:val="0C52963C"/>
    <w:rsid w:val="0C5FA002"/>
    <w:rsid w:val="0C630871"/>
    <w:rsid w:val="0C6AA018"/>
    <w:rsid w:val="0C76DA2E"/>
    <w:rsid w:val="0C7DE722"/>
    <w:rsid w:val="0C84F039"/>
    <w:rsid w:val="0C88B7BE"/>
    <w:rsid w:val="0CAA9F84"/>
    <w:rsid w:val="0CBE0862"/>
    <w:rsid w:val="0CC60ECF"/>
    <w:rsid w:val="0CCE8CCC"/>
    <w:rsid w:val="0CD0A66F"/>
    <w:rsid w:val="0CD7DB2A"/>
    <w:rsid w:val="0CECCE3A"/>
    <w:rsid w:val="0CEEF86B"/>
    <w:rsid w:val="0CF57FB4"/>
    <w:rsid w:val="0D1CFB88"/>
    <w:rsid w:val="0D29BE82"/>
    <w:rsid w:val="0D355A63"/>
    <w:rsid w:val="0D373B3D"/>
    <w:rsid w:val="0D37699B"/>
    <w:rsid w:val="0D37808C"/>
    <w:rsid w:val="0D3C421D"/>
    <w:rsid w:val="0D422201"/>
    <w:rsid w:val="0D442C44"/>
    <w:rsid w:val="0D44490C"/>
    <w:rsid w:val="0D48215A"/>
    <w:rsid w:val="0D562117"/>
    <w:rsid w:val="0D565253"/>
    <w:rsid w:val="0D5FB042"/>
    <w:rsid w:val="0D62FA7A"/>
    <w:rsid w:val="0D7C03FB"/>
    <w:rsid w:val="0DA0E086"/>
    <w:rsid w:val="0DA3E1D9"/>
    <w:rsid w:val="0DBA167A"/>
    <w:rsid w:val="0DBCA20F"/>
    <w:rsid w:val="0DBCCC4D"/>
    <w:rsid w:val="0DC0BEBA"/>
    <w:rsid w:val="0DD12D2B"/>
    <w:rsid w:val="0DE5CD44"/>
    <w:rsid w:val="0DE823B5"/>
    <w:rsid w:val="0DE8B26C"/>
    <w:rsid w:val="0DED7FFF"/>
    <w:rsid w:val="0E05C7E8"/>
    <w:rsid w:val="0E096060"/>
    <w:rsid w:val="0E15EE25"/>
    <w:rsid w:val="0E36F7A1"/>
    <w:rsid w:val="0E426961"/>
    <w:rsid w:val="0E4D6D95"/>
    <w:rsid w:val="0E536FA3"/>
    <w:rsid w:val="0E582CFB"/>
    <w:rsid w:val="0E70CF85"/>
    <w:rsid w:val="0E905D54"/>
    <w:rsid w:val="0E9D15F6"/>
    <w:rsid w:val="0E9ECB9B"/>
    <w:rsid w:val="0E9F9FEC"/>
    <w:rsid w:val="0EA4FF4B"/>
    <w:rsid w:val="0EBD0E93"/>
    <w:rsid w:val="0EBFEE01"/>
    <w:rsid w:val="0ECEB912"/>
    <w:rsid w:val="0ED96943"/>
    <w:rsid w:val="0EE1F6ED"/>
    <w:rsid w:val="0EFF5074"/>
    <w:rsid w:val="0F080FF3"/>
    <w:rsid w:val="0F1867CF"/>
    <w:rsid w:val="0F25EC67"/>
    <w:rsid w:val="0F344994"/>
    <w:rsid w:val="0F3FE6B6"/>
    <w:rsid w:val="0F40859E"/>
    <w:rsid w:val="0F4A1703"/>
    <w:rsid w:val="0F500E06"/>
    <w:rsid w:val="0F696446"/>
    <w:rsid w:val="0F79A293"/>
    <w:rsid w:val="0F7CA79B"/>
    <w:rsid w:val="0F8A7F65"/>
    <w:rsid w:val="0F902F63"/>
    <w:rsid w:val="0F967EB7"/>
    <w:rsid w:val="0F9A9435"/>
    <w:rsid w:val="0FB62979"/>
    <w:rsid w:val="0FD605CF"/>
    <w:rsid w:val="0FDFDD6D"/>
    <w:rsid w:val="0FF16666"/>
    <w:rsid w:val="10008D80"/>
    <w:rsid w:val="101436A6"/>
    <w:rsid w:val="1019D90C"/>
    <w:rsid w:val="10232AB0"/>
    <w:rsid w:val="10291F8C"/>
    <w:rsid w:val="102C7BD8"/>
    <w:rsid w:val="103A7F9F"/>
    <w:rsid w:val="103BF157"/>
    <w:rsid w:val="1046AAAF"/>
    <w:rsid w:val="1071B1A4"/>
    <w:rsid w:val="109BF26E"/>
    <w:rsid w:val="10A33799"/>
    <w:rsid w:val="10A97B8F"/>
    <w:rsid w:val="10B43DE7"/>
    <w:rsid w:val="10C1AA07"/>
    <w:rsid w:val="10C8CA96"/>
    <w:rsid w:val="10E8400E"/>
    <w:rsid w:val="10F2F486"/>
    <w:rsid w:val="10F97CC5"/>
    <w:rsid w:val="1103B28A"/>
    <w:rsid w:val="1109106D"/>
    <w:rsid w:val="1114BF02"/>
    <w:rsid w:val="11170B79"/>
    <w:rsid w:val="111CC8E1"/>
    <w:rsid w:val="111DD0E8"/>
    <w:rsid w:val="11352B4E"/>
    <w:rsid w:val="11378D08"/>
    <w:rsid w:val="1137BD55"/>
    <w:rsid w:val="1138C440"/>
    <w:rsid w:val="1159EAC1"/>
    <w:rsid w:val="116247BD"/>
    <w:rsid w:val="1170F0F4"/>
    <w:rsid w:val="1181D0BF"/>
    <w:rsid w:val="1186AEC5"/>
    <w:rsid w:val="119517DE"/>
    <w:rsid w:val="1198CB21"/>
    <w:rsid w:val="119DB645"/>
    <w:rsid w:val="11A2D310"/>
    <w:rsid w:val="11B61659"/>
    <w:rsid w:val="11BC958E"/>
    <w:rsid w:val="11C79E9F"/>
    <w:rsid w:val="11D307E4"/>
    <w:rsid w:val="11DA7163"/>
    <w:rsid w:val="11DFBE09"/>
    <w:rsid w:val="11F3552E"/>
    <w:rsid w:val="11FB03D2"/>
    <w:rsid w:val="1200310A"/>
    <w:rsid w:val="1202E36F"/>
    <w:rsid w:val="12037D21"/>
    <w:rsid w:val="1204885A"/>
    <w:rsid w:val="120BA238"/>
    <w:rsid w:val="12102F97"/>
    <w:rsid w:val="121DE011"/>
    <w:rsid w:val="121F9827"/>
    <w:rsid w:val="122535F3"/>
    <w:rsid w:val="1225D9E3"/>
    <w:rsid w:val="123CB863"/>
    <w:rsid w:val="12412D57"/>
    <w:rsid w:val="124E96BE"/>
    <w:rsid w:val="1255FB59"/>
    <w:rsid w:val="125B59AF"/>
    <w:rsid w:val="126764CC"/>
    <w:rsid w:val="1268E7AB"/>
    <w:rsid w:val="126F01A3"/>
    <w:rsid w:val="1278BD8C"/>
    <w:rsid w:val="1279E0BE"/>
    <w:rsid w:val="1287A5E1"/>
    <w:rsid w:val="1287E70F"/>
    <w:rsid w:val="128D474A"/>
    <w:rsid w:val="1293DD56"/>
    <w:rsid w:val="129BF3EC"/>
    <w:rsid w:val="129F7A66"/>
    <w:rsid w:val="12A22B0D"/>
    <w:rsid w:val="12A2C985"/>
    <w:rsid w:val="12A68D77"/>
    <w:rsid w:val="12ABDC7F"/>
    <w:rsid w:val="12B4BAE6"/>
    <w:rsid w:val="12D267AF"/>
    <w:rsid w:val="12E8A24C"/>
    <w:rsid w:val="12EC657C"/>
    <w:rsid w:val="12ED7EC1"/>
    <w:rsid w:val="12F0450F"/>
    <w:rsid w:val="12F30CD8"/>
    <w:rsid w:val="130FDDD9"/>
    <w:rsid w:val="131D7C01"/>
    <w:rsid w:val="13210259"/>
    <w:rsid w:val="13327643"/>
    <w:rsid w:val="1332D336"/>
    <w:rsid w:val="13372742"/>
    <w:rsid w:val="133BDC95"/>
    <w:rsid w:val="1374BC22"/>
    <w:rsid w:val="13791A08"/>
    <w:rsid w:val="13908C86"/>
    <w:rsid w:val="1390F3BC"/>
    <w:rsid w:val="139258E4"/>
    <w:rsid w:val="139A73B4"/>
    <w:rsid w:val="139F3EB4"/>
    <w:rsid w:val="13A2A79B"/>
    <w:rsid w:val="13C0E8EF"/>
    <w:rsid w:val="13C26F05"/>
    <w:rsid w:val="13CBEA75"/>
    <w:rsid w:val="13CC828D"/>
    <w:rsid w:val="13D66E46"/>
    <w:rsid w:val="13EA9081"/>
    <w:rsid w:val="13EB6628"/>
    <w:rsid w:val="13F5757B"/>
    <w:rsid w:val="13F68DF8"/>
    <w:rsid w:val="14020705"/>
    <w:rsid w:val="141E0D61"/>
    <w:rsid w:val="143ECA40"/>
    <w:rsid w:val="145163F7"/>
    <w:rsid w:val="1452CA90"/>
    <w:rsid w:val="14601400"/>
    <w:rsid w:val="14674C3E"/>
    <w:rsid w:val="1469F11F"/>
    <w:rsid w:val="14717642"/>
    <w:rsid w:val="14724697"/>
    <w:rsid w:val="1481C6C0"/>
    <w:rsid w:val="1485C3D6"/>
    <w:rsid w:val="14967C8A"/>
    <w:rsid w:val="14A85C69"/>
    <w:rsid w:val="14AE7D15"/>
    <w:rsid w:val="14BFEA65"/>
    <w:rsid w:val="14C6A6CC"/>
    <w:rsid w:val="14C77BD3"/>
    <w:rsid w:val="14CCA947"/>
    <w:rsid w:val="14DEAA6E"/>
    <w:rsid w:val="14E19527"/>
    <w:rsid w:val="14E98AFA"/>
    <w:rsid w:val="14F25DAC"/>
    <w:rsid w:val="150D7D5A"/>
    <w:rsid w:val="1517113D"/>
    <w:rsid w:val="153208BE"/>
    <w:rsid w:val="15412685"/>
    <w:rsid w:val="15451642"/>
    <w:rsid w:val="15481EAC"/>
    <w:rsid w:val="1550FDE4"/>
    <w:rsid w:val="15655A78"/>
    <w:rsid w:val="1566B376"/>
    <w:rsid w:val="1568328A"/>
    <w:rsid w:val="156AF69F"/>
    <w:rsid w:val="15757273"/>
    <w:rsid w:val="1577A2C3"/>
    <w:rsid w:val="157F4B1C"/>
    <w:rsid w:val="1589E815"/>
    <w:rsid w:val="158F4604"/>
    <w:rsid w:val="159D1FD4"/>
    <w:rsid w:val="15A54D26"/>
    <w:rsid w:val="15B2BC58"/>
    <w:rsid w:val="15CA9477"/>
    <w:rsid w:val="15CBE0D2"/>
    <w:rsid w:val="15D42247"/>
    <w:rsid w:val="15DB1759"/>
    <w:rsid w:val="15E72EDE"/>
    <w:rsid w:val="15EF73FF"/>
    <w:rsid w:val="15F47404"/>
    <w:rsid w:val="15F99A57"/>
    <w:rsid w:val="15FFC43B"/>
    <w:rsid w:val="1606A451"/>
    <w:rsid w:val="1614DB22"/>
    <w:rsid w:val="161C4557"/>
    <w:rsid w:val="16244257"/>
    <w:rsid w:val="162A3ADD"/>
    <w:rsid w:val="162CD715"/>
    <w:rsid w:val="1636D1FB"/>
    <w:rsid w:val="16415845"/>
    <w:rsid w:val="164FE455"/>
    <w:rsid w:val="165573BA"/>
    <w:rsid w:val="165B9E96"/>
    <w:rsid w:val="166C870D"/>
    <w:rsid w:val="166EB805"/>
    <w:rsid w:val="16846575"/>
    <w:rsid w:val="1697BD72"/>
    <w:rsid w:val="1699A1DD"/>
    <w:rsid w:val="169BA760"/>
    <w:rsid w:val="16A4A58C"/>
    <w:rsid w:val="16B13BBC"/>
    <w:rsid w:val="16C8982E"/>
    <w:rsid w:val="16CD4E3F"/>
    <w:rsid w:val="16D63162"/>
    <w:rsid w:val="16D66082"/>
    <w:rsid w:val="16DEF5B4"/>
    <w:rsid w:val="16E1482B"/>
    <w:rsid w:val="16EDBCC0"/>
    <w:rsid w:val="16F6CD2E"/>
    <w:rsid w:val="1708327B"/>
    <w:rsid w:val="170FD3B0"/>
    <w:rsid w:val="171365EC"/>
    <w:rsid w:val="17140A1D"/>
    <w:rsid w:val="1715E47E"/>
    <w:rsid w:val="172B90C4"/>
    <w:rsid w:val="1731F4DD"/>
    <w:rsid w:val="175487EA"/>
    <w:rsid w:val="1758A518"/>
    <w:rsid w:val="175A0AD7"/>
    <w:rsid w:val="17881C66"/>
    <w:rsid w:val="178A4E65"/>
    <w:rsid w:val="17913E2E"/>
    <w:rsid w:val="179C78F0"/>
    <w:rsid w:val="17A1ECBD"/>
    <w:rsid w:val="17A37648"/>
    <w:rsid w:val="17A39CBD"/>
    <w:rsid w:val="17ACE14B"/>
    <w:rsid w:val="17B19212"/>
    <w:rsid w:val="17B65422"/>
    <w:rsid w:val="17D52BF3"/>
    <w:rsid w:val="17D9B2F0"/>
    <w:rsid w:val="17E3EB06"/>
    <w:rsid w:val="17FD5223"/>
    <w:rsid w:val="181AB1A2"/>
    <w:rsid w:val="181DBC60"/>
    <w:rsid w:val="182FFFF3"/>
    <w:rsid w:val="183CA267"/>
    <w:rsid w:val="18558E38"/>
    <w:rsid w:val="1857DB67"/>
    <w:rsid w:val="185D3777"/>
    <w:rsid w:val="1865CCD5"/>
    <w:rsid w:val="1865FDFC"/>
    <w:rsid w:val="187429F0"/>
    <w:rsid w:val="1889B21B"/>
    <w:rsid w:val="188B8156"/>
    <w:rsid w:val="188DF6B5"/>
    <w:rsid w:val="18912128"/>
    <w:rsid w:val="18AC85BC"/>
    <w:rsid w:val="18B56C91"/>
    <w:rsid w:val="18B8AB29"/>
    <w:rsid w:val="18BA627B"/>
    <w:rsid w:val="18C0F14D"/>
    <w:rsid w:val="18C23AB8"/>
    <w:rsid w:val="18D2322A"/>
    <w:rsid w:val="18E198D7"/>
    <w:rsid w:val="18E62EC8"/>
    <w:rsid w:val="18EB8B59"/>
    <w:rsid w:val="192C02C5"/>
    <w:rsid w:val="19382E8A"/>
    <w:rsid w:val="1943788D"/>
    <w:rsid w:val="1961BDC5"/>
    <w:rsid w:val="1973ED51"/>
    <w:rsid w:val="1981C762"/>
    <w:rsid w:val="198C21CC"/>
    <w:rsid w:val="19991AC4"/>
    <w:rsid w:val="19A7005A"/>
    <w:rsid w:val="19A712D8"/>
    <w:rsid w:val="19CBD16F"/>
    <w:rsid w:val="19DD938B"/>
    <w:rsid w:val="19DED1F3"/>
    <w:rsid w:val="1A17F09D"/>
    <w:rsid w:val="1A180BF1"/>
    <w:rsid w:val="1A1F5A8B"/>
    <w:rsid w:val="1A2030C0"/>
    <w:rsid w:val="1A21F205"/>
    <w:rsid w:val="1A353456"/>
    <w:rsid w:val="1A4EF52D"/>
    <w:rsid w:val="1A5ACEB5"/>
    <w:rsid w:val="1A5E012C"/>
    <w:rsid w:val="1A71985C"/>
    <w:rsid w:val="1A761494"/>
    <w:rsid w:val="1A782461"/>
    <w:rsid w:val="1A83A08A"/>
    <w:rsid w:val="1A84EA09"/>
    <w:rsid w:val="1A86B3A9"/>
    <w:rsid w:val="1A980949"/>
    <w:rsid w:val="1AB68AC1"/>
    <w:rsid w:val="1AC0385F"/>
    <w:rsid w:val="1AC03EBA"/>
    <w:rsid w:val="1AC3C099"/>
    <w:rsid w:val="1ACFDDF9"/>
    <w:rsid w:val="1AD29B66"/>
    <w:rsid w:val="1AD792D8"/>
    <w:rsid w:val="1AD8DE73"/>
    <w:rsid w:val="1AE65699"/>
    <w:rsid w:val="1AF5560A"/>
    <w:rsid w:val="1AFEAA60"/>
    <w:rsid w:val="1B130A8F"/>
    <w:rsid w:val="1B1454C7"/>
    <w:rsid w:val="1B162F89"/>
    <w:rsid w:val="1B18E087"/>
    <w:rsid w:val="1B233BAF"/>
    <w:rsid w:val="1B26DE24"/>
    <w:rsid w:val="1B34743A"/>
    <w:rsid w:val="1B36E861"/>
    <w:rsid w:val="1B375431"/>
    <w:rsid w:val="1B3CFCA4"/>
    <w:rsid w:val="1B617B7B"/>
    <w:rsid w:val="1B7F406F"/>
    <w:rsid w:val="1B8703B3"/>
    <w:rsid w:val="1B89A1F8"/>
    <w:rsid w:val="1B9026E5"/>
    <w:rsid w:val="1B95822E"/>
    <w:rsid w:val="1BA06D63"/>
    <w:rsid w:val="1BA28C7F"/>
    <w:rsid w:val="1BB229FE"/>
    <w:rsid w:val="1BCB7323"/>
    <w:rsid w:val="1BD0C380"/>
    <w:rsid w:val="1BDDEAF8"/>
    <w:rsid w:val="1BDE1E9A"/>
    <w:rsid w:val="1BEFFEE4"/>
    <w:rsid w:val="1BF2F4C2"/>
    <w:rsid w:val="1BFA4EDE"/>
    <w:rsid w:val="1C115232"/>
    <w:rsid w:val="1C1373B6"/>
    <w:rsid w:val="1C218FF3"/>
    <w:rsid w:val="1C21A256"/>
    <w:rsid w:val="1C2B4E0E"/>
    <w:rsid w:val="1C331656"/>
    <w:rsid w:val="1C3AEC33"/>
    <w:rsid w:val="1C54E25B"/>
    <w:rsid w:val="1C570265"/>
    <w:rsid w:val="1C5B8E65"/>
    <w:rsid w:val="1C6BE7DE"/>
    <w:rsid w:val="1C773100"/>
    <w:rsid w:val="1C7DE041"/>
    <w:rsid w:val="1C8F0820"/>
    <w:rsid w:val="1C911D39"/>
    <w:rsid w:val="1CA15B50"/>
    <w:rsid w:val="1CA1B968"/>
    <w:rsid w:val="1CAF27EA"/>
    <w:rsid w:val="1CC3F906"/>
    <w:rsid w:val="1CE39E13"/>
    <w:rsid w:val="1CF37C96"/>
    <w:rsid w:val="1CF8ED8B"/>
    <w:rsid w:val="1D046E6E"/>
    <w:rsid w:val="1D047C9A"/>
    <w:rsid w:val="1D086BD3"/>
    <w:rsid w:val="1D08BF46"/>
    <w:rsid w:val="1D155DCE"/>
    <w:rsid w:val="1D17AD93"/>
    <w:rsid w:val="1D291270"/>
    <w:rsid w:val="1D3B2D0E"/>
    <w:rsid w:val="1D3C5A9D"/>
    <w:rsid w:val="1D415C3E"/>
    <w:rsid w:val="1D440F78"/>
    <w:rsid w:val="1D50CE58"/>
    <w:rsid w:val="1D5593C4"/>
    <w:rsid w:val="1D6AB845"/>
    <w:rsid w:val="1D7BB9B9"/>
    <w:rsid w:val="1D81B5CF"/>
    <w:rsid w:val="1D83FCBE"/>
    <w:rsid w:val="1D88F4CB"/>
    <w:rsid w:val="1D91021C"/>
    <w:rsid w:val="1D9859D2"/>
    <w:rsid w:val="1D9EA94E"/>
    <w:rsid w:val="1D9FF4EF"/>
    <w:rsid w:val="1DAD5AE1"/>
    <w:rsid w:val="1DB078DD"/>
    <w:rsid w:val="1DB0BCDB"/>
    <w:rsid w:val="1DC767A2"/>
    <w:rsid w:val="1DE8D368"/>
    <w:rsid w:val="1DF66F4A"/>
    <w:rsid w:val="1E0129EA"/>
    <w:rsid w:val="1E082697"/>
    <w:rsid w:val="1E1D59F4"/>
    <w:rsid w:val="1E1E405D"/>
    <w:rsid w:val="1E298094"/>
    <w:rsid w:val="1E2BF93E"/>
    <w:rsid w:val="1E2DCBCE"/>
    <w:rsid w:val="1E300B22"/>
    <w:rsid w:val="1E3B6B13"/>
    <w:rsid w:val="1E3DE921"/>
    <w:rsid w:val="1E4DB1C4"/>
    <w:rsid w:val="1E53F0AF"/>
    <w:rsid w:val="1E560262"/>
    <w:rsid w:val="1E567DB7"/>
    <w:rsid w:val="1E77091F"/>
    <w:rsid w:val="1E816E6C"/>
    <w:rsid w:val="1E82886E"/>
    <w:rsid w:val="1E876373"/>
    <w:rsid w:val="1EACD04B"/>
    <w:rsid w:val="1EB06A8C"/>
    <w:rsid w:val="1EBDA51A"/>
    <w:rsid w:val="1EE63EAD"/>
    <w:rsid w:val="1EEB391E"/>
    <w:rsid w:val="1EFA93E6"/>
    <w:rsid w:val="1EFEA1E0"/>
    <w:rsid w:val="1F140C70"/>
    <w:rsid w:val="1F22A7D4"/>
    <w:rsid w:val="1F2CB70B"/>
    <w:rsid w:val="1F33B058"/>
    <w:rsid w:val="1F3B08EB"/>
    <w:rsid w:val="1F461033"/>
    <w:rsid w:val="1F4AEBED"/>
    <w:rsid w:val="1F5600A1"/>
    <w:rsid w:val="1F5A48B8"/>
    <w:rsid w:val="1F6E09B9"/>
    <w:rsid w:val="1F6E60EA"/>
    <w:rsid w:val="1F77F919"/>
    <w:rsid w:val="1F7E6CAB"/>
    <w:rsid w:val="1F9D6AAF"/>
    <w:rsid w:val="1FA43A4E"/>
    <w:rsid w:val="1FAFE280"/>
    <w:rsid w:val="1FC03015"/>
    <w:rsid w:val="1FCBC0D2"/>
    <w:rsid w:val="1FCE9984"/>
    <w:rsid w:val="1FD4992C"/>
    <w:rsid w:val="1FDF25BE"/>
    <w:rsid w:val="1FEE6601"/>
    <w:rsid w:val="1FFBBAB8"/>
    <w:rsid w:val="202775C6"/>
    <w:rsid w:val="2029C105"/>
    <w:rsid w:val="2030AA15"/>
    <w:rsid w:val="203207C9"/>
    <w:rsid w:val="2044A607"/>
    <w:rsid w:val="205AD7BF"/>
    <w:rsid w:val="2063036D"/>
    <w:rsid w:val="207FD782"/>
    <w:rsid w:val="2086F236"/>
    <w:rsid w:val="208B74B3"/>
    <w:rsid w:val="208C25F7"/>
    <w:rsid w:val="2094D4ED"/>
    <w:rsid w:val="20952114"/>
    <w:rsid w:val="209D5A25"/>
    <w:rsid w:val="20A6474A"/>
    <w:rsid w:val="20B857A1"/>
    <w:rsid w:val="20D0EE3D"/>
    <w:rsid w:val="20E37FE5"/>
    <w:rsid w:val="20E52335"/>
    <w:rsid w:val="20E84919"/>
    <w:rsid w:val="21044B8B"/>
    <w:rsid w:val="210A7904"/>
    <w:rsid w:val="21166BEB"/>
    <w:rsid w:val="211BD7FD"/>
    <w:rsid w:val="213157CF"/>
    <w:rsid w:val="21387BE4"/>
    <w:rsid w:val="2139BBBB"/>
    <w:rsid w:val="2148CA34"/>
    <w:rsid w:val="2148F4DE"/>
    <w:rsid w:val="214C0E45"/>
    <w:rsid w:val="215812E1"/>
    <w:rsid w:val="2158A9DE"/>
    <w:rsid w:val="2158FA0B"/>
    <w:rsid w:val="215C5157"/>
    <w:rsid w:val="2166D7D5"/>
    <w:rsid w:val="216C6FBA"/>
    <w:rsid w:val="216DFCEF"/>
    <w:rsid w:val="216F61EB"/>
    <w:rsid w:val="21722B09"/>
    <w:rsid w:val="2172308B"/>
    <w:rsid w:val="217E7A2B"/>
    <w:rsid w:val="2180A32B"/>
    <w:rsid w:val="2186EEF1"/>
    <w:rsid w:val="21886DF0"/>
    <w:rsid w:val="21896F5B"/>
    <w:rsid w:val="2196965D"/>
    <w:rsid w:val="219D6403"/>
    <w:rsid w:val="21A1274F"/>
    <w:rsid w:val="21AA0A08"/>
    <w:rsid w:val="21AAECF3"/>
    <w:rsid w:val="21C00384"/>
    <w:rsid w:val="21CC0E9F"/>
    <w:rsid w:val="21CF2233"/>
    <w:rsid w:val="21D2D607"/>
    <w:rsid w:val="21D4545E"/>
    <w:rsid w:val="21E58A35"/>
    <w:rsid w:val="21F90F30"/>
    <w:rsid w:val="22005A1B"/>
    <w:rsid w:val="22024C59"/>
    <w:rsid w:val="220AD89D"/>
    <w:rsid w:val="222B7F9A"/>
    <w:rsid w:val="22319F27"/>
    <w:rsid w:val="2232373C"/>
    <w:rsid w:val="22396E85"/>
    <w:rsid w:val="2240D287"/>
    <w:rsid w:val="22638069"/>
    <w:rsid w:val="2269D7A7"/>
    <w:rsid w:val="226E9943"/>
    <w:rsid w:val="226EAF7D"/>
    <w:rsid w:val="228234AE"/>
    <w:rsid w:val="228AE70B"/>
    <w:rsid w:val="229E8554"/>
    <w:rsid w:val="22A81299"/>
    <w:rsid w:val="22B2AA41"/>
    <w:rsid w:val="22B4E528"/>
    <w:rsid w:val="22B6CF88"/>
    <w:rsid w:val="22C466D7"/>
    <w:rsid w:val="22E36805"/>
    <w:rsid w:val="22E7A9BD"/>
    <w:rsid w:val="22FA4069"/>
    <w:rsid w:val="230A98D6"/>
    <w:rsid w:val="230C71DC"/>
    <w:rsid w:val="230DD0A6"/>
    <w:rsid w:val="23105FC4"/>
    <w:rsid w:val="2313730C"/>
    <w:rsid w:val="2314E596"/>
    <w:rsid w:val="2317141D"/>
    <w:rsid w:val="231F1446"/>
    <w:rsid w:val="23269EAA"/>
    <w:rsid w:val="233F10A1"/>
    <w:rsid w:val="2342AFA9"/>
    <w:rsid w:val="2343F032"/>
    <w:rsid w:val="2351D61E"/>
    <w:rsid w:val="23551E05"/>
    <w:rsid w:val="2376D1EA"/>
    <w:rsid w:val="237DF3A1"/>
    <w:rsid w:val="2385BB2C"/>
    <w:rsid w:val="238D7334"/>
    <w:rsid w:val="239307E7"/>
    <w:rsid w:val="239BEECA"/>
    <w:rsid w:val="23A5CEB0"/>
    <w:rsid w:val="23AA527C"/>
    <w:rsid w:val="23BAD70B"/>
    <w:rsid w:val="23BF1002"/>
    <w:rsid w:val="23C257A8"/>
    <w:rsid w:val="23CB0BAD"/>
    <w:rsid w:val="23D085CF"/>
    <w:rsid w:val="23EAC626"/>
    <w:rsid w:val="23F5C04E"/>
    <w:rsid w:val="23F83D49"/>
    <w:rsid w:val="24147F35"/>
    <w:rsid w:val="24364636"/>
    <w:rsid w:val="24364E66"/>
    <w:rsid w:val="24479CE5"/>
    <w:rsid w:val="24648FE0"/>
    <w:rsid w:val="246DDBDC"/>
    <w:rsid w:val="2482DB89"/>
    <w:rsid w:val="2485EF3F"/>
    <w:rsid w:val="248E8243"/>
    <w:rsid w:val="2497040E"/>
    <w:rsid w:val="24A04A80"/>
    <w:rsid w:val="24A2E454"/>
    <w:rsid w:val="24BBFFB4"/>
    <w:rsid w:val="24C7D7A6"/>
    <w:rsid w:val="24CEB694"/>
    <w:rsid w:val="24D01D39"/>
    <w:rsid w:val="24D16D7A"/>
    <w:rsid w:val="24D462D8"/>
    <w:rsid w:val="24DC7210"/>
    <w:rsid w:val="24DDA9F8"/>
    <w:rsid w:val="24E4D4C0"/>
    <w:rsid w:val="24F4A08D"/>
    <w:rsid w:val="24F5D572"/>
    <w:rsid w:val="24F92980"/>
    <w:rsid w:val="250584B6"/>
    <w:rsid w:val="25064111"/>
    <w:rsid w:val="2508509F"/>
    <w:rsid w:val="25130358"/>
    <w:rsid w:val="25170826"/>
    <w:rsid w:val="251F2608"/>
    <w:rsid w:val="25201E25"/>
    <w:rsid w:val="2522A860"/>
    <w:rsid w:val="252B23C3"/>
    <w:rsid w:val="252F998C"/>
    <w:rsid w:val="253260D5"/>
    <w:rsid w:val="253DCB50"/>
    <w:rsid w:val="2547D30F"/>
    <w:rsid w:val="25517F6F"/>
    <w:rsid w:val="255CC8BE"/>
    <w:rsid w:val="2562E66B"/>
    <w:rsid w:val="258D3D73"/>
    <w:rsid w:val="25949B63"/>
    <w:rsid w:val="259ED0D8"/>
    <w:rsid w:val="259F0875"/>
    <w:rsid w:val="25A91A21"/>
    <w:rsid w:val="25BA2CB2"/>
    <w:rsid w:val="25C4B1EF"/>
    <w:rsid w:val="25DB21EF"/>
    <w:rsid w:val="25DE4F2C"/>
    <w:rsid w:val="25E78C87"/>
    <w:rsid w:val="25E8BE70"/>
    <w:rsid w:val="25F08389"/>
    <w:rsid w:val="25F414A8"/>
    <w:rsid w:val="2607945F"/>
    <w:rsid w:val="260C3222"/>
    <w:rsid w:val="262F09B5"/>
    <w:rsid w:val="26306DA5"/>
    <w:rsid w:val="263C26A7"/>
    <w:rsid w:val="264670CA"/>
    <w:rsid w:val="265B5E78"/>
    <w:rsid w:val="26741DE8"/>
    <w:rsid w:val="2682091D"/>
    <w:rsid w:val="2686BA72"/>
    <w:rsid w:val="26936FF1"/>
    <w:rsid w:val="26953DD5"/>
    <w:rsid w:val="269766E0"/>
    <w:rsid w:val="26989449"/>
    <w:rsid w:val="269D10EC"/>
    <w:rsid w:val="269D2C38"/>
    <w:rsid w:val="26A1F18D"/>
    <w:rsid w:val="26A1F8B2"/>
    <w:rsid w:val="26BE4778"/>
    <w:rsid w:val="26C26BDC"/>
    <w:rsid w:val="26D96078"/>
    <w:rsid w:val="26E7C8C1"/>
    <w:rsid w:val="26F2A3C8"/>
    <w:rsid w:val="26F76444"/>
    <w:rsid w:val="2703D91F"/>
    <w:rsid w:val="270ADBB7"/>
    <w:rsid w:val="27131D52"/>
    <w:rsid w:val="271BB957"/>
    <w:rsid w:val="27227870"/>
    <w:rsid w:val="272A4090"/>
    <w:rsid w:val="272E6DF3"/>
    <w:rsid w:val="272ED88C"/>
    <w:rsid w:val="2733F405"/>
    <w:rsid w:val="2739AF8C"/>
    <w:rsid w:val="273B38C0"/>
    <w:rsid w:val="2742F171"/>
    <w:rsid w:val="27450378"/>
    <w:rsid w:val="274F1E5D"/>
    <w:rsid w:val="275308AA"/>
    <w:rsid w:val="2772E5FE"/>
    <w:rsid w:val="2777479B"/>
    <w:rsid w:val="278991ED"/>
    <w:rsid w:val="2791E9C5"/>
    <w:rsid w:val="279E37AA"/>
    <w:rsid w:val="27A5D4C1"/>
    <w:rsid w:val="27B1D95B"/>
    <w:rsid w:val="27B7E932"/>
    <w:rsid w:val="27C37A7B"/>
    <w:rsid w:val="27C9F0DB"/>
    <w:rsid w:val="27DE6325"/>
    <w:rsid w:val="27E4DEBB"/>
    <w:rsid w:val="27F8DD55"/>
    <w:rsid w:val="27F900FF"/>
    <w:rsid w:val="27FA29A0"/>
    <w:rsid w:val="280D53D2"/>
    <w:rsid w:val="281087DD"/>
    <w:rsid w:val="281A21BA"/>
    <w:rsid w:val="281F01D9"/>
    <w:rsid w:val="28300A84"/>
    <w:rsid w:val="2834DD14"/>
    <w:rsid w:val="283C532C"/>
    <w:rsid w:val="283DC1A6"/>
    <w:rsid w:val="2842E476"/>
    <w:rsid w:val="284584CE"/>
    <w:rsid w:val="28493AB3"/>
    <w:rsid w:val="285AC232"/>
    <w:rsid w:val="285C9F00"/>
    <w:rsid w:val="285ED7E7"/>
    <w:rsid w:val="28651955"/>
    <w:rsid w:val="28673B36"/>
    <w:rsid w:val="28690FCB"/>
    <w:rsid w:val="286CC58C"/>
    <w:rsid w:val="287BB74F"/>
    <w:rsid w:val="28931427"/>
    <w:rsid w:val="28986F08"/>
    <w:rsid w:val="28A267C9"/>
    <w:rsid w:val="28ABF476"/>
    <w:rsid w:val="28AC241C"/>
    <w:rsid w:val="28C65BF4"/>
    <w:rsid w:val="28E5DAB7"/>
    <w:rsid w:val="28E8AC6B"/>
    <w:rsid w:val="28FB8D22"/>
    <w:rsid w:val="28FDC5C8"/>
    <w:rsid w:val="28FF0699"/>
    <w:rsid w:val="290B2479"/>
    <w:rsid w:val="290CCDA5"/>
    <w:rsid w:val="2911E61D"/>
    <w:rsid w:val="292152CD"/>
    <w:rsid w:val="29346999"/>
    <w:rsid w:val="29388511"/>
    <w:rsid w:val="293D7387"/>
    <w:rsid w:val="29448389"/>
    <w:rsid w:val="295177E6"/>
    <w:rsid w:val="29567298"/>
    <w:rsid w:val="29580B7F"/>
    <w:rsid w:val="295D5B94"/>
    <w:rsid w:val="295EACA1"/>
    <w:rsid w:val="2962B861"/>
    <w:rsid w:val="2963F31F"/>
    <w:rsid w:val="296EBF4F"/>
    <w:rsid w:val="297A42C8"/>
    <w:rsid w:val="2980776E"/>
    <w:rsid w:val="29837E4E"/>
    <w:rsid w:val="2987A5E6"/>
    <w:rsid w:val="2996DC34"/>
    <w:rsid w:val="299C225A"/>
    <w:rsid w:val="29B4666B"/>
    <w:rsid w:val="29B4B762"/>
    <w:rsid w:val="29B8647A"/>
    <w:rsid w:val="29C7888C"/>
    <w:rsid w:val="29DAC7C6"/>
    <w:rsid w:val="29E16D6C"/>
    <w:rsid w:val="29E3E710"/>
    <w:rsid w:val="29EA3D24"/>
    <w:rsid w:val="29EE58FC"/>
    <w:rsid w:val="29F24A5D"/>
    <w:rsid w:val="2A07B694"/>
    <w:rsid w:val="2A1E5EAD"/>
    <w:rsid w:val="2A2401E4"/>
    <w:rsid w:val="2A2D46AE"/>
    <w:rsid w:val="2A397698"/>
    <w:rsid w:val="2A4547FA"/>
    <w:rsid w:val="2A46CAA7"/>
    <w:rsid w:val="2A56091D"/>
    <w:rsid w:val="2A6177A1"/>
    <w:rsid w:val="2A6B1974"/>
    <w:rsid w:val="2A73BDBE"/>
    <w:rsid w:val="2A858799"/>
    <w:rsid w:val="2AABF775"/>
    <w:rsid w:val="2AB3BD61"/>
    <w:rsid w:val="2ACBC9AC"/>
    <w:rsid w:val="2AD014B5"/>
    <w:rsid w:val="2AD5F7C2"/>
    <w:rsid w:val="2AD75860"/>
    <w:rsid w:val="2AE0CB13"/>
    <w:rsid w:val="2AEEDD60"/>
    <w:rsid w:val="2AF43F81"/>
    <w:rsid w:val="2AF66579"/>
    <w:rsid w:val="2AF990E6"/>
    <w:rsid w:val="2AFED833"/>
    <w:rsid w:val="2B0CA5D4"/>
    <w:rsid w:val="2B10B26A"/>
    <w:rsid w:val="2B22DE66"/>
    <w:rsid w:val="2B2507AC"/>
    <w:rsid w:val="2B3651C7"/>
    <w:rsid w:val="2B3C0688"/>
    <w:rsid w:val="2B5BDEB2"/>
    <w:rsid w:val="2B5E0CB8"/>
    <w:rsid w:val="2B5F77C0"/>
    <w:rsid w:val="2B614931"/>
    <w:rsid w:val="2B63EC1F"/>
    <w:rsid w:val="2B73F8B9"/>
    <w:rsid w:val="2B86F80C"/>
    <w:rsid w:val="2B907A68"/>
    <w:rsid w:val="2B9BCE32"/>
    <w:rsid w:val="2B9D165E"/>
    <w:rsid w:val="2BB80B95"/>
    <w:rsid w:val="2BBFDC98"/>
    <w:rsid w:val="2BC318F2"/>
    <w:rsid w:val="2BC55D9F"/>
    <w:rsid w:val="2BC61344"/>
    <w:rsid w:val="2BC90A23"/>
    <w:rsid w:val="2BD2F80F"/>
    <w:rsid w:val="2BDB3899"/>
    <w:rsid w:val="2BE43B95"/>
    <w:rsid w:val="2BE48A96"/>
    <w:rsid w:val="2BE549DA"/>
    <w:rsid w:val="2BE8A5F0"/>
    <w:rsid w:val="2BF0CC72"/>
    <w:rsid w:val="2BF2B2AB"/>
    <w:rsid w:val="2C071EF1"/>
    <w:rsid w:val="2C1B9223"/>
    <w:rsid w:val="2C1DE4EF"/>
    <w:rsid w:val="2C311FC3"/>
    <w:rsid w:val="2C32BACD"/>
    <w:rsid w:val="2C38CD85"/>
    <w:rsid w:val="2C3AB939"/>
    <w:rsid w:val="2C42F44E"/>
    <w:rsid w:val="2C4B31DA"/>
    <w:rsid w:val="2C74DE28"/>
    <w:rsid w:val="2C805AEC"/>
    <w:rsid w:val="2C95DA0A"/>
    <w:rsid w:val="2C9822BA"/>
    <w:rsid w:val="2CB20323"/>
    <w:rsid w:val="2CC052A6"/>
    <w:rsid w:val="2CD2DB3F"/>
    <w:rsid w:val="2CD480ED"/>
    <w:rsid w:val="2CE54E4C"/>
    <w:rsid w:val="2CF30B23"/>
    <w:rsid w:val="2CF98542"/>
    <w:rsid w:val="2CFEC82A"/>
    <w:rsid w:val="2D05D642"/>
    <w:rsid w:val="2D0B818A"/>
    <w:rsid w:val="2D0DCB63"/>
    <w:rsid w:val="2D155529"/>
    <w:rsid w:val="2D259337"/>
    <w:rsid w:val="2D2D249E"/>
    <w:rsid w:val="2D32317A"/>
    <w:rsid w:val="2D365994"/>
    <w:rsid w:val="2D3F2FF4"/>
    <w:rsid w:val="2D472AA9"/>
    <w:rsid w:val="2D4E1633"/>
    <w:rsid w:val="2D5A1A74"/>
    <w:rsid w:val="2D5A5608"/>
    <w:rsid w:val="2D6AA80E"/>
    <w:rsid w:val="2D720462"/>
    <w:rsid w:val="2D748EBC"/>
    <w:rsid w:val="2D7CB6D1"/>
    <w:rsid w:val="2D8C96CF"/>
    <w:rsid w:val="2D9AEC84"/>
    <w:rsid w:val="2DA06C79"/>
    <w:rsid w:val="2DB2A3D9"/>
    <w:rsid w:val="2DBB63E7"/>
    <w:rsid w:val="2DBEA344"/>
    <w:rsid w:val="2DCC2990"/>
    <w:rsid w:val="2DD34E04"/>
    <w:rsid w:val="2DD5EC75"/>
    <w:rsid w:val="2DECE947"/>
    <w:rsid w:val="2DF30E7E"/>
    <w:rsid w:val="2DFDBA57"/>
    <w:rsid w:val="2DFFEB0B"/>
    <w:rsid w:val="2E04D949"/>
    <w:rsid w:val="2E0B7087"/>
    <w:rsid w:val="2E0DD7A1"/>
    <w:rsid w:val="2E3CE3D8"/>
    <w:rsid w:val="2E4F602B"/>
    <w:rsid w:val="2E544742"/>
    <w:rsid w:val="2E632979"/>
    <w:rsid w:val="2E650072"/>
    <w:rsid w:val="2E6553D2"/>
    <w:rsid w:val="2E68D236"/>
    <w:rsid w:val="2E6928E9"/>
    <w:rsid w:val="2E712C0A"/>
    <w:rsid w:val="2E730225"/>
    <w:rsid w:val="2E734E1F"/>
    <w:rsid w:val="2E89547A"/>
    <w:rsid w:val="2E8957EA"/>
    <w:rsid w:val="2E8A25B4"/>
    <w:rsid w:val="2E9A3CCA"/>
    <w:rsid w:val="2EB4D17E"/>
    <w:rsid w:val="2EBA3893"/>
    <w:rsid w:val="2EC42E5D"/>
    <w:rsid w:val="2EE3D7C4"/>
    <w:rsid w:val="2EE5A104"/>
    <w:rsid w:val="2EF7F5BA"/>
    <w:rsid w:val="2EF8211A"/>
    <w:rsid w:val="2F1D4731"/>
    <w:rsid w:val="2F1D4A07"/>
    <w:rsid w:val="2F243EE3"/>
    <w:rsid w:val="2F270D41"/>
    <w:rsid w:val="2F2E333C"/>
    <w:rsid w:val="2F38EE65"/>
    <w:rsid w:val="2F3D16EC"/>
    <w:rsid w:val="2F4725A3"/>
    <w:rsid w:val="2F505E57"/>
    <w:rsid w:val="2F54D703"/>
    <w:rsid w:val="2F74273B"/>
    <w:rsid w:val="2F8474EB"/>
    <w:rsid w:val="2F87D278"/>
    <w:rsid w:val="2F891413"/>
    <w:rsid w:val="2F8B4D2B"/>
    <w:rsid w:val="2F92C4BA"/>
    <w:rsid w:val="2FB2A334"/>
    <w:rsid w:val="2FB460EB"/>
    <w:rsid w:val="2FBB2BE3"/>
    <w:rsid w:val="2FBD3C78"/>
    <w:rsid w:val="2FC4F2EE"/>
    <w:rsid w:val="2FC5D40B"/>
    <w:rsid w:val="2FC9055D"/>
    <w:rsid w:val="2FCF46EF"/>
    <w:rsid w:val="2FD0F6D3"/>
    <w:rsid w:val="2FD4E313"/>
    <w:rsid w:val="2FD9E380"/>
    <w:rsid w:val="2FDA6098"/>
    <w:rsid w:val="2FDB58E0"/>
    <w:rsid w:val="2FDC70F2"/>
    <w:rsid w:val="2FDEB5D7"/>
    <w:rsid w:val="2FEB141C"/>
    <w:rsid w:val="2FFB0311"/>
    <w:rsid w:val="30037836"/>
    <w:rsid w:val="300BE1C3"/>
    <w:rsid w:val="300F1E85"/>
    <w:rsid w:val="30104CD7"/>
    <w:rsid w:val="301BE9F5"/>
    <w:rsid w:val="301D231E"/>
    <w:rsid w:val="301DE7B3"/>
    <w:rsid w:val="301F2025"/>
    <w:rsid w:val="3025332C"/>
    <w:rsid w:val="3028600D"/>
    <w:rsid w:val="302C2B79"/>
    <w:rsid w:val="3037F864"/>
    <w:rsid w:val="304522FB"/>
    <w:rsid w:val="30456FD0"/>
    <w:rsid w:val="3058F738"/>
    <w:rsid w:val="3087DC77"/>
    <w:rsid w:val="30A11666"/>
    <w:rsid w:val="30A6D573"/>
    <w:rsid w:val="30A7644F"/>
    <w:rsid w:val="30AF3C94"/>
    <w:rsid w:val="30B18DD1"/>
    <w:rsid w:val="30B41A7E"/>
    <w:rsid w:val="30BA86D2"/>
    <w:rsid w:val="30C92C2B"/>
    <w:rsid w:val="30E2B948"/>
    <w:rsid w:val="30EA8B70"/>
    <w:rsid w:val="30EADEB5"/>
    <w:rsid w:val="30F1A23A"/>
    <w:rsid w:val="30F71F51"/>
    <w:rsid w:val="31054B29"/>
    <w:rsid w:val="3105D839"/>
    <w:rsid w:val="3124E475"/>
    <w:rsid w:val="3126165B"/>
    <w:rsid w:val="312D31C2"/>
    <w:rsid w:val="312DEAFF"/>
    <w:rsid w:val="3145CBD9"/>
    <w:rsid w:val="314DE4AC"/>
    <w:rsid w:val="315873A9"/>
    <w:rsid w:val="315B37D1"/>
    <w:rsid w:val="315E9AB7"/>
    <w:rsid w:val="3161968F"/>
    <w:rsid w:val="317C9240"/>
    <w:rsid w:val="3191C188"/>
    <w:rsid w:val="3192096F"/>
    <w:rsid w:val="3195958C"/>
    <w:rsid w:val="319B3129"/>
    <w:rsid w:val="319B5FA8"/>
    <w:rsid w:val="319CDC2F"/>
    <w:rsid w:val="31A80628"/>
    <w:rsid w:val="31B01FB0"/>
    <w:rsid w:val="31B45C09"/>
    <w:rsid w:val="31D12425"/>
    <w:rsid w:val="31E3EFFE"/>
    <w:rsid w:val="31FB0D6D"/>
    <w:rsid w:val="31FFCC9D"/>
    <w:rsid w:val="320A37CA"/>
    <w:rsid w:val="3215B849"/>
    <w:rsid w:val="321F043A"/>
    <w:rsid w:val="32216601"/>
    <w:rsid w:val="323626F6"/>
    <w:rsid w:val="3236D0C0"/>
    <w:rsid w:val="323C1F6A"/>
    <w:rsid w:val="32412E09"/>
    <w:rsid w:val="32726C54"/>
    <w:rsid w:val="3275D83F"/>
    <w:rsid w:val="327A8924"/>
    <w:rsid w:val="328A20BF"/>
    <w:rsid w:val="3292161E"/>
    <w:rsid w:val="32928957"/>
    <w:rsid w:val="32A3C0F2"/>
    <w:rsid w:val="32A5AE46"/>
    <w:rsid w:val="32AC2DC6"/>
    <w:rsid w:val="32AEE5C4"/>
    <w:rsid w:val="32B3F25F"/>
    <w:rsid w:val="32BCAD77"/>
    <w:rsid w:val="32BD835D"/>
    <w:rsid w:val="32BDFCA6"/>
    <w:rsid w:val="32D35FA8"/>
    <w:rsid w:val="32D58DEC"/>
    <w:rsid w:val="32D79E29"/>
    <w:rsid w:val="32DA7BAF"/>
    <w:rsid w:val="32DD7E5C"/>
    <w:rsid w:val="32EF08FD"/>
    <w:rsid w:val="32F420D0"/>
    <w:rsid w:val="3308FC99"/>
    <w:rsid w:val="330AF3B9"/>
    <w:rsid w:val="3319D442"/>
    <w:rsid w:val="331A43AC"/>
    <w:rsid w:val="33295C62"/>
    <w:rsid w:val="33352CD9"/>
    <w:rsid w:val="333A7902"/>
    <w:rsid w:val="333ADF15"/>
    <w:rsid w:val="3341C993"/>
    <w:rsid w:val="3343B5C0"/>
    <w:rsid w:val="334AF005"/>
    <w:rsid w:val="335DCB84"/>
    <w:rsid w:val="336EDBC0"/>
    <w:rsid w:val="3374F45F"/>
    <w:rsid w:val="337A08A1"/>
    <w:rsid w:val="338DBB78"/>
    <w:rsid w:val="33996B21"/>
    <w:rsid w:val="339FE3B0"/>
    <w:rsid w:val="33A18358"/>
    <w:rsid w:val="33A4BA6B"/>
    <w:rsid w:val="33B021D6"/>
    <w:rsid w:val="33B755E0"/>
    <w:rsid w:val="33C97836"/>
    <w:rsid w:val="33CB5150"/>
    <w:rsid w:val="33CB65BE"/>
    <w:rsid w:val="33D66F39"/>
    <w:rsid w:val="33E1BA08"/>
    <w:rsid w:val="34011BF9"/>
    <w:rsid w:val="3408AE3F"/>
    <w:rsid w:val="340F8200"/>
    <w:rsid w:val="3410A577"/>
    <w:rsid w:val="3418E7FA"/>
    <w:rsid w:val="345A16EC"/>
    <w:rsid w:val="345ABFAB"/>
    <w:rsid w:val="345B01EA"/>
    <w:rsid w:val="34672323"/>
    <w:rsid w:val="346A8975"/>
    <w:rsid w:val="3473CB03"/>
    <w:rsid w:val="34799FED"/>
    <w:rsid w:val="347B2FBC"/>
    <w:rsid w:val="347DD749"/>
    <w:rsid w:val="347F2976"/>
    <w:rsid w:val="349343EA"/>
    <w:rsid w:val="349AE759"/>
    <w:rsid w:val="34A510B3"/>
    <w:rsid w:val="34B4DB13"/>
    <w:rsid w:val="34D114D1"/>
    <w:rsid w:val="34DA55D1"/>
    <w:rsid w:val="34FF960D"/>
    <w:rsid w:val="350125FB"/>
    <w:rsid w:val="350FE1C7"/>
    <w:rsid w:val="3511E687"/>
    <w:rsid w:val="3526F2E1"/>
    <w:rsid w:val="352A5107"/>
    <w:rsid w:val="3545F1DF"/>
    <w:rsid w:val="354ADE0A"/>
    <w:rsid w:val="3555948C"/>
    <w:rsid w:val="355ABA10"/>
    <w:rsid w:val="356192E5"/>
    <w:rsid w:val="35637077"/>
    <w:rsid w:val="35646CE8"/>
    <w:rsid w:val="3568D4BD"/>
    <w:rsid w:val="35842217"/>
    <w:rsid w:val="358C24D3"/>
    <w:rsid w:val="358C7B45"/>
    <w:rsid w:val="358F7EBD"/>
    <w:rsid w:val="35B35D8D"/>
    <w:rsid w:val="35BB7FA8"/>
    <w:rsid w:val="35BFCD7A"/>
    <w:rsid w:val="35C3F573"/>
    <w:rsid w:val="35C67204"/>
    <w:rsid w:val="35C67CAB"/>
    <w:rsid w:val="35D6446E"/>
    <w:rsid w:val="35D85FA3"/>
    <w:rsid w:val="3606D316"/>
    <w:rsid w:val="3628B188"/>
    <w:rsid w:val="362952C4"/>
    <w:rsid w:val="36366236"/>
    <w:rsid w:val="363BB351"/>
    <w:rsid w:val="363C6FD1"/>
    <w:rsid w:val="363D32F9"/>
    <w:rsid w:val="3642699E"/>
    <w:rsid w:val="3649B08B"/>
    <w:rsid w:val="364E258A"/>
    <w:rsid w:val="365E5618"/>
    <w:rsid w:val="3668E9FA"/>
    <w:rsid w:val="36739995"/>
    <w:rsid w:val="3676E258"/>
    <w:rsid w:val="3677A587"/>
    <w:rsid w:val="368868B2"/>
    <w:rsid w:val="3689CC9A"/>
    <w:rsid w:val="368A06B7"/>
    <w:rsid w:val="368DB5AF"/>
    <w:rsid w:val="3692CD38"/>
    <w:rsid w:val="36A25E2E"/>
    <w:rsid w:val="36A4B8E5"/>
    <w:rsid w:val="36A52462"/>
    <w:rsid w:val="36ACA819"/>
    <w:rsid w:val="36B1E125"/>
    <w:rsid w:val="36C3D544"/>
    <w:rsid w:val="36CC281C"/>
    <w:rsid w:val="36CCAD84"/>
    <w:rsid w:val="36DBF95D"/>
    <w:rsid w:val="36E2AD0B"/>
    <w:rsid w:val="36E84192"/>
    <w:rsid w:val="36F24C27"/>
    <w:rsid w:val="3703025C"/>
    <w:rsid w:val="370B5427"/>
    <w:rsid w:val="37139367"/>
    <w:rsid w:val="3714DD5F"/>
    <w:rsid w:val="37156B10"/>
    <w:rsid w:val="371B3A48"/>
    <w:rsid w:val="373756C5"/>
    <w:rsid w:val="374141BE"/>
    <w:rsid w:val="3748A388"/>
    <w:rsid w:val="374A2A69"/>
    <w:rsid w:val="37543CE5"/>
    <w:rsid w:val="375FECEC"/>
    <w:rsid w:val="376F7493"/>
    <w:rsid w:val="377171D3"/>
    <w:rsid w:val="37729D6A"/>
    <w:rsid w:val="3776CAC5"/>
    <w:rsid w:val="378C7117"/>
    <w:rsid w:val="37947E3B"/>
    <w:rsid w:val="3796A7EC"/>
    <w:rsid w:val="37BB8D13"/>
    <w:rsid w:val="37C9EDFD"/>
    <w:rsid w:val="37E3B6EC"/>
    <w:rsid w:val="37E855FA"/>
    <w:rsid w:val="37EE7897"/>
    <w:rsid w:val="380D0497"/>
    <w:rsid w:val="380D4A45"/>
    <w:rsid w:val="38116C4E"/>
    <w:rsid w:val="3814E962"/>
    <w:rsid w:val="3819C888"/>
    <w:rsid w:val="3830DE74"/>
    <w:rsid w:val="384F5FC1"/>
    <w:rsid w:val="385976E8"/>
    <w:rsid w:val="38662F61"/>
    <w:rsid w:val="386784E0"/>
    <w:rsid w:val="387411C5"/>
    <w:rsid w:val="387456B4"/>
    <w:rsid w:val="387789F2"/>
    <w:rsid w:val="38785399"/>
    <w:rsid w:val="3880FA22"/>
    <w:rsid w:val="3891BC47"/>
    <w:rsid w:val="38A5E1E0"/>
    <w:rsid w:val="38A6B7EF"/>
    <w:rsid w:val="38A7F2B3"/>
    <w:rsid w:val="38AE4E6C"/>
    <w:rsid w:val="38AEB340"/>
    <w:rsid w:val="38B2A240"/>
    <w:rsid w:val="38C49137"/>
    <w:rsid w:val="38C79CB9"/>
    <w:rsid w:val="38C94536"/>
    <w:rsid w:val="38D04C48"/>
    <w:rsid w:val="38E1CC1F"/>
    <w:rsid w:val="38FB72F8"/>
    <w:rsid w:val="390F0672"/>
    <w:rsid w:val="3914ED77"/>
    <w:rsid w:val="391E7677"/>
    <w:rsid w:val="392C5884"/>
    <w:rsid w:val="3930C153"/>
    <w:rsid w:val="393CAA0D"/>
    <w:rsid w:val="3944B006"/>
    <w:rsid w:val="394611C9"/>
    <w:rsid w:val="394749B4"/>
    <w:rsid w:val="3951BACC"/>
    <w:rsid w:val="395B69AA"/>
    <w:rsid w:val="39655AAD"/>
    <w:rsid w:val="3972446F"/>
    <w:rsid w:val="3973280F"/>
    <w:rsid w:val="39750203"/>
    <w:rsid w:val="398A2D34"/>
    <w:rsid w:val="398CD6EF"/>
    <w:rsid w:val="399320A2"/>
    <w:rsid w:val="39A39781"/>
    <w:rsid w:val="39AA0E7B"/>
    <w:rsid w:val="39B33D06"/>
    <w:rsid w:val="39B3A973"/>
    <w:rsid w:val="39B58AD4"/>
    <w:rsid w:val="39BD75ED"/>
    <w:rsid w:val="39C0CCF5"/>
    <w:rsid w:val="39C88F64"/>
    <w:rsid w:val="39D3FF62"/>
    <w:rsid w:val="39E1266B"/>
    <w:rsid w:val="39E3B9CB"/>
    <w:rsid w:val="39E4948B"/>
    <w:rsid w:val="3A04D8D5"/>
    <w:rsid w:val="3A0A34D8"/>
    <w:rsid w:val="3A17E939"/>
    <w:rsid w:val="3A2A21F9"/>
    <w:rsid w:val="3A30110D"/>
    <w:rsid w:val="3A393951"/>
    <w:rsid w:val="3A464642"/>
    <w:rsid w:val="3A4ECA10"/>
    <w:rsid w:val="3A582EA7"/>
    <w:rsid w:val="3A5AF412"/>
    <w:rsid w:val="3A6CDDCC"/>
    <w:rsid w:val="3A890015"/>
    <w:rsid w:val="3ABC5B98"/>
    <w:rsid w:val="3ABEC175"/>
    <w:rsid w:val="3AC1ECEF"/>
    <w:rsid w:val="3ACA6F5A"/>
    <w:rsid w:val="3AD10A45"/>
    <w:rsid w:val="3AF35137"/>
    <w:rsid w:val="3AFAFD03"/>
    <w:rsid w:val="3B10D542"/>
    <w:rsid w:val="3B18AE38"/>
    <w:rsid w:val="3B329000"/>
    <w:rsid w:val="3B395F24"/>
    <w:rsid w:val="3B43E068"/>
    <w:rsid w:val="3B587F78"/>
    <w:rsid w:val="3B5EFBFF"/>
    <w:rsid w:val="3B645503"/>
    <w:rsid w:val="3B77BF34"/>
    <w:rsid w:val="3B82DF78"/>
    <w:rsid w:val="3B96B21E"/>
    <w:rsid w:val="3B974926"/>
    <w:rsid w:val="3B99A15D"/>
    <w:rsid w:val="3BB2184C"/>
    <w:rsid w:val="3BD8EAD7"/>
    <w:rsid w:val="3BE2DB2B"/>
    <w:rsid w:val="3BE6F546"/>
    <w:rsid w:val="3BE853C8"/>
    <w:rsid w:val="3BFEBA9C"/>
    <w:rsid w:val="3C1040AA"/>
    <w:rsid w:val="3C15913D"/>
    <w:rsid w:val="3C5677A3"/>
    <w:rsid w:val="3C66A874"/>
    <w:rsid w:val="3C8A8770"/>
    <w:rsid w:val="3C94D51F"/>
    <w:rsid w:val="3C9BC6D1"/>
    <w:rsid w:val="3CC8E763"/>
    <w:rsid w:val="3CD60A12"/>
    <w:rsid w:val="3CF13D69"/>
    <w:rsid w:val="3CF5688B"/>
    <w:rsid w:val="3D0358AE"/>
    <w:rsid w:val="3D04E419"/>
    <w:rsid w:val="3D07C820"/>
    <w:rsid w:val="3D1025AA"/>
    <w:rsid w:val="3D132A48"/>
    <w:rsid w:val="3D201FBB"/>
    <w:rsid w:val="3D34DE50"/>
    <w:rsid w:val="3D36AED0"/>
    <w:rsid w:val="3D412635"/>
    <w:rsid w:val="3D4A31FF"/>
    <w:rsid w:val="3D6E3F82"/>
    <w:rsid w:val="3D76074C"/>
    <w:rsid w:val="3D77859B"/>
    <w:rsid w:val="3D7C9AD7"/>
    <w:rsid w:val="3D86EB2A"/>
    <w:rsid w:val="3D88BBB8"/>
    <w:rsid w:val="3D9A022E"/>
    <w:rsid w:val="3D9A1477"/>
    <w:rsid w:val="3DBF1FD2"/>
    <w:rsid w:val="3DD44DCD"/>
    <w:rsid w:val="3DD7D88F"/>
    <w:rsid w:val="3DE4BEF5"/>
    <w:rsid w:val="3DEAF86F"/>
    <w:rsid w:val="3E0613F9"/>
    <w:rsid w:val="3E1CA20D"/>
    <w:rsid w:val="3E2048A0"/>
    <w:rsid w:val="3E257E98"/>
    <w:rsid w:val="3E2EFE63"/>
    <w:rsid w:val="3E30659C"/>
    <w:rsid w:val="3E307999"/>
    <w:rsid w:val="3E30F335"/>
    <w:rsid w:val="3E41BC18"/>
    <w:rsid w:val="3E511872"/>
    <w:rsid w:val="3E6A9B7A"/>
    <w:rsid w:val="3E720A21"/>
    <w:rsid w:val="3E75E036"/>
    <w:rsid w:val="3E761D33"/>
    <w:rsid w:val="3E7B0FC2"/>
    <w:rsid w:val="3EA2FD16"/>
    <w:rsid w:val="3EADF43E"/>
    <w:rsid w:val="3EBD8266"/>
    <w:rsid w:val="3EC07716"/>
    <w:rsid w:val="3EC139BD"/>
    <w:rsid w:val="3ED62C34"/>
    <w:rsid w:val="3EDE34EA"/>
    <w:rsid w:val="3EED2A8F"/>
    <w:rsid w:val="3EF126B2"/>
    <w:rsid w:val="3EFB1E93"/>
    <w:rsid w:val="3F0323FD"/>
    <w:rsid w:val="3F07F93B"/>
    <w:rsid w:val="3F0AF22B"/>
    <w:rsid w:val="3F145D6E"/>
    <w:rsid w:val="3F14DE4A"/>
    <w:rsid w:val="3F15FAC4"/>
    <w:rsid w:val="3F1BE3AC"/>
    <w:rsid w:val="3F209343"/>
    <w:rsid w:val="3F3B90B7"/>
    <w:rsid w:val="3F42A6F5"/>
    <w:rsid w:val="3F43C735"/>
    <w:rsid w:val="3F8DE932"/>
    <w:rsid w:val="3FA33283"/>
    <w:rsid w:val="3FA84D6B"/>
    <w:rsid w:val="3FBDCF03"/>
    <w:rsid w:val="3FD4DD2F"/>
    <w:rsid w:val="3FE406E0"/>
    <w:rsid w:val="3FF9B01A"/>
    <w:rsid w:val="40012E0C"/>
    <w:rsid w:val="40155F4F"/>
    <w:rsid w:val="40350231"/>
    <w:rsid w:val="4035D3DF"/>
    <w:rsid w:val="403F7CD4"/>
    <w:rsid w:val="4042F15B"/>
    <w:rsid w:val="40494819"/>
    <w:rsid w:val="4053A350"/>
    <w:rsid w:val="4053CD4E"/>
    <w:rsid w:val="405A861F"/>
    <w:rsid w:val="406F8048"/>
    <w:rsid w:val="4079038C"/>
    <w:rsid w:val="407AEFB0"/>
    <w:rsid w:val="4083B45E"/>
    <w:rsid w:val="4083DD4E"/>
    <w:rsid w:val="40846AF3"/>
    <w:rsid w:val="40950DB4"/>
    <w:rsid w:val="409B1CAB"/>
    <w:rsid w:val="409F48A3"/>
    <w:rsid w:val="40AC67D4"/>
    <w:rsid w:val="40AD8940"/>
    <w:rsid w:val="40B88C73"/>
    <w:rsid w:val="40BB60EA"/>
    <w:rsid w:val="40C2B49B"/>
    <w:rsid w:val="40C8774E"/>
    <w:rsid w:val="40C9AD8D"/>
    <w:rsid w:val="40D5827A"/>
    <w:rsid w:val="40D76BDA"/>
    <w:rsid w:val="40D90FAC"/>
    <w:rsid w:val="40E3AC89"/>
    <w:rsid w:val="40EB9E66"/>
    <w:rsid w:val="40F8A317"/>
    <w:rsid w:val="40FA64EB"/>
    <w:rsid w:val="410A66EB"/>
    <w:rsid w:val="4120BA56"/>
    <w:rsid w:val="412689E4"/>
    <w:rsid w:val="41291451"/>
    <w:rsid w:val="412FB8FE"/>
    <w:rsid w:val="413AAFF5"/>
    <w:rsid w:val="4143020A"/>
    <w:rsid w:val="414AD83E"/>
    <w:rsid w:val="414DF790"/>
    <w:rsid w:val="4152B2B1"/>
    <w:rsid w:val="416A3707"/>
    <w:rsid w:val="417F883D"/>
    <w:rsid w:val="4181E7BE"/>
    <w:rsid w:val="418CD562"/>
    <w:rsid w:val="41959DD1"/>
    <w:rsid w:val="41A0AEDA"/>
    <w:rsid w:val="41A4AD08"/>
    <w:rsid w:val="41B6B6DE"/>
    <w:rsid w:val="41B80249"/>
    <w:rsid w:val="41C99AD8"/>
    <w:rsid w:val="41CC6408"/>
    <w:rsid w:val="41D24E30"/>
    <w:rsid w:val="41D4947F"/>
    <w:rsid w:val="41D90C13"/>
    <w:rsid w:val="41E08350"/>
    <w:rsid w:val="41E83899"/>
    <w:rsid w:val="41EAE9F4"/>
    <w:rsid w:val="41EF6970"/>
    <w:rsid w:val="41F2C9BD"/>
    <w:rsid w:val="41FBD5D0"/>
    <w:rsid w:val="4204862A"/>
    <w:rsid w:val="42148D03"/>
    <w:rsid w:val="42263DED"/>
    <w:rsid w:val="42359C3B"/>
    <w:rsid w:val="42397913"/>
    <w:rsid w:val="4242408E"/>
    <w:rsid w:val="4242F6D1"/>
    <w:rsid w:val="42458DF6"/>
    <w:rsid w:val="424EA97B"/>
    <w:rsid w:val="425DF4FC"/>
    <w:rsid w:val="4269699F"/>
    <w:rsid w:val="426B2865"/>
    <w:rsid w:val="427A7ACA"/>
    <w:rsid w:val="42838F7F"/>
    <w:rsid w:val="4287B5F2"/>
    <w:rsid w:val="42883BFE"/>
    <w:rsid w:val="42914AE7"/>
    <w:rsid w:val="42919828"/>
    <w:rsid w:val="429F6449"/>
    <w:rsid w:val="42A8E7B8"/>
    <w:rsid w:val="42CD3B16"/>
    <w:rsid w:val="42D042DD"/>
    <w:rsid w:val="42D70473"/>
    <w:rsid w:val="42D77DBE"/>
    <w:rsid w:val="42DE1F24"/>
    <w:rsid w:val="42E37572"/>
    <w:rsid w:val="42E97FAD"/>
    <w:rsid w:val="430910A4"/>
    <w:rsid w:val="430B0CF6"/>
    <w:rsid w:val="430DA594"/>
    <w:rsid w:val="43176B32"/>
    <w:rsid w:val="431D41D2"/>
    <w:rsid w:val="431ED049"/>
    <w:rsid w:val="43248C9D"/>
    <w:rsid w:val="4328D532"/>
    <w:rsid w:val="432FEF14"/>
    <w:rsid w:val="43346001"/>
    <w:rsid w:val="433BE6C5"/>
    <w:rsid w:val="433C2744"/>
    <w:rsid w:val="433ECE8D"/>
    <w:rsid w:val="434D3E03"/>
    <w:rsid w:val="434D675D"/>
    <w:rsid w:val="434E000D"/>
    <w:rsid w:val="4355B559"/>
    <w:rsid w:val="436FFECC"/>
    <w:rsid w:val="437236F9"/>
    <w:rsid w:val="43757F62"/>
    <w:rsid w:val="437E9E29"/>
    <w:rsid w:val="4397A382"/>
    <w:rsid w:val="43B33136"/>
    <w:rsid w:val="43BD7398"/>
    <w:rsid w:val="43C7B1D5"/>
    <w:rsid w:val="43D5FD17"/>
    <w:rsid w:val="43DE31EB"/>
    <w:rsid w:val="43ECE06A"/>
    <w:rsid w:val="43F36AE9"/>
    <w:rsid w:val="43F36DFC"/>
    <w:rsid w:val="43F6AD33"/>
    <w:rsid w:val="43FB4362"/>
    <w:rsid w:val="440A5EE7"/>
    <w:rsid w:val="440BB684"/>
    <w:rsid w:val="441062EB"/>
    <w:rsid w:val="441E8F00"/>
    <w:rsid w:val="442F652A"/>
    <w:rsid w:val="442FC182"/>
    <w:rsid w:val="44372DE4"/>
    <w:rsid w:val="443AB116"/>
    <w:rsid w:val="445FFA58"/>
    <w:rsid w:val="4460C594"/>
    <w:rsid w:val="44801F0B"/>
    <w:rsid w:val="4484684D"/>
    <w:rsid w:val="44989F8A"/>
    <w:rsid w:val="44A5AFCA"/>
    <w:rsid w:val="44AC0274"/>
    <w:rsid w:val="44BD0292"/>
    <w:rsid w:val="44C71235"/>
    <w:rsid w:val="44C761DF"/>
    <w:rsid w:val="44C9114E"/>
    <w:rsid w:val="44EA363E"/>
    <w:rsid w:val="44ED11D1"/>
    <w:rsid w:val="44F4BE72"/>
    <w:rsid w:val="44F7C683"/>
    <w:rsid w:val="450EB821"/>
    <w:rsid w:val="450FCF31"/>
    <w:rsid w:val="4512645B"/>
    <w:rsid w:val="451348E7"/>
    <w:rsid w:val="451B58C5"/>
    <w:rsid w:val="45293F85"/>
    <w:rsid w:val="452F30FB"/>
    <w:rsid w:val="4531D992"/>
    <w:rsid w:val="4539E8DA"/>
    <w:rsid w:val="453B4E98"/>
    <w:rsid w:val="4542BBEB"/>
    <w:rsid w:val="4548F993"/>
    <w:rsid w:val="45529F8C"/>
    <w:rsid w:val="4556332C"/>
    <w:rsid w:val="455A07FE"/>
    <w:rsid w:val="4565BDC0"/>
    <w:rsid w:val="45664106"/>
    <w:rsid w:val="45680EA5"/>
    <w:rsid w:val="456EEB5C"/>
    <w:rsid w:val="458D779E"/>
    <w:rsid w:val="4593E04C"/>
    <w:rsid w:val="459DEC9C"/>
    <w:rsid w:val="45AC876B"/>
    <w:rsid w:val="45B5C723"/>
    <w:rsid w:val="45BF3FB1"/>
    <w:rsid w:val="45CA1403"/>
    <w:rsid w:val="45E46CDC"/>
    <w:rsid w:val="45E7F7FA"/>
    <w:rsid w:val="45F93B27"/>
    <w:rsid w:val="4604E750"/>
    <w:rsid w:val="460702BF"/>
    <w:rsid w:val="460B9C67"/>
    <w:rsid w:val="4612FB9F"/>
    <w:rsid w:val="4629050C"/>
    <w:rsid w:val="46390441"/>
    <w:rsid w:val="463AC06E"/>
    <w:rsid w:val="46435EFB"/>
    <w:rsid w:val="4643B0B2"/>
    <w:rsid w:val="46523F48"/>
    <w:rsid w:val="465ADC77"/>
    <w:rsid w:val="46639FCD"/>
    <w:rsid w:val="4665D698"/>
    <w:rsid w:val="4666FB87"/>
    <w:rsid w:val="46670677"/>
    <w:rsid w:val="46A3A07B"/>
    <w:rsid w:val="46A6E2DC"/>
    <w:rsid w:val="46AACB1D"/>
    <w:rsid w:val="46AB911D"/>
    <w:rsid w:val="46B6223C"/>
    <w:rsid w:val="46BBFC4F"/>
    <w:rsid w:val="46CD5AAA"/>
    <w:rsid w:val="46CD9044"/>
    <w:rsid w:val="46E12F70"/>
    <w:rsid w:val="46F71405"/>
    <w:rsid w:val="46F94EA6"/>
    <w:rsid w:val="470D8BC7"/>
    <w:rsid w:val="471481C8"/>
    <w:rsid w:val="4727BE48"/>
    <w:rsid w:val="472C4C24"/>
    <w:rsid w:val="473D78A9"/>
    <w:rsid w:val="474C6CD0"/>
    <w:rsid w:val="4752BCC4"/>
    <w:rsid w:val="47723924"/>
    <w:rsid w:val="477BB05F"/>
    <w:rsid w:val="477C879D"/>
    <w:rsid w:val="47813E65"/>
    <w:rsid w:val="4792B8FB"/>
    <w:rsid w:val="4797021E"/>
    <w:rsid w:val="479C01A2"/>
    <w:rsid w:val="47B4D5C1"/>
    <w:rsid w:val="47B7C617"/>
    <w:rsid w:val="47B91FB5"/>
    <w:rsid w:val="47BDC326"/>
    <w:rsid w:val="47CD6520"/>
    <w:rsid w:val="47D52955"/>
    <w:rsid w:val="47E49563"/>
    <w:rsid w:val="47F83FFE"/>
    <w:rsid w:val="47FAB87E"/>
    <w:rsid w:val="48019842"/>
    <w:rsid w:val="4807FBFE"/>
    <w:rsid w:val="480A196F"/>
    <w:rsid w:val="48190A4B"/>
    <w:rsid w:val="482FF791"/>
    <w:rsid w:val="48380EB7"/>
    <w:rsid w:val="4841EE98"/>
    <w:rsid w:val="484B9E7C"/>
    <w:rsid w:val="48543483"/>
    <w:rsid w:val="485745DC"/>
    <w:rsid w:val="48591907"/>
    <w:rsid w:val="4879719A"/>
    <w:rsid w:val="487A038A"/>
    <w:rsid w:val="48807181"/>
    <w:rsid w:val="48888695"/>
    <w:rsid w:val="4889529E"/>
    <w:rsid w:val="4892AA2A"/>
    <w:rsid w:val="4894DA47"/>
    <w:rsid w:val="489D0BFA"/>
    <w:rsid w:val="48BBD45D"/>
    <w:rsid w:val="48CF21AA"/>
    <w:rsid w:val="48D4D3DD"/>
    <w:rsid w:val="48F0CE24"/>
    <w:rsid w:val="48F0E786"/>
    <w:rsid w:val="490FC5E1"/>
    <w:rsid w:val="491D40E2"/>
    <w:rsid w:val="4930CDD1"/>
    <w:rsid w:val="4930E6D7"/>
    <w:rsid w:val="493150C2"/>
    <w:rsid w:val="493F7461"/>
    <w:rsid w:val="49485B05"/>
    <w:rsid w:val="495C96AD"/>
    <w:rsid w:val="495C9979"/>
    <w:rsid w:val="497B6159"/>
    <w:rsid w:val="49861CE9"/>
    <w:rsid w:val="498A70C8"/>
    <w:rsid w:val="498BD9E7"/>
    <w:rsid w:val="498E4996"/>
    <w:rsid w:val="499B85CA"/>
    <w:rsid w:val="499E3844"/>
    <w:rsid w:val="49A742B5"/>
    <w:rsid w:val="49ABA565"/>
    <w:rsid w:val="49ADC799"/>
    <w:rsid w:val="49B18823"/>
    <w:rsid w:val="49B50C61"/>
    <w:rsid w:val="49C7C7AF"/>
    <w:rsid w:val="4A015174"/>
    <w:rsid w:val="4A0F0B92"/>
    <w:rsid w:val="4A2D4E3C"/>
    <w:rsid w:val="4A2F7A13"/>
    <w:rsid w:val="4A2FCA39"/>
    <w:rsid w:val="4A357150"/>
    <w:rsid w:val="4A3E74BB"/>
    <w:rsid w:val="4A48E53C"/>
    <w:rsid w:val="4A5BA659"/>
    <w:rsid w:val="4A684021"/>
    <w:rsid w:val="4A6A49E2"/>
    <w:rsid w:val="4A760AE7"/>
    <w:rsid w:val="4A8038DD"/>
    <w:rsid w:val="4A8B9D0B"/>
    <w:rsid w:val="4A973592"/>
    <w:rsid w:val="4A9F6634"/>
    <w:rsid w:val="4ABD50E4"/>
    <w:rsid w:val="4ABE227B"/>
    <w:rsid w:val="4AC2EEEE"/>
    <w:rsid w:val="4AC317DF"/>
    <w:rsid w:val="4ACACFEA"/>
    <w:rsid w:val="4AD83F0B"/>
    <w:rsid w:val="4AE61B5E"/>
    <w:rsid w:val="4AF68828"/>
    <w:rsid w:val="4B00452B"/>
    <w:rsid w:val="4B0E57FF"/>
    <w:rsid w:val="4B0EF06A"/>
    <w:rsid w:val="4B19599F"/>
    <w:rsid w:val="4B2B6E0D"/>
    <w:rsid w:val="4B3BBC84"/>
    <w:rsid w:val="4B555A3A"/>
    <w:rsid w:val="4B6B9A1C"/>
    <w:rsid w:val="4B6F17A2"/>
    <w:rsid w:val="4B7A786C"/>
    <w:rsid w:val="4B7AED52"/>
    <w:rsid w:val="4B7CD82A"/>
    <w:rsid w:val="4B81EC64"/>
    <w:rsid w:val="4B82156C"/>
    <w:rsid w:val="4B8F2AA8"/>
    <w:rsid w:val="4B926700"/>
    <w:rsid w:val="4B948442"/>
    <w:rsid w:val="4B9C255E"/>
    <w:rsid w:val="4B9CB9E9"/>
    <w:rsid w:val="4BA1E1A3"/>
    <w:rsid w:val="4BA66E55"/>
    <w:rsid w:val="4BA69B89"/>
    <w:rsid w:val="4BA8D7AE"/>
    <w:rsid w:val="4BAD92E2"/>
    <w:rsid w:val="4BB79018"/>
    <w:rsid w:val="4BBBDEA8"/>
    <w:rsid w:val="4BBDE3A9"/>
    <w:rsid w:val="4BC47F1F"/>
    <w:rsid w:val="4BD5A167"/>
    <w:rsid w:val="4BD686B1"/>
    <w:rsid w:val="4BDA6BC4"/>
    <w:rsid w:val="4BDE5F78"/>
    <w:rsid w:val="4BEA9FF9"/>
    <w:rsid w:val="4BF0D1A1"/>
    <w:rsid w:val="4C1576D6"/>
    <w:rsid w:val="4C1A15E9"/>
    <w:rsid w:val="4C2836AE"/>
    <w:rsid w:val="4C3C6921"/>
    <w:rsid w:val="4C44DAC0"/>
    <w:rsid w:val="4C4CC710"/>
    <w:rsid w:val="4C531C9B"/>
    <w:rsid w:val="4C578178"/>
    <w:rsid w:val="4C73A7FF"/>
    <w:rsid w:val="4C84F010"/>
    <w:rsid w:val="4CA3D84E"/>
    <w:rsid w:val="4CA8F5B3"/>
    <w:rsid w:val="4CB04148"/>
    <w:rsid w:val="4CCB28D9"/>
    <w:rsid w:val="4CCECAF2"/>
    <w:rsid w:val="4CD9F054"/>
    <w:rsid w:val="4CDCB73A"/>
    <w:rsid w:val="4CEE1766"/>
    <w:rsid w:val="4CF0F7B1"/>
    <w:rsid w:val="4CF14016"/>
    <w:rsid w:val="4D073A87"/>
    <w:rsid w:val="4D167B63"/>
    <w:rsid w:val="4D18355A"/>
    <w:rsid w:val="4D188AFE"/>
    <w:rsid w:val="4D2634A2"/>
    <w:rsid w:val="4D2AD63F"/>
    <w:rsid w:val="4D351C6D"/>
    <w:rsid w:val="4D4208F7"/>
    <w:rsid w:val="4D55F204"/>
    <w:rsid w:val="4D574187"/>
    <w:rsid w:val="4D59D891"/>
    <w:rsid w:val="4D5D428A"/>
    <w:rsid w:val="4D6CFE9C"/>
    <w:rsid w:val="4D7ED8D2"/>
    <w:rsid w:val="4D8A39CD"/>
    <w:rsid w:val="4D94B759"/>
    <w:rsid w:val="4DA029DD"/>
    <w:rsid w:val="4DAA78DA"/>
    <w:rsid w:val="4DB16971"/>
    <w:rsid w:val="4DCE7FA5"/>
    <w:rsid w:val="4DD86F1B"/>
    <w:rsid w:val="4DED2783"/>
    <w:rsid w:val="4DF2034D"/>
    <w:rsid w:val="4DFC129F"/>
    <w:rsid w:val="4DFFDE16"/>
    <w:rsid w:val="4E1148C5"/>
    <w:rsid w:val="4E16E321"/>
    <w:rsid w:val="4E252CB5"/>
    <w:rsid w:val="4E2F6649"/>
    <w:rsid w:val="4E3CB98F"/>
    <w:rsid w:val="4E3D7E3D"/>
    <w:rsid w:val="4E4085A6"/>
    <w:rsid w:val="4E482F58"/>
    <w:rsid w:val="4E4CB684"/>
    <w:rsid w:val="4E5041B2"/>
    <w:rsid w:val="4E56DC74"/>
    <w:rsid w:val="4E6B3A5D"/>
    <w:rsid w:val="4E75D30C"/>
    <w:rsid w:val="4E799583"/>
    <w:rsid w:val="4E88069A"/>
    <w:rsid w:val="4E8BDF4F"/>
    <w:rsid w:val="4E9C2CDE"/>
    <w:rsid w:val="4E9F0F2E"/>
    <w:rsid w:val="4EA08B69"/>
    <w:rsid w:val="4EACD274"/>
    <w:rsid w:val="4EC1F84E"/>
    <w:rsid w:val="4EC79FE2"/>
    <w:rsid w:val="4ED3C962"/>
    <w:rsid w:val="4ED72601"/>
    <w:rsid w:val="4EDF8C73"/>
    <w:rsid w:val="4EE094B8"/>
    <w:rsid w:val="4EF63AE1"/>
    <w:rsid w:val="4F002FE3"/>
    <w:rsid w:val="4F1D699D"/>
    <w:rsid w:val="4F31C976"/>
    <w:rsid w:val="4F482308"/>
    <w:rsid w:val="4F4D0507"/>
    <w:rsid w:val="4F563405"/>
    <w:rsid w:val="4F585CA5"/>
    <w:rsid w:val="4F5C5144"/>
    <w:rsid w:val="4F5EF246"/>
    <w:rsid w:val="4F678883"/>
    <w:rsid w:val="4F6BB04F"/>
    <w:rsid w:val="4F7433A5"/>
    <w:rsid w:val="4F760DF6"/>
    <w:rsid w:val="4F7EC5BE"/>
    <w:rsid w:val="4F804130"/>
    <w:rsid w:val="4F8F7B9B"/>
    <w:rsid w:val="4F9E2398"/>
    <w:rsid w:val="4F9E428A"/>
    <w:rsid w:val="4F9EF5BA"/>
    <w:rsid w:val="4FA16668"/>
    <w:rsid w:val="4FA7E6B3"/>
    <w:rsid w:val="4FB37862"/>
    <w:rsid w:val="4FCF440D"/>
    <w:rsid w:val="4FEAFC90"/>
    <w:rsid w:val="50055B88"/>
    <w:rsid w:val="500C2145"/>
    <w:rsid w:val="500FED9B"/>
    <w:rsid w:val="50112881"/>
    <w:rsid w:val="50170F55"/>
    <w:rsid w:val="501CDD93"/>
    <w:rsid w:val="50281830"/>
    <w:rsid w:val="502A93F9"/>
    <w:rsid w:val="502D9D45"/>
    <w:rsid w:val="503A21D3"/>
    <w:rsid w:val="50404B84"/>
    <w:rsid w:val="50406C8B"/>
    <w:rsid w:val="5052F3CD"/>
    <w:rsid w:val="505FF23A"/>
    <w:rsid w:val="50765744"/>
    <w:rsid w:val="50781DBE"/>
    <w:rsid w:val="508D7B67"/>
    <w:rsid w:val="50B333C4"/>
    <w:rsid w:val="50B3AE92"/>
    <w:rsid w:val="50B42B91"/>
    <w:rsid w:val="50B4D93E"/>
    <w:rsid w:val="50C53FE1"/>
    <w:rsid w:val="50CA58FF"/>
    <w:rsid w:val="50DDCB36"/>
    <w:rsid w:val="50E26E85"/>
    <w:rsid w:val="50E8A0FD"/>
    <w:rsid w:val="50EA4361"/>
    <w:rsid w:val="50EEAB86"/>
    <w:rsid w:val="50F0D062"/>
    <w:rsid w:val="50F370C5"/>
    <w:rsid w:val="50F3E417"/>
    <w:rsid w:val="50F3F8F7"/>
    <w:rsid w:val="50FBB7DB"/>
    <w:rsid w:val="50FEC517"/>
    <w:rsid w:val="5102FB1D"/>
    <w:rsid w:val="5106D2F3"/>
    <w:rsid w:val="5116C2E1"/>
    <w:rsid w:val="5117A50E"/>
    <w:rsid w:val="511B27F1"/>
    <w:rsid w:val="511C9FEB"/>
    <w:rsid w:val="51222CB1"/>
    <w:rsid w:val="512529AA"/>
    <w:rsid w:val="5126F2F6"/>
    <w:rsid w:val="512A2FDD"/>
    <w:rsid w:val="51318E5F"/>
    <w:rsid w:val="5136970A"/>
    <w:rsid w:val="5139B3CE"/>
    <w:rsid w:val="514A6D37"/>
    <w:rsid w:val="515E2463"/>
    <w:rsid w:val="5161C860"/>
    <w:rsid w:val="51725F6B"/>
    <w:rsid w:val="5177CA07"/>
    <w:rsid w:val="517EA713"/>
    <w:rsid w:val="518AD35F"/>
    <w:rsid w:val="518F45C9"/>
    <w:rsid w:val="5192EB4E"/>
    <w:rsid w:val="51A32556"/>
    <w:rsid w:val="51ACA15D"/>
    <w:rsid w:val="51B1BB39"/>
    <w:rsid w:val="51C0257D"/>
    <w:rsid w:val="51C2D333"/>
    <w:rsid w:val="51CFE128"/>
    <w:rsid w:val="51D97C9D"/>
    <w:rsid w:val="51E001CC"/>
    <w:rsid w:val="51EC7CE5"/>
    <w:rsid w:val="51FC832E"/>
    <w:rsid w:val="52061724"/>
    <w:rsid w:val="520AC1E0"/>
    <w:rsid w:val="520C88CE"/>
    <w:rsid w:val="520C9699"/>
    <w:rsid w:val="520FA0CE"/>
    <w:rsid w:val="521DE97C"/>
    <w:rsid w:val="52260A8F"/>
    <w:rsid w:val="522DE4DC"/>
    <w:rsid w:val="5234AC65"/>
    <w:rsid w:val="5235B97E"/>
    <w:rsid w:val="52427A50"/>
    <w:rsid w:val="52574491"/>
    <w:rsid w:val="525E67C8"/>
    <w:rsid w:val="526199AA"/>
    <w:rsid w:val="52659EA6"/>
    <w:rsid w:val="52709970"/>
    <w:rsid w:val="527795B6"/>
    <w:rsid w:val="528489B7"/>
    <w:rsid w:val="5287B546"/>
    <w:rsid w:val="528F4B33"/>
    <w:rsid w:val="529A64EA"/>
    <w:rsid w:val="52B1D463"/>
    <w:rsid w:val="52B31FF9"/>
    <w:rsid w:val="52BE41EA"/>
    <w:rsid w:val="52BF6D47"/>
    <w:rsid w:val="52C6FF47"/>
    <w:rsid w:val="52E1C4EF"/>
    <w:rsid w:val="52E5BA01"/>
    <w:rsid w:val="52F9CC05"/>
    <w:rsid w:val="52FE6F5A"/>
    <w:rsid w:val="5303C7E1"/>
    <w:rsid w:val="5308B252"/>
    <w:rsid w:val="530FE02E"/>
    <w:rsid w:val="531051A5"/>
    <w:rsid w:val="53135E47"/>
    <w:rsid w:val="53170CC1"/>
    <w:rsid w:val="531899AA"/>
    <w:rsid w:val="5323D6E7"/>
    <w:rsid w:val="53262BE2"/>
    <w:rsid w:val="533BFF0E"/>
    <w:rsid w:val="534568CB"/>
    <w:rsid w:val="534A1367"/>
    <w:rsid w:val="53615DC4"/>
    <w:rsid w:val="539CDE03"/>
    <w:rsid w:val="539D8251"/>
    <w:rsid w:val="53A665A3"/>
    <w:rsid w:val="53D25C7B"/>
    <w:rsid w:val="53DBEDA8"/>
    <w:rsid w:val="53F38A00"/>
    <w:rsid w:val="5400FC2E"/>
    <w:rsid w:val="5401E186"/>
    <w:rsid w:val="5406ECC7"/>
    <w:rsid w:val="54079FC1"/>
    <w:rsid w:val="5410E543"/>
    <w:rsid w:val="542FB5FD"/>
    <w:rsid w:val="5433C98B"/>
    <w:rsid w:val="5436B198"/>
    <w:rsid w:val="545BA3EA"/>
    <w:rsid w:val="5467F7A3"/>
    <w:rsid w:val="5471BFD8"/>
    <w:rsid w:val="5474CF54"/>
    <w:rsid w:val="5478A09A"/>
    <w:rsid w:val="547E85FC"/>
    <w:rsid w:val="5493864A"/>
    <w:rsid w:val="5498C3EB"/>
    <w:rsid w:val="54B7BEFB"/>
    <w:rsid w:val="54B8FC80"/>
    <w:rsid w:val="54BEFABC"/>
    <w:rsid w:val="54BFC9C4"/>
    <w:rsid w:val="54D3C297"/>
    <w:rsid w:val="54D5CD3D"/>
    <w:rsid w:val="54E23D02"/>
    <w:rsid w:val="54F0051A"/>
    <w:rsid w:val="5508B4FB"/>
    <w:rsid w:val="550AD2B5"/>
    <w:rsid w:val="55117C72"/>
    <w:rsid w:val="551F08E5"/>
    <w:rsid w:val="5529BCAF"/>
    <w:rsid w:val="5539C714"/>
    <w:rsid w:val="554FC8EA"/>
    <w:rsid w:val="55551516"/>
    <w:rsid w:val="55595903"/>
    <w:rsid w:val="5572E7C1"/>
    <w:rsid w:val="55816CE4"/>
    <w:rsid w:val="55A5CDDB"/>
    <w:rsid w:val="55B2F990"/>
    <w:rsid w:val="55BB8167"/>
    <w:rsid w:val="55BBC3AD"/>
    <w:rsid w:val="55BDD2E7"/>
    <w:rsid w:val="55C29B53"/>
    <w:rsid w:val="55C4FB77"/>
    <w:rsid w:val="55D14F8B"/>
    <w:rsid w:val="55EE739E"/>
    <w:rsid w:val="55FCD5F8"/>
    <w:rsid w:val="56057CC4"/>
    <w:rsid w:val="5607A3DC"/>
    <w:rsid w:val="5608891F"/>
    <w:rsid w:val="561CBCCD"/>
    <w:rsid w:val="56288379"/>
    <w:rsid w:val="5636F499"/>
    <w:rsid w:val="563CE808"/>
    <w:rsid w:val="564DC5B2"/>
    <w:rsid w:val="564EF7AE"/>
    <w:rsid w:val="56584462"/>
    <w:rsid w:val="56602F6E"/>
    <w:rsid w:val="5660E69C"/>
    <w:rsid w:val="567235E8"/>
    <w:rsid w:val="567771DB"/>
    <w:rsid w:val="56807E38"/>
    <w:rsid w:val="5686AC53"/>
    <w:rsid w:val="5686EFAA"/>
    <w:rsid w:val="568F48CA"/>
    <w:rsid w:val="56943448"/>
    <w:rsid w:val="569905AF"/>
    <w:rsid w:val="56A3C2B1"/>
    <w:rsid w:val="56A4147F"/>
    <w:rsid w:val="56A7CEC2"/>
    <w:rsid w:val="56AE528A"/>
    <w:rsid w:val="56B04416"/>
    <w:rsid w:val="56B48FE6"/>
    <w:rsid w:val="56C40EE4"/>
    <w:rsid w:val="56D74B31"/>
    <w:rsid w:val="56E16F80"/>
    <w:rsid w:val="5704BD90"/>
    <w:rsid w:val="570A82B4"/>
    <w:rsid w:val="570B0286"/>
    <w:rsid w:val="57175CC0"/>
    <w:rsid w:val="572B528E"/>
    <w:rsid w:val="572BBCE1"/>
    <w:rsid w:val="57310304"/>
    <w:rsid w:val="5734E83E"/>
    <w:rsid w:val="5740B8D0"/>
    <w:rsid w:val="5743110E"/>
    <w:rsid w:val="575AFEF3"/>
    <w:rsid w:val="575D22F3"/>
    <w:rsid w:val="5769B5E2"/>
    <w:rsid w:val="5776EED3"/>
    <w:rsid w:val="578FA06D"/>
    <w:rsid w:val="579433F9"/>
    <w:rsid w:val="5794347F"/>
    <w:rsid w:val="57AC52E3"/>
    <w:rsid w:val="57AD08BC"/>
    <w:rsid w:val="57B6F7BE"/>
    <w:rsid w:val="57B86D57"/>
    <w:rsid w:val="57B8F071"/>
    <w:rsid w:val="57BBD3B4"/>
    <w:rsid w:val="57CA3940"/>
    <w:rsid w:val="57CF18E0"/>
    <w:rsid w:val="57D2A839"/>
    <w:rsid w:val="57D9766E"/>
    <w:rsid w:val="57E21D27"/>
    <w:rsid w:val="57E2996C"/>
    <w:rsid w:val="57FC6A1D"/>
    <w:rsid w:val="58026289"/>
    <w:rsid w:val="580B722C"/>
    <w:rsid w:val="581691F4"/>
    <w:rsid w:val="581A9C2C"/>
    <w:rsid w:val="5825C0C5"/>
    <w:rsid w:val="5828BF95"/>
    <w:rsid w:val="582A8AF3"/>
    <w:rsid w:val="582AD4C4"/>
    <w:rsid w:val="584E48F3"/>
    <w:rsid w:val="58605E00"/>
    <w:rsid w:val="587FF9A4"/>
    <w:rsid w:val="5881925F"/>
    <w:rsid w:val="58838C09"/>
    <w:rsid w:val="5895EC7D"/>
    <w:rsid w:val="589DC892"/>
    <w:rsid w:val="58A75229"/>
    <w:rsid w:val="58B043FD"/>
    <w:rsid w:val="58B4A6BB"/>
    <w:rsid w:val="58B8A6D5"/>
    <w:rsid w:val="58C9CB61"/>
    <w:rsid w:val="58D034EF"/>
    <w:rsid w:val="58D63BA1"/>
    <w:rsid w:val="58D69B63"/>
    <w:rsid w:val="58E209D2"/>
    <w:rsid w:val="58E68667"/>
    <w:rsid w:val="58EB5807"/>
    <w:rsid w:val="58EDB441"/>
    <w:rsid w:val="5909F151"/>
    <w:rsid w:val="5909FE50"/>
    <w:rsid w:val="591CFD67"/>
    <w:rsid w:val="59243C31"/>
    <w:rsid w:val="5935DAA4"/>
    <w:rsid w:val="593F1992"/>
    <w:rsid w:val="5945AECF"/>
    <w:rsid w:val="594870FD"/>
    <w:rsid w:val="594D4CCC"/>
    <w:rsid w:val="594DBC78"/>
    <w:rsid w:val="596B72C8"/>
    <w:rsid w:val="5978602B"/>
    <w:rsid w:val="599B8321"/>
    <w:rsid w:val="59C77165"/>
    <w:rsid w:val="59D08352"/>
    <w:rsid w:val="59D37AB4"/>
    <w:rsid w:val="59D45660"/>
    <w:rsid w:val="59E9D0BF"/>
    <w:rsid w:val="59F59AB6"/>
    <w:rsid w:val="59FA5F3A"/>
    <w:rsid w:val="5A042D7A"/>
    <w:rsid w:val="5A0B8D0F"/>
    <w:rsid w:val="5A1FA285"/>
    <w:rsid w:val="5A218279"/>
    <w:rsid w:val="5A22DAD4"/>
    <w:rsid w:val="5A2FE63A"/>
    <w:rsid w:val="5A301C75"/>
    <w:rsid w:val="5A33B78B"/>
    <w:rsid w:val="5A4D5625"/>
    <w:rsid w:val="5A4D92FD"/>
    <w:rsid w:val="5A51FC2E"/>
    <w:rsid w:val="5A5BB0D0"/>
    <w:rsid w:val="5A5DEC4E"/>
    <w:rsid w:val="5A5FF3A7"/>
    <w:rsid w:val="5A61121F"/>
    <w:rsid w:val="5A6A3A44"/>
    <w:rsid w:val="5A7A5D4A"/>
    <w:rsid w:val="5A7AE69A"/>
    <w:rsid w:val="5A7ED233"/>
    <w:rsid w:val="5A8325AC"/>
    <w:rsid w:val="5A8D1049"/>
    <w:rsid w:val="5A9994A8"/>
    <w:rsid w:val="5AAFEEDC"/>
    <w:rsid w:val="5ACE4132"/>
    <w:rsid w:val="5ACE62AC"/>
    <w:rsid w:val="5AD105E2"/>
    <w:rsid w:val="5AD80E08"/>
    <w:rsid w:val="5AFB3969"/>
    <w:rsid w:val="5B111ED1"/>
    <w:rsid w:val="5B129A1E"/>
    <w:rsid w:val="5B144AEF"/>
    <w:rsid w:val="5B1D797E"/>
    <w:rsid w:val="5B208C81"/>
    <w:rsid w:val="5B21392D"/>
    <w:rsid w:val="5B2964AC"/>
    <w:rsid w:val="5B2ABF44"/>
    <w:rsid w:val="5B331A0F"/>
    <w:rsid w:val="5B379D38"/>
    <w:rsid w:val="5B49938E"/>
    <w:rsid w:val="5B4C059C"/>
    <w:rsid w:val="5B553F63"/>
    <w:rsid w:val="5B6665CF"/>
    <w:rsid w:val="5B6EFA82"/>
    <w:rsid w:val="5B728D34"/>
    <w:rsid w:val="5B7FD605"/>
    <w:rsid w:val="5B83BB14"/>
    <w:rsid w:val="5B89E805"/>
    <w:rsid w:val="5B94E66D"/>
    <w:rsid w:val="5B956207"/>
    <w:rsid w:val="5BA001BE"/>
    <w:rsid w:val="5BB6CFB4"/>
    <w:rsid w:val="5BC2C3F5"/>
    <w:rsid w:val="5BD0B678"/>
    <w:rsid w:val="5BD37AB5"/>
    <w:rsid w:val="5BE1B574"/>
    <w:rsid w:val="5BE2FBC0"/>
    <w:rsid w:val="5BE48F03"/>
    <w:rsid w:val="5BFB285F"/>
    <w:rsid w:val="5C0883C3"/>
    <w:rsid w:val="5C0A64ED"/>
    <w:rsid w:val="5C1264DA"/>
    <w:rsid w:val="5C147935"/>
    <w:rsid w:val="5C157845"/>
    <w:rsid w:val="5C1C3A0C"/>
    <w:rsid w:val="5C210AEA"/>
    <w:rsid w:val="5C232698"/>
    <w:rsid w:val="5C235BEC"/>
    <w:rsid w:val="5C25283F"/>
    <w:rsid w:val="5C2528D7"/>
    <w:rsid w:val="5C3C3736"/>
    <w:rsid w:val="5C3DB22C"/>
    <w:rsid w:val="5C430DBA"/>
    <w:rsid w:val="5C507BF3"/>
    <w:rsid w:val="5C5E7700"/>
    <w:rsid w:val="5C5FA7E0"/>
    <w:rsid w:val="5C60F66B"/>
    <w:rsid w:val="5C6213E9"/>
    <w:rsid w:val="5C6FEF0C"/>
    <w:rsid w:val="5C74D30D"/>
    <w:rsid w:val="5C7A5720"/>
    <w:rsid w:val="5C7A9819"/>
    <w:rsid w:val="5C8AAB91"/>
    <w:rsid w:val="5C8ACBC1"/>
    <w:rsid w:val="5C9997D0"/>
    <w:rsid w:val="5CAB5B16"/>
    <w:rsid w:val="5CB07F4E"/>
    <w:rsid w:val="5CB8129C"/>
    <w:rsid w:val="5CC6CB34"/>
    <w:rsid w:val="5CC75A41"/>
    <w:rsid w:val="5CC8AD72"/>
    <w:rsid w:val="5CD21779"/>
    <w:rsid w:val="5CDA0128"/>
    <w:rsid w:val="5CDABB93"/>
    <w:rsid w:val="5CFC0C6E"/>
    <w:rsid w:val="5CFD685B"/>
    <w:rsid w:val="5D48D1BF"/>
    <w:rsid w:val="5D4A46AC"/>
    <w:rsid w:val="5D4A90F8"/>
    <w:rsid w:val="5D4FA2EA"/>
    <w:rsid w:val="5D71CDDD"/>
    <w:rsid w:val="5D7BB386"/>
    <w:rsid w:val="5D8BDD0E"/>
    <w:rsid w:val="5DA09537"/>
    <w:rsid w:val="5DB9C3DA"/>
    <w:rsid w:val="5DC21FA4"/>
    <w:rsid w:val="5DD98AE7"/>
    <w:rsid w:val="5DE401A6"/>
    <w:rsid w:val="5DEE51BB"/>
    <w:rsid w:val="5DEEB37D"/>
    <w:rsid w:val="5DFD1940"/>
    <w:rsid w:val="5E058F24"/>
    <w:rsid w:val="5E1036BF"/>
    <w:rsid w:val="5E1994E6"/>
    <w:rsid w:val="5E270099"/>
    <w:rsid w:val="5E2A011C"/>
    <w:rsid w:val="5E2A6447"/>
    <w:rsid w:val="5E2FA485"/>
    <w:rsid w:val="5E351F68"/>
    <w:rsid w:val="5E356F3B"/>
    <w:rsid w:val="5E35FED1"/>
    <w:rsid w:val="5E37746B"/>
    <w:rsid w:val="5E3B1ACD"/>
    <w:rsid w:val="5E465C47"/>
    <w:rsid w:val="5E541203"/>
    <w:rsid w:val="5E59A597"/>
    <w:rsid w:val="5E5E38DB"/>
    <w:rsid w:val="5E66A807"/>
    <w:rsid w:val="5E6B1D68"/>
    <w:rsid w:val="5E6BC95F"/>
    <w:rsid w:val="5E77629A"/>
    <w:rsid w:val="5E9CCD1A"/>
    <w:rsid w:val="5EA47832"/>
    <w:rsid w:val="5EA96F79"/>
    <w:rsid w:val="5ECB588C"/>
    <w:rsid w:val="5ECEC801"/>
    <w:rsid w:val="5EDC770A"/>
    <w:rsid w:val="5EDDC377"/>
    <w:rsid w:val="5EE2B1FF"/>
    <w:rsid w:val="5EE49CD5"/>
    <w:rsid w:val="5EE69AA2"/>
    <w:rsid w:val="5EED721C"/>
    <w:rsid w:val="5EEEEAEB"/>
    <w:rsid w:val="5EF22D95"/>
    <w:rsid w:val="5F054029"/>
    <w:rsid w:val="5F081D30"/>
    <w:rsid w:val="5F11F431"/>
    <w:rsid w:val="5F1F8A8D"/>
    <w:rsid w:val="5F265B1A"/>
    <w:rsid w:val="5F2BDCC4"/>
    <w:rsid w:val="5F2CD78F"/>
    <w:rsid w:val="5F43E27B"/>
    <w:rsid w:val="5F49C031"/>
    <w:rsid w:val="5F4A6348"/>
    <w:rsid w:val="5F5D9F0F"/>
    <w:rsid w:val="5F6C6947"/>
    <w:rsid w:val="5F797F56"/>
    <w:rsid w:val="5F9AB924"/>
    <w:rsid w:val="5F9D743F"/>
    <w:rsid w:val="5FA48DB7"/>
    <w:rsid w:val="5FAC72EE"/>
    <w:rsid w:val="5FB0CFBE"/>
    <w:rsid w:val="5FB69371"/>
    <w:rsid w:val="5FB7DD76"/>
    <w:rsid w:val="5FBBCDAE"/>
    <w:rsid w:val="5FCB858E"/>
    <w:rsid w:val="5FD3FAB6"/>
    <w:rsid w:val="5FDDE9C8"/>
    <w:rsid w:val="5FE62F7D"/>
    <w:rsid w:val="5FEBE787"/>
    <w:rsid w:val="5FF13B21"/>
    <w:rsid w:val="5FFEC8F3"/>
    <w:rsid w:val="60037076"/>
    <w:rsid w:val="6005430E"/>
    <w:rsid w:val="60079412"/>
    <w:rsid w:val="60095C47"/>
    <w:rsid w:val="6015DA03"/>
    <w:rsid w:val="60164976"/>
    <w:rsid w:val="601AA3D8"/>
    <w:rsid w:val="601AF3AB"/>
    <w:rsid w:val="601E3134"/>
    <w:rsid w:val="60207427"/>
    <w:rsid w:val="6021DDB5"/>
    <w:rsid w:val="60230B97"/>
    <w:rsid w:val="60247205"/>
    <w:rsid w:val="6026F033"/>
    <w:rsid w:val="603C8678"/>
    <w:rsid w:val="604B3985"/>
    <w:rsid w:val="605BB45A"/>
    <w:rsid w:val="606489AB"/>
    <w:rsid w:val="606A3F3D"/>
    <w:rsid w:val="60738485"/>
    <w:rsid w:val="608CFAD6"/>
    <w:rsid w:val="60913097"/>
    <w:rsid w:val="6091EDA7"/>
    <w:rsid w:val="6093FAEF"/>
    <w:rsid w:val="609DC084"/>
    <w:rsid w:val="60B518E6"/>
    <w:rsid w:val="60D2EA83"/>
    <w:rsid w:val="60D80BF3"/>
    <w:rsid w:val="60E0311B"/>
    <w:rsid w:val="60E2FB55"/>
    <w:rsid w:val="60E569BE"/>
    <w:rsid w:val="60E980E1"/>
    <w:rsid w:val="60EF7E46"/>
    <w:rsid w:val="60FBCF0A"/>
    <w:rsid w:val="60FF8AF1"/>
    <w:rsid w:val="61018F69"/>
    <w:rsid w:val="610219DD"/>
    <w:rsid w:val="6102607A"/>
    <w:rsid w:val="610582FE"/>
    <w:rsid w:val="61198A92"/>
    <w:rsid w:val="612204DB"/>
    <w:rsid w:val="61239043"/>
    <w:rsid w:val="6124E9DA"/>
    <w:rsid w:val="612C050B"/>
    <w:rsid w:val="61306502"/>
    <w:rsid w:val="613669F0"/>
    <w:rsid w:val="613AFFA1"/>
    <w:rsid w:val="6146A962"/>
    <w:rsid w:val="6148F636"/>
    <w:rsid w:val="616B8559"/>
    <w:rsid w:val="618535C6"/>
    <w:rsid w:val="618E584D"/>
    <w:rsid w:val="619A50D6"/>
    <w:rsid w:val="61A3779B"/>
    <w:rsid w:val="61A448FB"/>
    <w:rsid w:val="61B5F7BA"/>
    <w:rsid w:val="61B8F055"/>
    <w:rsid w:val="61C994BE"/>
    <w:rsid w:val="61D8E494"/>
    <w:rsid w:val="61E30057"/>
    <w:rsid w:val="61E63A92"/>
    <w:rsid w:val="61F450CC"/>
    <w:rsid w:val="61F649CE"/>
    <w:rsid w:val="61FE5361"/>
    <w:rsid w:val="621298FC"/>
    <w:rsid w:val="62157DE4"/>
    <w:rsid w:val="62172436"/>
    <w:rsid w:val="623DE8B4"/>
    <w:rsid w:val="624C99BB"/>
    <w:rsid w:val="6259350B"/>
    <w:rsid w:val="625B653D"/>
    <w:rsid w:val="6263EC0C"/>
    <w:rsid w:val="6265BEF9"/>
    <w:rsid w:val="626695A2"/>
    <w:rsid w:val="62ACDCA7"/>
    <w:rsid w:val="62BC7C23"/>
    <w:rsid w:val="62C7504A"/>
    <w:rsid w:val="62CA558E"/>
    <w:rsid w:val="62CB9670"/>
    <w:rsid w:val="62D57273"/>
    <w:rsid w:val="62D88CF8"/>
    <w:rsid w:val="62F63615"/>
    <w:rsid w:val="62FAD1DB"/>
    <w:rsid w:val="6325779E"/>
    <w:rsid w:val="633563AC"/>
    <w:rsid w:val="6337E935"/>
    <w:rsid w:val="633B314F"/>
    <w:rsid w:val="6345F336"/>
    <w:rsid w:val="634B1CDD"/>
    <w:rsid w:val="634F12B3"/>
    <w:rsid w:val="6354CB72"/>
    <w:rsid w:val="63555255"/>
    <w:rsid w:val="637278B8"/>
    <w:rsid w:val="637DC696"/>
    <w:rsid w:val="63806C92"/>
    <w:rsid w:val="638539E0"/>
    <w:rsid w:val="638D8BBA"/>
    <w:rsid w:val="6391F96B"/>
    <w:rsid w:val="6399BBB6"/>
    <w:rsid w:val="63C61997"/>
    <w:rsid w:val="63CB0C0E"/>
    <w:rsid w:val="63CDBF98"/>
    <w:rsid w:val="63DFBE43"/>
    <w:rsid w:val="63E1F310"/>
    <w:rsid w:val="63E2AAE6"/>
    <w:rsid w:val="63E4D2DE"/>
    <w:rsid w:val="63EBE1D7"/>
    <w:rsid w:val="63FA0720"/>
    <w:rsid w:val="64001AE9"/>
    <w:rsid w:val="6401594D"/>
    <w:rsid w:val="6402DAD4"/>
    <w:rsid w:val="6407E882"/>
    <w:rsid w:val="64153688"/>
    <w:rsid w:val="641DF519"/>
    <w:rsid w:val="643D72BB"/>
    <w:rsid w:val="644B7AFF"/>
    <w:rsid w:val="64517D1F"/>
    <w:rsid w:val="64854352"/>
    <w:rsid w:val="64869A8C"/>
    <w:rsid w:val="64880866"/>
    <w:rsid w:val="649B87BA"/>
    <w:rsid w:val="64A986CE"/>
    <w:rsid w:val="64AA4F7B"/>
    <w:rsid w:val="64B81D33"/>
    <w:rsid w:val="64B87200"/>
    <w:rsid w:val="64C72D47"/>
    <w:rsid w:val="64CA6920"/>
    <w:rsid w:val="64E7BB53"/>
    <w:rsid w:val="64EBDA77"/>
    <w:rsid w:val="65002C60"/>
    <w:rsid w:val="6509B37B"/>
    <w:rsid w:val="650D8225"/>
    <w:rsid w:val="650DC3D5"/>
    <w:rsid w:val="650E4DE0"/>
    <w:rsid w:val="65172592"/>
    <w:rsid w:val="6534F73C"/>
    <w:rsid w:val="65375196"/>
    <w:rsid w:val="653844F4"/>
    <w:rsid w:val="653E90E8"/>
    <w:rsid w:val="654997C2"/>
    <w:rsid w:val="654FB74E"/>
    <w:rsid w:val="6561D1FF"/>
    <w:rsid w:val="6565506D"/>
    <w:rsid w:val="657EE8B6"/>
    <w:rsid w:val="6581D82C"/>
    <w:rsid w:val="65839D4C"/>
    <w:rsid w:val="65842602"/>
    <w:rsid w:val="6587E963"/>
    <w:rsid w:val="6598F3EB"/>
    <w:rsid w:val="659A2476"/>
    <w:rsid w:val="659D02DD"/>
    <w:rsid w:val="65AA36B9"/>
    <w:rsid w:val="65ACC45B"/>
    <w:rsid w:val="65AF0734"/>
    <w:rsid w:val="65B50C55"/>
    <w:rsid w:val="65BE7101"/>
    <w:rsid w:val="65C4CE78"/>
    <w:rsid w:val="65CC8694"/>
    <w:rsid w:val="65CD3BED"/>
    <w:rsid w:val="65D11D62"/>
    <w:rsid w:val="65D28C98"/>
    <w:rsid w:val="65D5EFD2"/>
    <w:rsid w:val="65DF881D"/>
    <w:rsid w:val="65E6E7CC"/>
    <w:rsid w:val="65E9D818"/>
    <w:rsid w:val="65EB2109"/>
    <w:rsid w:val="65F39112"/>
    <w:rsid w:val="6619D3F7"/>
    <w:rsid w:val="661F1635"/>
    <w:rsid w:val="6625729F"/>
    <w:rsid w:val="662BD5FB"/>
    <w:rsid w:val="663940C5"/>
    <w:rsid w:val="663C28D4"/>
    <w:rsid w:val="66402F84"/>
    <w:rsid w:val="664082C2"/>
    <w:rsid w:val="66466A24"/>
    <w:rsid w:val="664906DA"/>
    <w:rsid w:val="66574940"/>
    <w:rsid w:val="665857CB"/>
    <w:rsid w:val="665C1DFA"/>
    <w:rsid w:val="66705BE3"/>
    <w:rsid w:val="6670C9F4"/>
    <w:rsid w:val="66878CC7"/>
    <w:rsid w:val="668B54D4"/>
    <w:rsid w:val="66A17AC1"/>
    <w:rsid w:val="66A33D72"/>
    <w:rsid w:val="66B5289D"/>
    <w:rsid w:val="66BB7F33"/>
    <w:rsid w:val="66BE8E6E"/>
    <w:rsid w:val="66C61C34"/>
    <w:rsid w:val="66C7C510"/>
    <w:rsid w:val="66D42C7E"/>
    <w:rsid w:val="66D4A7EB"/>
    <w:rsid w:val="66D9E0FA"/>
    <w:rsid w:val="66EA475A"/>
    <w:rsid w:val="66EE15C3"/>
    <w:rsid w:val="66F336E6"/>
    <w:rsid w:val="66F74783"/>
    <w:rsid w:val="66F77A02"/>
    <w:rsid w:val="66F7E753"/>
    <w:rsid w:val="66FA285F"/>
    <w:rsid w:val="66FDEFCF"/>
    <w:rsid w:val="670719F2"/>
    <w:rsid w:val="67199CC9"/>
    <w:rsid w:val="6751F069"/>
    <w:rsid w:val="6767D1F1"/>
    <w:rsid w:val="6771F683"/>
    <w:rsid w:val="678E96A4"/>
    <w:rsid w:val="67951FBB"/>
    <w:rsid w:val="67998D09"/>
    <w:rsid w:val="67A29C30"/>
    <w:rsid w:val="67AFEA98"/>
    <w:rsid w:val="67C1882A"/>
    <w:rsid w:val="67C64CD8"/>
    <w:rsid w:val="67D1CA1F"/>
    <w:rsid w:val="67D315DC"/>
    <w:rsid w:val="67F50C50"/>
    <w:rsid w:val="67F7D223"/>
    <w:rsid w:val="67FFFE80"/>
    <w:rsid w:val="68049CC6"/>
    <w:rsid w:val="680F800B"/>
    <w:rsid w:val="680FEDDB"/>
    <w:rsid w:val="6811E21C"/>
    <w:rsid w:val="68170140"/>
    <w:rsid w:val="681BCF6B"/>
    <w:rsid w:val="681FBF45"/>
    <w:rsid w:val="6834701C"/>
    <w:rsid w:val="684AD7E2"/>
    <w:rsid w:val="685976E4"/>
    <w:rsid w:val="686B5F0E"/>
    <w:rsid w:val="6876C900"/>
    <w:rsid w:val="688420DA"/>
    <w:rsid w:val="688D2D67"/>
    <w:rsid w:val="68AA5E3E"/>
    <w:rsid w:val="68B1183D"/>
    <w:rsid w:val="68BB1BC0"/>
    <w:rsid w:val="68DAFE8D"/>
    <w:rsid w:val="68DEA115"/>
    <w:rsid w:val="68E4A5CA"/>
    <w:rsid w:val="68F54211"/>
    <w:rsid w:val="69064C2F"/>
    <w:rsid w:val="6913450E"/>
    <w:rsid w:val="6913BA1C"/>
    <w:rsid w:val="69149174"/>
    <w:rsid w:val="691B2AD7"/>
    <w:rsid w:val="69206596"/>
    <w:rsid w:val="693A69A1"/>
    <w:rsid w:val="6957F2BE"/>
    <w:rsid w:val="6958C8FF"/>
    <w:rsid w:val="696BF868"/>
    <w:rsid w:val="6975199C"/>
    <w:rsid w:val="697B1681"/>
    <w:rsid w:val="697DF728"/>
    <w:rsid w:val="6989AC44"/>
    <w:rsid w:val="69903D33"/>
    <w:rsid w:val="69A05034"/>
    <w:rsid w:val="69A4871A"/>
    <w:rsid w:val="69B9C9DA"/>
    <w:rsid w:val="69BE3206"/>
    <w:rsid w:val="69C422C2"/>
    <w:rsid w:val="69C73133"/>
    <w:rsid w:val="69C75DF2"/>
    <w:rsid w:val="69CA4482"/>
    <w:rsid w:val="69CADED9"/>
    <w:rsid w:val="69D477B7"/>
    <w:rsid w:val="69D4816A"/>
    <w:rsid w:val="69D68493"/>
    <w:rsid w:val="69DE0C11"/>
    <w:rsid w:val="69DEE830"/>
    <w:rsid w:val="69E477D0"/>
    <w:rsid w:val="69EAE06D"/>
    <w:rsid w:val="69EBC465"/>
    <w:rsid w:val="6A02E385"/>
    <w:rsid w:val="6A107B58"/>
    <w:rsid w:val="6A14912E"/>
    <w:rsid w:val="6A1EAE47"/>
    <w:rsid w:val="6A280C4A"/>
    <w:rsid w:val="6A413BEA"/>
    <w:rsid w:val="6A41705B"/>
    <w:rsid w:val="6A4FCF56"/>
    <w:rsid w:val="6A80FFD5"/>
    <w:rsid w:val="6AA9EB38"/>
    <w:rsid w:val="6AB41CE3"/>
    <w:rsid w:val="6AB5F938"/>
    <w:rsid w:val="6ABB6B55"/>
    <w:rsid w:val="6AC61CE9"/>
    <w:rsid w:val="6ACE5539"/>
    <w:rsid w:val="6AE66A83"/>
    <w:rsid w:val="6AE93ABF"/>
    <w:rsid w:val="6AEA515C"/>
    <w:rsid w:val="6AEFD433"/>
    <w:rsid w:val="6B03F02B"/>
    <w:rsid w:val="6B0D9ECE"/>
    <w:rsid w:val="6B0DBAC2"/>
    <w:rsid w:val="6B441567"/>
    <w:rsid w:val="6B5E1F2A"/>
    <w:rsid w:val="6B618A32"/>
    <w:rsid w:val="6B6D3C52"/>
    <w:rsid w:val="6B6FA5AA"/>
    <w:rsid w:val="6B720E38"/>
    <w:rsid w:val="6B7CE8A1"/>
    <w:rsid w:val="6B8C732D"/>
    <w:rsid w:val="6BB29479"/>
    <w:rsid w:val="6BB2A712"/>
    <w:rsid w:val="6BC746CF"/>
    <w:rsid w:val="6BE11972"/>
    <w:rsid w:val="6BEBB8D7"/>
    <w:rsid w:val="6BEF56B4"/>
    <w:rsid w:val="6C16F097"/>
    <w:rsid w:val="6C194689"/>
    <w:rsid w:val="6C1C5F5D"/>
    <w:rsid w:val="6C2ADD6B"/>
    <w:rsid w:val="6C2D3DD8"/>
    <w:rsid w:val="6C369E8F"/>
    <w:rsid w:val="6C6B4EEF"/>
    <w:rsid w:val="6C8CFD5F"/>
    <w:rsid w:val="6C939046"/>
    <w:rsid w:val="6CA3C2F8"/>
    <w:rsid w:val="6CB0246F"/>
    <w:rsid w:val="6CB40635"/>
    <w:rsid w:val="6CB7F65F"/>
    <w:rsid w:val="6CBCD985"/>
    <w:rsid w:val="6CC84DF6"/>
    <w:rsid w:val="6CD1C1A5"/>
    <w:rsid w:val="6CD634B0"/>
    <w:rsid w:val="6CE3A164"/>
    <w:rsid w:val="6CECDDD7"/>
    <w:rsid w:val="6CF03BF2"/>
    <w:rsid w:val="6D00B3C0"/>
    <w:rsid w:val="6D018F71"/>
    <w:rsid w:val="6D0D4166"/>
    <w:rsid w:val="6D1EE4BF"/>
    <w:rsid w:val="6D289FDB"/>
    <w:rsid w:val="6D3E9712"/>
    <w:rsid w:val="6D4D3762"/>
    <w:rsid w:val="6D5ED115"/>
    <w:rsid w:val="6D660A60"/>
    <w:rsid w:val="6D6CE598"/>
    <w:rsid w:val="6DC3C1DB"/>
    <w:rsid w:val="6DC966C7"/>
    <w:rsid w:val="6DD85AAF"/>
    <w:rsid w:val="6DFEB4DD"/>
    <w:rsid w:val="6E0061FF"/>
    <w:rsid w:val="6E07A161"/>
    <w:rsid w:val="6E0AD0DE"/>
    <w:rsid w:val="6E0F45AD"/>
    <w:rsid w:val="6E105B9F"/>
    <w:rsid w:val="6E111989"/>
    <w:rsid w:val="6E1A84F0"/>
    <w:rsid w:val="6E2FE5C8"/>
    <w:rsid w:val="6E34471E"/>
    <w:rsid w:val="6E4C76A2"/>
    <w:rsid w:val="6E4D4805"/>
    <w:rsid w:val="6E55D233"/>
    <w:rsid w:val="6E600B43"/>
    <w:rsid w:val="6E604434"/>
    <w:rsid w:val="6E624835"/>
    <w:rsid w:val="6E71B711"/>
    <w:rsid w:val="6E722116"/>
    <w:rsid w:val="6E7AA82F"/>
    <w:rsid w:val="6E89FE40"/>
    <w:rsid w:val="6EB113F6"/>
    <w:rsid w:val="6EC535C8"/>
    <w:rsid w:val="6EC55A87"/>
    <w:rsid w:val="6ECA4894"/>
    <w:rsid w:val="6EDF9752"/>
    <w:rsid w:val="6EEBE16A"/>
    <w:rsid w:val="6EF0720C"/>
    <w:rsid w:val="6EF5D224"/>
    <w:rsid w:val="6EF618EF"/>
    <w:rsid w:val="6F0E3678"/>
    <w:rsid w:val="6F17B824"/>
    <w:rsid w:val="6F26A8BF"/>
    <w:rsid w:val="6F38CE28"/>
    <w:rsid w:val="6F3C7904"/>
    <w:rsid w:val="6F443F5A"/>
    <w:rsid w:val="6F46F586"/>
    <w:rsid w:val="6F4BF92F"/>
    <w:rsid w:val="6F52808E"/>
    <w:rsid w:val="6F5AC6EE"/>
    <w:rsid w:val="6F61322A"/>
    <w:rsid w:val="6F9423AF"/>
    <w:rsid w:val="6F9B2306"/>
    <w:rsid w:val="6F9E344B"/>
    <w:rsid w:val="6FA26405"/>
    <w:rsid w:val="6FB2A265"/>
    <w:rsid w:val="6FBBB28A"/>
    <w:rsid w:val="6FD1F02D"/>
    <w:rsid w:val="6FD32F16"/>
    <w:rsid w:val="6FFEC47F"/>
    <w:rsid w:val="70069F09"/>
    <w:rsid w:val="703B3C7E"/>
    <w:rsid w:val="703D6F40"/>
    <w:rsid w:val="704724AE"/>
    <w:rsid w:val="704A36E3"/>
    <w:rsid w:val="7051D124"/>
    <w:rsid w:val="70544724"/>
    <w:rsid w:val="705B31BF"/>
    <w:rsid w:val="705BD20C"/>
    <w:rsid w:val="7062DE0B"/>
    <w:rsid w:val="7070C881"/>
    <w:rsid w:val="707182D2"/>
    <w:rsid w:val="707AF5A0"/>
    <w:rsid w:val="707DF757"/>
    <w:rsid w:val="708FB025"/>
    <w:rsid w:val="709371E7"/>
    <w:rsid w:val="70BCFA52"/>
    <w:rsid w:val="70C014D4"/>
    <w:rsid w:val="70C9DB02"/>
    <w:rsid w:val="70D656D5"/>
    <w:rsid w:val="70D900A2"/>
    <w:rsid w:val="70F01F41"/>
    <w:rsid w:val="71019291"/>
    <w:rsid w:val="710A356C"/>
    <w:rsid w:val="710A92A2"/>
    <w:rsid w:val="7112E66C"/>
    <w:rsid w:val="71181D90"/>
    <w:rsid w:val="7128F025"/>
    <w:rsid w:val="712959F3"/>
    <w:rsid w:val="712B0094"/>
    <w:rsid w:val="713A57D2"/>
    <w:rsid w:val="713BD028"/>
    <w:rsid w:val="713D2D21"/>
    <w:rsid w:val="7158E1AA"/>
    <w:rsid w:val="715E0D6D"/>
    <w:rsid w:val="716255C1"/>
    <w:rsid w:val="71705953"/>
    <w:rsid w:val="7177E7A2"/>
    <w:rsid w:val="717FB8AE"/>
    <w:rsid w:val="718995EF"/>
    <w:rsid w:val="718B2309"/>
    <w:rsid w:val="718ED30F"/>
    <w:rsid w:val="71A13E0B"/>
    <w:rsid w:val="71A40A42"/>
    <w:rsid w:val="71A8FCAC"/>
    <w:rsid w:val="71B9347C"/>
    <w:rsid w:val="71DF12C1"/>
    <w:rsid w:val="71E3D5C2"/>
    <w:rsid w:val="71F4F790"/>
    <w:rsid w:val="720420D2"/>
    <w:rsid w:val="721E13F4"/>
    <w:rsid w:val="721F331B"/>
    <w:rsid w:val="723D9F10"/>
    <w:rsid w:val="72443B02"/>
    <w:rsid w:val="724F1574"/>
    <w:rsid w:val="72562CAC"/>
    <w:rsid w:val="725C66B6"/>
    <w:rsid w:val="7263A302"/>
    <w:rsid w:val="72810890"/>
    <w:rsid w:val="7285DCD6"/>
    <w:rsid w:val="72929C47"/>
    <w:rsid w:val="729E2C8E"/>
    <w:rsid w:val="729E6425"/>
    <w:rsid w:val="729E893F"/>
    <w:rsid w:val="72AB79D2"/>
    <w:rsid w:val="72ADCCAD"/>
    <w:rsid w:val="72B7B2A7"/>
    <w:rsid w:val="72BAF95F"/>
    <w:rsid w:val="72C01F50"/>
    <w:rsid w:val="72D4C6C7"/>
    <w:rsid w:val="72DDC0E1"/>
    <w:rsid w:val="72E786F1"/>
    <w:rsid w:val="72F3E6C9"/>
    <w:rsid w:val="7319394C"/>
    <w:rsid w:val="731BD201"/>
    <w:rsid w:val="73206B08"/>
    <w:rsid w:val="732E56EB"/>
    <w:rsid w:val="733F5B0C"/>
    <w:rsid w:val="734889ED"/>
    <w:rsid w:val="73586697"/>
    <w:rsid w:val="735D5FF6"/>
    <w:rsid w:val="735DDAAA"/>
    <w:rsid w:val="73646480"/>
    <w:rsid w:val="738279B0"/>
    <w:rsid w:val="7385626E"/>
    <w:rsid w:val="73B1BACB"/>
    <w:rsid w:val="73C2C861"/>
    <w:rsid w:val="73CB017D"/>
    <w:rsid w:val="73CD541F"/>
    <w:rsid w:val="73E11967"/>
    <w:rsid w:val="73E5A52E"/>
    <w:rsid w:val="73E6740F"/>
    <w:rsid w:val="73E922F9"/>
    <w:rsid w:val="73E9B2C3"/>
    <w:rsid w:val="73E9ED0D"/>
    <w:rsid w:val="73EC20BF"/>
    <w:rsid w:val="73F34806"/>
    <w:rsid w:val="73F94E01"/>
    <w:rsid w:val="73FF0ADE"/>
    <w:rsid w:val="741A2343"/>
    <w:rsid w:val="74205098"/>
    <w:rsid w:val="742FD52D"/>
    <w:rsid w:val="7434ED51"/>
    <w:rsid w:val="743F1B50"/>
    <w:rsid w:val="74436FC9"/>
    <w:rsid w:val="74546786"/>
    <w:rsid w:val="745DE0C0"/>
    <w:rsid w:val="7482E895"/>
    <w:rsid w:val="748A989B"/>
    <w:rsid w:val="7490FBF3"/>
    <w:rsid w:val="749847D2"/>
    <w:rsid w:val="74AD2CD4"/>
    <w:rsid w:val="74B5BD18"/>
    <w:rsid w:val="74C80E19"/>
    <w:rsid w:val="74CB322E"/>
    <w:rsid w:val="74E1015D"/>
    <w:rsid w:val="74FF131D"/>
    <w:rsid w:val="75044AAB"/>
    <w:rsid w:val="7515FAB7"/>
    <w:rsid w:val="751F7635"/>
    <w:rsid w:val="752633D5"/>
    <w:rsid w:val="75286205"/>
    <w:rsid w:val="752AB55A"/>
    <w:rsid w:val="752B7B3C"/>
    <w:rsid w:val="75302275"/>
    <w:rsid w:val="75333EB2"/>
    <w:rsid w:val="7538A4CE"/>
    <w:rsid w:val="75493C3E"/>
    <w:rsid w:val="754F72F0"/>
    <w:rsid w:val="7556D533"/>
    <w:rsid w:val="755AE442"/>
    <w:rsid w:val="755E91A6"/>
    <w:rsid w:val="756A5D4A"/>
    <w:rsid w:val="75724DBA"/>
    <w:rsid w:val="75728814"/>
    <w:rsid w:val="758CA6A0"/>
    <w:rsid w:val="759F4A28"/>
    <w:rsid w:val="75A2291B"/>
    <w:rsid w:val="75B0AC12"/>
    <w:rsid w:val="75BB811D"/>
    <w:rsid w:val="75CD6261"/>
    <w:rsid w:val="75DD01B7"/>
    <w:rsid w:val="75EB5498"/>
    <w:rsid w:val="75F05B3A"/>
    <w:rsid w:val="75F3C86D"/>
    <w:rsid w:val="75F5B62B"/>
    <w:rsid w:val="7601B460"/>
    <w:rsid w:val="7620304E"/>
    <w:rsid w:val="76287645"/>
    <w:rsid w:val="762A0879"/>
    <w:rsid w:val="762C7116"/>
    <w:rsid w:val="762D7D4D"/>
    <w:rsid w:val="762E0EBA"/>
    <w:rsid w:val="76316AA1"/>
    <w:rsid w:val="7634BDBD"/>
    <w:rsid w:val="763744E5"/>
    <w:rsid w:val="764027EC"/>
    <w:rsid w:val="764CAF4D"/>
    <w:rsid w:val="764E92BB"/>
    <w:rsid w:val="76566F26"/>
    <w:rsid w:val="765BFB41"/>
    <w:rsid w:val="765DDB5B"/>
    <w:rsid w:val="766A009A"/>
    <w:rsid w:val="766EF06B"/>
    <w:rsid w:val="767670BA"/>
    <w:rsid w:val="7676E466"/>
    <w:rsid w:val="769549FD"/>
    <w:rsid w:val="769B6C98"/>
    <w:rsid w:val="76B29D42"/>
    <w:rsid w:val="76BECD86"/>
    <w:rsid w:val="76C973B7"/>
    <w:rsid w:val="76D2B2B1"/>
    <w:rsid w:val="76F28CE7"/>
    <w:rsid w:val="76F32F63"/>
    <w:rsid w:val="76FBEBC9"/>
    <w:rsid w:val="76FEE4D3"/>
    <w:rsid w:val="7707D078"/>
    <w:rsid w:val="77083CF5"/>
    <w:rsid w:val="77084569"/>
    <w:rsid w:val="77118BC4"/>
    <w:rsid w:val="77287311"/>
    <w:rsid w:val="774548ED"/>
    <w:rsid w:val="7764A1C8"/>
    <w:rsid w:val="7765375D"/>
    <w:rsid w:val="7777BE3E"/>
    <w:rsid w:val="7784BCE9"/>
    <w:rsid w:val="778583EE"/>
    <w:rsid w:val="77C247E3"/>
    <w:rsid w:val="77F6EBAF"/>
    <w:rsid w:val="780501B4"/>
    <w:rsid w:val="78203F69"/>
    <w:rsid w:val="783094A3"/>
    <w:rsid w:val="78311B77"/>
    <w:rsid w:val="78313CE0"/>
    <w:rsid w:val="78319260"/>
    <w:rsid w:val="78386506"/>
    <w:rsid w:val="783A8B21"/>
    <w:rsid w:val="783BDFD1"/>
    <w:rsid w:val="78400234"/>
    <w:rsid w:val="7840FDAC"/>
    <w:rsid w:val="78483CD5"/>
    <w:rsid w:val="78657561"/>
    <w:rsid w:val="786771A4"/>
    <w:rsid w:val="788AF139"/>
    <w:rsid w:val="788DDCAE"/>
    <w:rsid w:val="7893EBF7"/>
    <w:rsid w:val="78959E27"/>
    <w:rsid w:val="789D4798"/>
    <w:rsid w:val="789FFFAD"/>
    <w:rsid w:val="78B09D4E"/>
    <w:rsid w:val="78BE8B53"/>
    <w:rsid w:val="78CD193A"/>
    <w:rsid w:val="78D63340"/>
    <w:rsid w:val="78DAA2D8"/>
    <w:rsid w:val="79095673"/>
    <w:rsid w:val="790BFE8C"/>
    <w:rsid w:val="79104FA4"/>
    <w:rsid w:val="791C3752"/>
    <w:rsid w:val="792BB37D"/>
    <w:rsid w:val="793D1ABC"/>
    <w:rsid w:val="793F19FC"/>
    <w:rsid w:val="7945C64D"/>
    <w:rsid w:val="794A76A4"/>
    <w:rsid w:val="79519FD5"/>
    <w:rsid w:val="79586206"/>
    <w:rsid w:val="795BBBF8"/>
    <w:rsid w:val="79613563"/>
    <w:rsid w:val="79686264"/>
    <w:rsid w:val="796D93A6"/>
    <w:rsid w:val="796DCCFD"/>
    <w:rsid w:val="797DB0A1"/>
    <w:rsid w:val="798BC563"/>
    <w:rsid w:val="7993928C"/>
    <w:rsid w:val="79995CB1"/>
    <w:rsid w:val="79B07A65"/>
    <w:rsid w:val="79B6C57C"/>
    <w:rsid w:val="79BA4FAA"/>
    <w:rsid w:val="79D4414F"/>
    <w:rsid w:val="79D4B1BC"/>
    <w:rsid w:val="79D74480"/>
    <w:rsid w:val="79D7A247"/>
    <w:rsid w:val="79DB699E"/>
    <w:rsid w:val="79DC090F"/>
    <w:rsid w:val="79E2D765"/>
    <w:rsid w:val="79E73899"/>
    <w:rsid w:val="79EFE728"/>
    <w:rsid w:val="7A095538"/>
    <w:rsid w:val="7A2247B3"/>
    <w:rsid w:val="7A2D5472"/>
    <w:rsid w:val="7A2F24F2"/>
    <w:rsid w:val="7A32FDFA"/>
    <w:rsid w:val="7A33C5B5"/>
    <w:rsid w:val="7A351374"/>
    <w:rsid w:val="7A3AF002"/>
    <w:rsid w:val="7A4DA233"/>
    <w:rsid w:val="7A5EEE70"/>
    <w:rsid w:val="7A5F9F3E"/>
    <w:rsid w:val="7A61ACFF"/>
    <w:rsid w:val="7A7AE7A3"/>
    <w:rsid w:val="7A80364A"/>
    <w:rsid w:val="7A807716"/>
    <w:rsid w:val="7A82B885"/>
    <w:rsid w:val="7AA24E63"/>
    <w:rsid w:val="7AB69338"/>
    <w:rsid w:val="7ABA144A"/>
    <w:rsid w:val="7AC2552A"/>
    <w:rsid w:val="7AD70AF2"/>
    <w:rsid w:val="7AD8A3E8"/>
    <w:rsid w:val="7AE07257"/>
    <w:rsid w:val="7AE55B4D"/>
    <w:rsid w:val="7AEA5F1B"/>
    <w:rsid w:val="7AFC07A9"/>
    <w:rsid w:val="7B17D24A"/>
    <w:rsid w:val="7B1F97D7"/>
    <w:rsid w:val="7B240127"/>
    <w:rsid w:val="7B280E6E"/>
    <w:rsid w:val="7B2E65B8"/>
    <w:rsid w:val="7B3B4FD3"/>
    <w:rsid w:val="7B3BD45D"/>
    <w:rsid w:val="7B46F60F"/>
    <w:rsid w:val="7B4B8C58"/>
    <w:rsid w:val="7B4C67D8"/>
    <w:rsid w:val="7B4FA66C"/>
    <w:rsid w:val="7B5E3A3E"/>
    <w:rsid w:val="7B5EEF65"/>
    <w:rsid w:val="7B8B90F7"/>
    <w:rsid w:val="7B99B4B4"/>
    <w:rsid w:val="7BBB3A7C"/>
    <w:rsid w:val="7BDE0CD8"/>
    <w:rsid w:val="7BDEA938"/>
    <w:rsid w:val="7BE87D4C"/>
    <w:rsid w:val="7BEAA212"/>
    <w:rsid w:val="7BEF27C4"/>
    <w:rsid w:val="7BF034DD"/>
    <w:rsid w:val="7C08F0D2"/>
    <w:rsid w:val="7C0C605C"/>
    <w:rsid w:val="7C0F61B2"/>
    <w:rsid w:val="7C10AC63"/>
    <w:rsid w:val="7C1395FE"/>
    <w:rsid w:val="7C16DC52"/>
    <w:rsid w:val="7C18E289"/>
    <w:rsid w:val="7C331608"/>
    <w:rsid w:val="7C389E66"/>
    <w:rsid w:val="7C39BF43"/>
    <w:rsid w:val="7C44176E"/>
    <w:rsid w:val="7C454F2E"/>
    <w:rsid w:val="7C514C20"/>
    <w:rsid w:val="7C51C248"/>
    <w:rsid w:val="7C57F3D2"/>
    <w:rsid w:val="7C58857B"/>
    <w:rsid w:val="7C63870D"/>
    <w:rsid w:val="7C640691"/>
    <w:rsid w:val="7C6D170B"/>
    <w:rsid w:val="7C6E7FAD"/>
    <w:rsid w:val="7C6E864D"/>
    <w:rsid w:val="7C846831"/>
    <w:rsid w:val="7C91DEB9"/>
    <w:rsid w:val="7C97CAA9"/>
    <w:rsid w:val="7CA46B71"/>
    <w:rsid w:val="7CB6C6A0"/>
    <w:rsid w:val="7CB76729"/>
    <w:rsid w:val="7CBC6BA6"/>
    <w:rsid w:val="7CCBC97A"/>
    <w:rsid w:val="7CD0EBF7"/>
    <w:rsid w:val="7CE27836"/>
    <w:rsid w:val="7D13CB4F"/>
    <w:rsid w:val="7D169E26"/>
    <w:rsid w:val="7D227B80"/>
    <w:rsid w:val="7D276CC4"/>
    <w:rsid w:val="7D2ADB6D"/>
    <w:rsid w:val="7D2AF5FF"/>
    <w:rsid w:val="7D2F9892"/>
    <w:rsid w:val="7D321FD7"/>
    <w:rsid w:val="7D357C85"/>
    <w:rsid w:val="7D44E607"/>
    <w:rsid w:val="7D5CA52D"/>
    <w:rsid w:val="7D5DC2A3"/>
    <w:rsid w:val="7D6902A6"/>
    <w:rsid w:val="7D745A69"/>
    <w:rsid w:val="7D77CE72"/>
    <w:rsid w:val="7D813834"/>
    <w:rsid w:val="7D8CB139"/>
    <w:rsid w:val="7D954262"/>
    <w:rsid w:val="7DA66F43"/>
    <w:rsid w:val="7DB17D45"/>
    <w:rsid w:val="7DCB54E8"/>
    <w:rsid w:val="7DD128F2"/>
    <w:rsid w:val="7DDCB613"/>
    <w:rsid w:val="7DE6C2A8"/>
    <w:rsid w:val="7E07086A"/>
    <w:rsid w:val="7E0E3F4E"/>
    <w:rsid w:val="7E0F2F37"/>
    <w:rsid w:val="7E124673"/>
    <w:rsid w:val="7E2725C0"/>
    <w:rsid w:val="7E354342"/>
    <w:rsid w:val="7E379CBA"/>
    <w:rsid w:val="7E3E3846"/>
    <w:rsid w:val="7E4055E5"/>
    <w:rsid w:val="7E5A5F7A"/>
    <w:rsid w:val="7E5E8575"/>
    <w:rsid w:val="7E671AE8"/>
    <w:rsid w:val="7E6EF6FA"/>
    <w:rsid w:val="7E76DD33"/>
    <w:rsid w:val="7E953CA0"/>
    <w:rsid w:val="7E9D84D6"/>
    <w:rsid w:val="7EAC7C84"/>
    <w:rsid w:val="7EB9E240"/>
    <w:rsid w:val="7EC5B93C"/>
    <w:rsid w:val="7ED4362D"/>
    <w:rsid w:val="7EDD0DA3"/>
    <w:rsid w:val="7EE2EC4A"/>
    <w:rsid w:val="7EF89DB2"/>
    <w:rsid w:val="7EFB9532"/>
    <w:rsid w:val="7F017609"/>
    <w:rsid w:val="7F027FAD"/>
    <w:rsid w:val="7F12FF82"/>
    <w:rsid w:val="7F30B4AB"/>
    <w:rsid w:val="7F49F174"/>
    <w:rsid w:val="7F4BF3A1"/>
    <w:rsid w:val="7F68E52B"/>
    <w:rsid w:val="7F709787"/>
    <w:rsid w:val="7F7874F6"/>
    <w:rsid w:val="7F841AB3"/>
    <w:rsid w:val="7F89D831"/>
    <w:rsid w:val="7F8CC715"/>
    <w:rsid w:val="7F90186C"/>
    <w:rsid w:val="7F9F5992"/>
    <w:rsid w:val="7FA7763D"/>
    <w:rsid w:val="7FA97308"/>
    <w:rsid w:val="7FAC756D"/>
    <w:rsid w:val="7FD02772"/>
    <w:rsid w:val="7FE280B3"/>
    <w:rsid w:val="7FE58E0D"/>
  </w:rsids>
  <m:mathPr>
    <m:mathFont m:val="Cambria Math"/>
    <m:brkBin m:val="before"/>
    <m:brkBinSub m:val="--"/>
    <m:smallFrac m:val="0"/>
    <m:dispDef/>
    <m:lMargin m:val="0"/>
    <m:rMargin m:val="0"/>
    <m:defJc m:val="centerGroup"/>
    <m:wrapIndent m:val="1440"/>
    <m:intLim m:val="subSup"/>
    <m:naryLim m:val="undOvr"/>
  </m:mathPr>
  <w:themeFontLang w:val="en-AU" w:eastAsia="ja-JP"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4D6CEFB4-37DE-423B-AA2B-F5EC759B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97"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5"/>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F13"/>
    <w:pPr>
      <w:widowControl w:val="0"/>
      <w:spacing w:before="160" w:after="160" w:line="360" w:lineRule="atLeast"/>
    </w:pPr>
    <w:rPr>
      <w:rFonts w:ascii="Montserrat" w:hAnsi="Montserrat" w:cs="Poppins"/>
      <w:sz w:val="24"/>
      <w:szCs w:val="24"/>
    </w:rPr>
  </w:style>
  <w:style w:type="paragraph" w:styleId="Heading1">
    <w:name w:val="heading 1"/>
    <w:basedOn w:val="Normal"/>
    <w:next w:val="Normal"/>
    <w:link w:val="Heading1Char"/>
    <w:uiPriority w:val="1"/>
    <w:qFormat/>
    <w:rsid w:val="009F3CE2"/>
    <w:pPr>
      <w:spacing w:after="100" w:line="520" w:lineRule="atLeast"/>
      <w:outlineLvl w:val="0"/>
    </w:pPr>
    <w:rPr>
      <w:rFonts w:eastAsiaTheme="majorEastAsia" w:cstheme="majorBidi"/>
      <w:b/>
      <w:color w:val="65328F" w:themeColor="accent1"/>
      <w:sz w:val="44"/>
      <w:szCs w:val="32"/>
    </w:rPr>
  </w:style>
  <w:style w:type="paragraph" w:styleId="Heading2">
    <w:name w:val="heading 2"/>
    <w:basedOn w:val="Normal"/>
    <w:next w:val="Normal"/>
    <w:link w:val="Heading2Char"/>
    <w:uiPriority w:val="1"/>
    <w:rsid w:val="009F3CE2"/>
    <w:pPr>
      <w:spacing w:before="100" w:after="100" w:line="480" w:lineRule="atLeast"/>
      <w:outlineLvl w:val="1"/>
    </w:pPr>
    <w:rPr>
      <w:rFonts w:eastAsiaTheme="majorEastAsia" w:cstheme="majorBidi"/>
      <w:b/>
      <w:color w:val="65328F" w:themeColor="accent1"/>
      <w:sz w:val="36"/>
      <w:szCs w:val="26"/>
    </w:rPr>
  </w:style>
  <w:style w:type="paragraph" w:styleId="Heading3">
    <w:name w:val="heading 3"/>
    <w:basedOn w:val="Normal"/>
    <w:next w:val="Normal"/>
    <w:link w:val="Heading3Char"/>
    <w:uiPriority w:val="1"/>
    <w:qFormat/>
    <w:rsid w:val="009F3CE2"/>
    <w:pPr>
      <w:keepNext/>
      <w:keepLines/>
      <w:spacing w:before="100" w:after="100" w:line="440" w:lineRule="atLeast"/>
      <w:outlineLvl w:val="2"/>
    </w:pPr>
    <w:rPr>
      <w:rFonts w:eastAsiaTheme="majorEastAsia" w:cstheme="majorBidi"/>
      <w:b/>
      <w:color w:val="65328F" w:themeColor="accent1"/>
      <w:sz w:val="32"/>
    </w:rPr>
  </w:style>
  <w:style w:type="paragraph" w:styleId="Heading4">
    <w:name w:val="heading 4"/>
    <w:basedOn w:val="Normal"/>
    <w:next w:val="Normal"/>
    <w:link w:val="Heading4Char"/>
    <w:uiPriority w:val="1"/>
    <w:qFormat/>
    <w:rsid w:val="009F3CE2"/>
    <w:pPr>
      <w:spacing w:before="100" w:after="100" w:line="400" w:lineRule="atLeast"/>
      <w:outlineLvl w:val="3"/>
    </w:pPr>
    <w:rPr>
      <w:rFonts w:eastAsiaTheme="majorEastAsia" w:cstheme="majorBidi"/>
      <w:b/>
      <w:iCs/>
      <w:color w:val="65328F" w:themeColor="accent1"/>
      <w:sz w:val="28"/>
    </w:rPr>
  </w:style>
  <w:style w:type="paragraph" w:styleId="Heading5">
    <w:name w:val="heading 5"/>
    <w:basedOn w:val="Normal"/>
    <w:next w:val="Normal"/>
    <w:link w:val="Heading5Char"/>
    <w:uiPriority w:val="1"/>
    <w:qFormat/>
    <w:rsid w:val="009F3CE2"/>
    <w:pPr>
      <w:keepNext/>
      <w:keepLines/>
      <w:spacing w:before="100" w:after="100"/>
      <w:outlineLvl w:val="4"/>
    </w:pPr>
    <w:rPr>
      <w:rFonts w:eastAsiaTheme="majorEastAsia" w:cstheme="majorBidi"/>
      <w:b/>
      <w:color w:val="65328F" w:themeColor="accent1"/>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color w:val="65328F" w:themeColor="accent1"/>
    </w:rPr>
  </w:style>
  <w:style w:type="paragraph" w:styleId="Heading7">
    <w:name w:val="heading 7"/>
    <w:basedOn w:val="Normal"/>
    <w:next w:val="Normal"/>
    <w:link w:val="Heading7Char"/>
    <w:uiPriority w:val="2"/>
    <w:semiHidden/>
    <w:qFormat/>
    <w:rsid w:val="00492B9D"/>
    <w:pPr>
      <w:keepNext/>
      <w:keepLines/>
      <w:spacing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1865CD"/>
    <w:pPr>
      <w:widowControl w:val="0"/>
    </w:pPr>
    <w:rPr>
      <w:rFonts w:ascii="Montserrat" w:hAnsi="Montserrat"/>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rPr>
      <w:rFonts w:cs="Arial"/>
      <w:lang w:val="en-US"/>
    </w:rPr>
  </w:style>
  <w:style w:type="paragraph" w:styleId="TOC1">
    <w:name w:val="toc 1"/>
    <w:basedOn w:val="Normal"/>
    <w:next w:val="Normal"/>
    <w:autoRedefine/>
    <w:uiPriority w:val="39"/>
    <w:rsid w:val="004646B3"/>
    <w:pPr>
      <w:spacing w:before="120"/>
    </w:pPr>
    <w:rPr>
      <w:b/>
      <w:bCs/>
      <w:iCs/>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3"/>
      </w:numPr>
    </w:pPr>
  </w:style>
  <w:style w:type="numbering" w:styleId="1ai">
    <w:name w:val="Outline List 1"/>
    <w:basedOn w:val="NoList"/>
    <w:uiPriority w:val="99"/>
    <w:semiHidden/>
    <w:unhideWhenUsed/>
    <w:rsid w:val="00914935"/>
    <w:pPr>
      <w:numPr>
        <w:numId w:val="16"/>
      </w:numPr>
    </w:pPr>
  </w:style>
  <w:style w:type="numbering" w:styleId="ArticleSection">
    <w:name w:val="Outline List 3"/>
    <w:basedOn w:val="NoList"/>
    <w:uiPriority w:val="99"/>
    <w:semiHidden/>
    <w:unhideWhenUsed/>
    <w:rsid w:val="00914935"/>
    <w:pPr>
      <w:numPr>
        <w:numId w:val="4"/>
      </w:numPr>
    </w:pPr>
  </w:style>
  <w:style w:type="paragraph" w:styleId="BalloonText">
    <w:name w:val="Balloon Text"/>
    <w:basedOn w:val="Normal"/>
    <w:link w:val="BalloonTextChar"/>
    <w:uiPriority w:val="99"/>
    <w:semiHidden/>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semiHidden/>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834B8A"/>
    <w:pPr>
      <w:ind w:left="720" w:hanging="720"/>
    </w:pPr>
    <w:rPr>
      <w:rFonts w:asciiTheme="minorHAnsi" w:hAnsiTheme="minorHAnsi"/>
      <w:sz w:val="22"/>
    </w:rPr>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semiHidden/>
    <w:rsid w:val="00914935"/>
    <w:rPr>
      <w:b/>
      <w:bCs/>
      <w:smallCaps/>
      <w:spacing w:val="5"/>
    </w:rPr>
  </w:style>
  <w:style w:type="paragraph" w:styleId="Caption">
    <w:name w:val="caption"/>
    <w:basedOn w:val="Normal"/>
    <w:next w:val="Normal"/>
    <w:uiPriority w:val="35"/>
    <w:qFormat/>
    <w:rsid w:val="009E71B6"/>
    <w:pPr>
      <w:spacing w:before="240" w:after="120" w:line="280" w:lineRule="atLeast"/>
    </w:pPr>
    <w:rPr>
      <w:b/>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u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u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u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u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u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u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u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u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u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u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u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u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u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u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unhideWhenUsed/>
    <w:rsid w:val="00914935"/>
  </w:style>
  <w:style w:type="character" w:customStyle="1" w:styleId="CommentTextChar">
    <w:name w:val="Comment Text Char"/>
    <w:basedOn w:val="DefaultParagraphFont"/>
    <w:link w:val="CommentText"/>
    <w:uiPriority w:val="99"/>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semiHidden/>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unhideWhenUsed/>
    <w:rsid w:val="00914935"/>
  </w:style>
  <w:style w:type="character" w:customStyle="1" w:styleId="EndnoteTextChar">
    <w:name w:val="Endnote Text Char"/>
    <w:basedOn w:val="DefaultParagraphFont"/>
    <w:link w:val="EndnoteText"/>
    <w:uiPriority w:val="99"/>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uiPriority w:val="37"/>
    <w:rsid w:val="00F347FF"/>
    <w:pPr>
      <w:spacing w:line="240" w:lineRule="atLeast"/>
    </w:pPr>
    <w:rPr>
      <w:color w:val="65328F" w:themeColor="accent1"/>
      <w:sz w:val="20"/>
    </w:rPr>
  </w:style>
  <w:style w:type="character" w:customStyle="1" w:styleId="FooterChar">
    <w:name w:val="Footer Char"/>
    <w:basedOn w:val="DefaultParagraphFont"/>
    <w:link w:val="Footer"/>
    <w:uiPriority w:val="37"/>
    <w:rsid w:val="00F347FF"/>
    <w:rPr>
      <w:color w:val="65328F" w:themeColor="accent1"/>
      <w:sz w:val="20"/>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460017"/>
    <w:rPr>
      <w:color w:val="65328F" w:themeColor="accent1"/>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bCs/>
    </w:rPr>
  </w:style>
  <w:style w:type="character" w:styleId="IntenseEmphasis">
    <w:name w:val="Intense Emphasis"/>
    <w:basedOn w:val="DefaultParagraphFont"/>
    <w:uiPriority w:val="21"/>
    <w:semiHidden/>
    <w:rsid w:val="00914935"/>
    <w:rPr>
      <w:b/>
      <w:bCs/>
      <w:i/>
      <w:iCs/>
      <w:color w:val="65328F" w:themeColor="accent1"/>
    </w:rPr>
  </w:style>
  <w:style w:type="paragraph" w:styleId="IntenseQuote">
    <w:name w:val="Intense Quote"/>
    <w:basedOn w:val="Normal"/>
    <w:next w:val="Normal"/>
    <w:link w:val="IntenseQuoteChar"/>
    <w:uiPriority w:val="30"/>
    <w:semiHidden/>
    <w:rsid w:val="00914935"/>
    <w:pPr>
      <w:pBdr>
        <w:bottom w:val="single" w:sz="4" w:space="4" w:color="65328F" w:themeColor="accent1"/>
      </w:pBdr>
      <w:spacing w:before="200" w:after="280"/>
      <w:ind w:left="936" w:right="936"/>
    </w:pPr>
    <w:rPr>
      <w:b/>
      <w:bCs/>
      <w:i/>
      <w:iCs/>
      <w:color w:val="65328F" w:themeColor="accent1"/>
    </w:rPr>
  </w:style>
  <w:style w:type="character" w:customStyle="1" w:styleId="IntenseQuoteChar">
    <w:name w:val="Intense Quote Char"/>
    <w:basedOn w:val="DefaultParagraphFont"/>
    <w:link w:val="IntenseQuote"/>
    <w:uiPriority w:val="30"/>
    <w:semiHidden/>
    <w:rsid w:val="00914935"/>
    <w:rPr>
      <w:b/>
      <w:bCs/>
      <w:i/>
      <w:iCs/>
      <w:color w:val="65328F" w:themeColor="accent1"/>
      <w:sz w:val="20"/>
    </w:rPr>
  </w:style>
  <w:style w:type="character" w:styleId="IntenseReference">
    <w:name w:val="Intense Reference"/>
    <w:basedOn w:val="DefaultParagraphFont"/>
    <w:uiPriority w:val="32"/>
    <w:semiHidden/>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semiHidden/>
    <w:unhideWhenUsed/>
    <w:rsid w:val="00914935"/>
    <w:pPr>
      <w:numPr>
        <w:numId w:val="2"/>
      </w:numPr>
      <w:tabs>
        <w:tab w:val="num" w:pos="1209"/>
      </w:tabs>
      <w:ind w:hanging="680"/>
      <w:contextualSpacing/>
    </w:pPr>
  </w:style>
  <w:style w:type="paragraph" w:styleId="ListBullet5">
    <w:name w:val="List Bullet 5"/>
    <w:basedOn w:val="Normal"/>
    <w:uiPriority w:val="99"/>
    <w:semiHidden/>
    <w:unhideWhenUsed/>
    <w:rsid w:val="00914935"/>
    <w:pPr>
      <w:ind w:left="360" w:hanging="851"/>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261EEB"/>
    <w:pPr>
      <w:numPr>
        <w:numId w:val="8"/>
      </w:numPr>
      <w:spacing w:before="120" w:after="120"/>
    </w:pPr>
    <w:rPr>
      <w:szCs w:val="20"/>
    </w:rPr>
  </w:style>
  <w:style w:type="paragraph" w:styleId="ListNumber2">
    <w:name w:val="List Number 2"/>
    <w:basedOn w:val="Normal"/>
    <w:uiPriority w:val="1"/>
    <w:qFormat/>
    <w:rsid w:val="009E71B6"/>
    <w:pPr>
      <w:tabs>
        <w:tab w:val="num" w:pos="1440"/>
      </w:tabs>
      <w:spacing w:before="120" w:after="120"/>
      <w:ind w:left="1080" w:hanging="340"/>
    </w:pPr>
    <w:rPr>
      <w:szCs w:val="20"/>
    </w:rPr>
  </w:style>
  <w:style w:type="paragraph" w:styleId="ListNumber3">
    <w:name w:val="List Number 3"/>
    <w:basedOn w:val="Normal"/>
    <w:uiPriority w:val="1"/>
    <w:qFormat/>
    <w:rsid w:val="009E71B6"/>
    <w:pPr>
      <w:spacing w:before="120" w:after="120"/>
      <w:ind w:left="1020" w:hanging="340"/>
    </w:pPr>
    <w:rPr>
      <w:szCs w:val="20"/>
    </w:rPr>
  </w:style>
  <w:style w:type="paragraph" w:styleId="ListNumber4">
    <w:name w:val="List Number 4"/>
    <w:basedOn w:val="Normal"/>
    <w:uiPriority w:val="99"/>
    <w:semiHidden/>
    <w:unhideWhenUsed/>
    <w:rsid w:val="00914935"/>
    <w:pPr>
      <w:tabs>
        <w:tab w:val="num" w:pos="1209"/>
      </w:tabs>
      <w:ind w:left="1209" w:hanging="360"/>
      <w:contextualSpacing/>
    </w:pPr>
  </w:style>
  <w:style w:type="paragraph" w:styleId="ListNumber5">
    <w:name w:val="List Number 5"/>
    <w:basedOn w:val="Normal"/>
    <w:uiPriority w:val="99"/>
    <w:semiHidden/>
    <w:unhideWhenUsed/>
    <w:rsid w:val="00914935"/>
    <w:pPr>
      <w:tabs>
        <w:tab w:val="num" w:pos="1492"/>
      </w:tabs>
      <w:ind w:left="1492" w:hanging="360"/>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Heading1NoNumber">
    <w:name w:val="Heading 1 No Number"/>
    <w:basedOn w:val="Heading1"/>
    <w:next w:val="Normal"/>
    <w:uiPriority w:val="1"/>
    <w:semiHidden/>
    <w:qFormat/>
    <w:rsid w:val="00502FC0"/>
    <w:pPr>
      <w:keepNext/>
      <w:keepLines/>
      <w:adjustRightInd w:val="0"/>
      <w:snapToGrid w:val="0"/>
    </w:pPr>
    <w:rPr>
      <w:rFonts w:eastAsia="SimSun" w:cstheme="majorHAnsi"/>
      <w:bCs/>
      <w:kern w:val="32"/>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qFormat/>
    <w:rsid w:val="00914935"/>
    <w:rPr>
      <w:b/>
      <w:bCs/>
    </w:rPr>
  </w:style>
  <w:style w:type="paragraph" w:styleId="Subtitle">
    <w:name w:val="Subtitle"/>
    <w:basedOn w:val="Normal"/>
    <w:next w:val="Normal"/>
    <w:link w:val="SubtitleChar"/>
    <w:uiPriority w:val="11"/>
    <w:qFormat/>
    <w:rsid w:val="009F3CE2"/>
    <w:pPr>
      <w:numPr>
        <w:ilvl w:val="1"/>
      </w:numPr>
      <w:spacing w:after="120" w:line="400" w:lineRule="atLeast"/>
    </w:pPr>
    <w:rPr>
      <w:rFonts w:eastAsiaTheme="majorEastAsia" w:cstheme="majorBidi"/>
      <w:b/>
      <w:iCs/>
      <w:color w:val="58595B"/>
      <w:spacing w:val="4"/>
      <w:sz w:val="44"/>
      <w:szCs w:val="44"/>
    </w:rPr>
  </w:style>
  <w:style w:type="character" w:customStyle="1" w:styleId="SubtitleChar">
    <w:name w:val="Subtitle Char"/>
    <w:basedOn w:val="DefaultParagraphFont"/>
    <w:link w:val="Subtitle"/>
    <w:uiPriority w:val="11"/>
    <w:rsid w:val="009F3CE2"/>
    <w:rPr>
      <w:rFonts w:ascii="Montserrat" w:eastAsiaTheme="majorEastAsia" w:hAnsi="Montserrat" w:cstheme="majorBidi"/>
      <w:b/>
      <w:iCs/>
      <w:color w:val="58595B"/>
      <w:spacing w:val="4"/>
      <w:sz w:val="44"/>
      <w:szCs w:val="44"/>
    </w:rPr>
  </w:style>
  <w:style w:type="character" w:styleId="SubtleEmphasis">
    <w:name w:val="Subtle Emphasis"/>
    <w:basedOn w:val="DefaultParagraphFont"/>
    <w:uiPriority w:val="19"/>
    <w:semiHidden/>
    <w:rsid w:val="00914935"/>
    <w:rPr>
      <w:i/>
      <w:iCs/>
      <w:color w:val="808080" w:themeColor="text1" w:themeTint="7F"/>
    </w:rPr>
  </w:style>
  <w:style w:type="character" w:styleId="SubtleReference">
    <w:name w:val="Subtle Reference"/>
    <w:basedOn w:val="DefaultParagraphFont"/>
    <w:uiPriority w:val="31"/>
    <w:semiHidden/>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semiHidden/>
    <w:rsid w:val="00914935"/>
    <w:pPr>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9F3CE2"/>
    <w:pPr>
      <w:spacing w:after="100" w:line="760" w:lineRule="atLeast"/>
    </w:pPr>
    <w:rPr>
      <w:rFonts w:eastAsiaTheme="majorEastAsia" w:cstheme="majorBidi"/>
      <w:b/>
      <w:color w:val="65328F" w:themeColor="accent1"/>
      <w:kern w:val="28"/>
      <w:sz w:val="80"/>
      <w:szCs w:val="80"/>
    </w:rPr>
  </w:style>
  <w:style w:type="character" w:customStyle="1" w:styleId="TitleChar">
    <w:name w:val="Title Char"/>
    <w:basedOn w:val="DefaultParagraphFont"/>
    <w:link w:val="Title"/>
    <w:uiPriority w:val="10"/>
    <w:rsid w:val="009F3CE2"/>
    <w:rPr>
      <w:rFonts w:ascii="Montserrat" w:eastAsiaTheme="majorEastAsia" w:hAnsi="Montserrat" w:cstheme="majorBidi"/>
      <w:b/>
      <w:color w:val="65328F" w:themeColor="accent1"/>
      <w:kern w:val="28"/>
      <w:sz w:val="80"/>
      <w:szCs w:val="80"/>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bCs/>
    </w:rPr>
  </w:style>
  <w:style w:type="paragraph" w:styleId="TOC2">
    <w:name w:val="toc 2"/>
    <w:basedOn w:val="Normal"/>
    <w:next w:val="Normal"/>
    <w:autoRedefine/>
    <w:uiPriority w:val="39"/>
    <w:rsid w:val="00CE47AD"/>
    <w:rPr>
      <w:bCs/>
      <w:szCs w:val="22"/>
    </w:rPr>
  </w:style>
  <w:style w:type="paragraph" w:styleId="TOC3">
    <w:name w:val="toc 3"/>
    <w:basedOn w:val="Normal"/>
    <w:next w:val="Normal"/>
    <w:uiPriority w:val="39"/>
    <w:rsid w:val="00D145CD"/>
    <w:rPr>
      <w:szCs w:val="20"/>
    </w:rPr>
  </w:style>
  <w:style w:type="paragraph" w:styleId="TOC4">
    <w:name w:val="toc 4"/>
    <w:basedOn w:val="Normal"/>
    <w:next w:val="Normal"/>
    <w:uiPriority w:val="39"/>
    <w:semiHidden/>
    <w:rsid w:val="00914935"/>
    <w:pPr>
      <w:ind w:left="720"/>
    </w:pPr>
    <w:rPr>
      <w:rFonts w:asciiTheme="minorHAnsi" w:hAnsiTheme="minorHAnsi"/>
      <w:sz w:val="20"/>
      <w:szCs w:val="20"/>
    </w:rPr>
  </w:style>
  <w:style w:type="paragraph" w:styleId="TOC5">
    <w:name w:val="toc 5"/>
    <w:basedOn w:val="Normal"/>
    <w:next w:val="Normal"/>
    <w:uiPriority w:val="39"/>
    <w:semiHidden/>
    <w:rsid w:val="00914935"/>
    <w:pPr>
      <w:ind w:left="960"/>
    </w:pPr>
    <w:rPr>
      <w:rFonts w:asciiTheme="minorHAnsi" w:hAnsiTheme="minorHAnsi"/>
      <w:sz w:val="20"/>
      <w:szCs w:val="20"/>
    </w:rPr>
  </w:style>
  <w:style w:type="paragraph" w:styleId="TOC6">
    <w:name w:val="toc 6"/>
    <w:basedOn w:val="Normal"/>
    <w:next w:val="Normal"/>
    <w:uiPriority w:val="39"/>
    <w:semiHidden/>
    <w:rsid w:val="00914935"/>
    <w:pPr>
      <w:ind w:left="1200"/>
    </w:pPr>
    <w:rPr>
      <w:rFonts w:asciiTheme="minorHAnsi" w:hAnsiTheme="minorHAnsi"/>
      <w:sz w:val="20"/>
      <w:szCs w:val="20"/>
    </w:rPr>
  </w:style>
  <w:style w:type="paragraph" w:styleId="TOC7">
    <w:name w:val="toc 7"/>
    <w:basedOn w:val="Normal"/>
    <w:next w:val="Normal"/>
    <w:autoRedefine/>
    <w:uiPriority w:val="39"/>
    <w:semiHidden/>
    <w:rsid w:val="00914935"/>
    <w:pPr>
      <w:ind w:left="1440"/>
    </w:pPr>
    <w:rPr>
      <w:rFonts w:asciiTheme="minorHAnsi" w:hAnsiTheme="minorHAnsi"/>
      <w:sz w:val="20"/>
      <w:szCs w:val="20"/>
    </w:rPr>
  </w:style>
  <w:style w:type="paragraph" w:styleId="TOC8">
    <w:name w:val="toc 8"/>
    <w:basedOn w:val="Normal"/>
    <w:next w:val="Normal"/>
    <w:autoRedefine/>
    <w:uiPriority w:val="39"/>
    <w:semiHidden/>
    <w:rsid w:val="00914935"/>
    <w:pPr>
      <w:ind w:left="1680"/>
    </w:pPr>
    <w:rPr>
      <w:rFonts w:asciiTheme="minorHAnsi" w:hAnsiTheme="minorHAnsi"/>
      <w:sz w:val="20"/>
      <w:szCs w:val="20"/>
    </w:rPr>
  </w:style>
  <w:style w:type="paragraph" w:styleId="TOC9">
    <w:name w:val="toc 9"/>
    <w:basedOn w:val="Normal"/>
    <w:next w:val="Normal"/>
    <w:autoRedefine/>
    <w:uiPriority w:val="39"/>
    <w:semiHidden/>
    <w:rsid w:val="00914935"/>
    <w:pPr>
      <w:ind w:left="1920"/>
    </w:pPr>
    <w:rPr>
      <w:rFonts w:asciiTheme="minorHAnsi" w:hAnsiTheme="minorHAnsi"/>
      <w:sz w:val="20"/>
      <w:szCs w:val="20"/>
    </w:rPr>
  </w:style>
  <w:style w:type="paragraph" w:styleId="TOCHeading">
    <w:name w:val="TOC Heading"/>
    <w:basedOn w:val="Normal"/>
    <w:next w:val="Normal"/>
    <w:uiPriority w:val="39"/>
    <w:qFormat/>
    <w:rsid w:val="00927FA1"/>
    <w:pPr>
      <w:pageBreakBefore/>
      <w:spacing w:after="480" w:line="400" w:lineRule="atLeast"/>
    </w:pPr>
    <w:rPr>
      <w:rFonts w:asciiTheme="majorHAnsi" w:hAnsiTheme="majorHAnsi"/>
      <w:color w:val="FFFFFF" w:themeColor="background2"/>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uiPriority w:val="2"/>
    <w:qFormat/>
    <w:rsid w:val="0090348A"/>
    <w:pPr>
      <w:spacing w:before="60" w:after="60" w:line="280" w:lineRule="atLeast"/>
    </w:pPr>
    <w:rPr>
      <w:b/>
      <w:color w:val="FFFFFF" w:themeColor="background1"/>
      <w:szCs w:val="36"/>
    </w:rPr>
  </w:style>
  <w:style w:type="paragraph" w:customStyle="1" w:styleId="TableText">
    <w:name w:val="Table Text"/>
    <w:basedOn w:val="TableHeading"/>
    <w:uiPriority w:val="2"/>
    <w:qFormat/>
    <w:rsid w:val="00096E89"/>
    <w:rPr>
      <w:b w:val="0"/>
      <w:bCs/>
      <w:color w:val="000000" w:themeColor="text1"/>
    </w:rPr>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9F3CE2"/>
    <w:rPr>
      <w:rFonts w:ascii="Montserrat" w:eastAsiaTheme="majorEastAsia" w:hAnsi="Montserrat" w:cstheme="majorBidi"/>
      <w:b/>
      <w:iCs/>
      <w:color w:val="65328F" w:themeColor="accent1"/>
      <w:sz w:val="28"/>
      <w:szCs w:val="24"/>
    </w:rPr>
  </w:style>
  <w:style w:type="character" w:customStyle="1" w:styleId="Heading5Char">
    <w:name w:val="Heading 5 Char"/>
    <w:basedOn w:val="DefaultParagraphFont"/>
    <w:link w:val="Heading5"/>
    <w:uiPriority w:val="1"/>
    <w:rsid w:val="009F3CE2"/>
    <w:rPr>
      <w:rFonts w:ascii="Montserrat" w:eastAsiaTheme="majorEastAsia" w:hAnsi="Montserrat" w:cstheme="majorBidi"/>
      <w:b/>
      <w:color w:val="65328F" w:themeColor="accent1"/>
      <w:sz w:val="24"/>
      <w:szCs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1"/>
    <w:rsid w:val="009F3CE2"/>
    <w:rPr>
      <w:rFonts w:ascii="Montserrat" w:eastAsiaTheme="majorEastAsia" w:hAnsi="Montserrat" w:cstheme="majorBidi"/>
      <w:b/>
      <w:color w:val="65328F" w:themeColor="accent1"/>
      <w:sz w:val="44"/>
      <w:szCs w:val="32"/>
    </w:rPr>
  </w:style>
  <w:style w:type="character" w:customStyle="1" w:styleId="Heading2Char">
    <w:name w:val="Heading 2 Char"/>
    <w:basedOn w:val="DefaultParagraphFont"/>
    <w:link w:val="Heading2"/>
    <w:uiPriority w:val="1"/>
    <w:rsid w:val="009F3CE2"/>
    <w:rPr>
      <w:rFonts w:ascii="Montserrat" w:eastAsiaTheme="majorEastAsia" w:hAnsi="Montserrat" w:cstheme="majorBidi"/>
      <w:b/>
      <w:color w:val="65328F" w:themeColor="accent1"/>
      <w:sz w:val="36"/>
      <w:szCs w:val="26"/>
    </w:rPr>
  </w:style>
  <w:style w:type="character" w:customStyle="1" w:styleId="Heading3Char">
    <w:name w:val="Heading 3 Char"/>
    <w:basedOn w:val="DefaultParagraphFont"/>
    <w:link w:val="Heading3"/>
    <w:uiPriority w:val="1"/>
    <w:rsid w:val="009F3CE2"/>
    <w:rPr>
      <w:rFonts w:ascii="Montserrat" w:eastAsiaTheme="majorEastAsia" w:hAnsi="Montserrat" w:cstheme="majorBidi"/>
      <w:b/>
      <w:color w:val="65328F" w:themeColor="accent1"/>
      <w:sz w:val="32"/>
      <w:szCs w:val="24"/>
    </w:rPr>
  </w:style>
  <w:style w:type="paragraph" w:customStyle="1" w:styleId="TableBullet1">
    <w:name w:val="Table Bullet 1"/>
    <w:basedOn w:val="TableText"/>
    <w:uiPriority w:val="3"/>
    <w:semiHidden/>
    <w:qFormat/>
    <w:rsid w:val="00914935"/>
    <w:pPr>
      <w:adjustRightInd w:val="0"/>
      <w:snapToGrid w:val="0"/>
      <w:ind w:left="340" w:hanging="340"/>
    </w:pPr>
    <w:rPr>
      <w:rFonts w:eastAsia="MS Mincho"/>
      <w:szCs w:val="20"/>
    </w:rPr>
  </w:style>
  <w:style w:type="numbering" w:customStyle="1" w:styleId="HeadingList">
    <w:name w:val="Heading List"/>
    <w:uiPriority w:val="99"/>
    <w:rsid w:val="00914935"/>
    <w:pPr>
      <w:numPr>
        <w:numId w:val="5"/>
      </w:numPr>
    </w:pPr>
  </w:style>
  <w:style w:type="paragraph" w:customStyle="1" w:styleId="TableBullet">
    <w:name w:val="Table Bullet"/>
    <w:basedOn w:val="ListBullet"/>
    <w:autoRedefine/>
    <w:uiPriority w:val="2"/>
    <w:qFormat/>
    <w:rsid w:val="000A6B59"/>
    <w:pPr>
      <w:numPr>
        <w:numId w:val="9"/>
      </w:numPr>
    </w:pPr>
    <w:rPr>
      <w:b/>
      <w:szCs w:val="20"/>
      <w:lang w:val="en-US"/>
    </w:rPr>
  </w:style>
  <w:style w:type="character" w:styleId="Mention">
    <w:name w:val="Mention"/>
    <w:basedOn w:val="DefaultParagraphFont"/>
    <w:uiPriority w:val="99"/>
    <w:unhideWhenUsed/>
    <w:rsid w:val="00914935"/>
    <w:rPr>
      <w:color w:val="2B579A"/>
      <w:shd w:val="clear" w:color="auto" w:fill="E6E6E6"/>
    </w:rPr>
  </w:style>
  <w:style w:type="numbering" w:customStyle="1" w:styleId="BulletLists">
    <w:name w:val="Bullet Lists"/>
    <w:uiPriority w:val="99"/>
    <w:rsid w:val="00914935"/>
    <w:pPr>
      <w:numPr>
        <w:numId w:val="6"/>
      </w:numPr>
    </w:pPr>
  </w:style>
  <w:style w:type="paragraph" w:styleId="ListBullet">
    <w:name w:val="List Bullet"/>
    <w:basedOn w:val="Normal"/>
    <w:uiPriority w:val="1"/>
    <w:qFormat/>
    <w:rsid w:val="005B1DE5"/>
    <w:pPr>
      <w:numPr>
        <w:numId w:val="34"/>
      </w:numPr>
      <w:spacing w:before="120" w:after="120"/>
      <w:ind w:left="426" w:hanging="426"/>
    </w:pPr>
  </w:style>
  <w:style w:type="paragraph" w:styleId="ListBullet2">
    <w:name w:val="List Bullet 2"/>
    <w:basedOn w:val="Normal"/>
    <w:uiPriority w:val="99"/>
    <w:qFormat/>
    <w:rsid w:val="009E71B6"/>
    <w:pPr>
      <w:numPr>
        <w:ilvl w:val="1"/>
        <w:numId w:val="17"/>
      </w:numPr>
      <w:spacing w:before="120" w:after="120"/>
    </w:pPr>
  </w:style>
  <w:style w:type="paragraph" w:styleId="ListBullet3">
    <w:name w:val="List Bullet 3"/>
    <w:basedOn w:val="Normal"/>
    <w:uiPriority w:val="1"/>
    <w:qFormat/>
    <w:rsid w:val="009E71B6"/>
    <w:pPr>
      <w:numPr>
        <w:ilvl w:val="2"/>
        <w:numId w:val="17"/>
      </w:numPr>
      <w:tabs>
        <w:tab w:val="num" w:pos="360"/>
      </w:tabs>
      <w:spacing w:before="120" w:after="120"/>
      <w:ind w:left="360" w:hanging="360"/>
    </w:pPr>
  </w:style>
  <w:style w:type="numbering" w:customStyle="1" w:styleId="Bullets">
    <w:name w:val="Bullets"/>
    <w:uiPriority w:val="99"/>
    <w:rsid w:val="00914935"/>
    <w:pPr>
      <w:numPr>
        <w:numId w:val="7"/>
      </w:numPr>
    </w:pPr>
  </w:style>
  <w:style w:type="numbering" w:customStyle="1" w:styleId="Numbers">
    <w:name w:val="Numbers"/>
    <w:uiPriority w:val="99"/>
    <w:rsid w:val="00927FA1"/>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Heading2NoNumber">
    <w:name w:val="Heading 2 No Number"/>
    <w:basedOn w:val="Heading2"/>
    <w:next w:val="Normal"/>
    <w:uiPriority w:val="1"/>
    <w:semiHidden/>
    <w:qFormat/>
    <w:rsid w:val="00914935"/>
    <w:pPr>
      <w:keepNext/>
      <w:keepLines/>
      <w:adjustRightInd w:val="0"/>
      <w:snapToGrid w:val="0"/>
    </w:pPr>
    <w:rPr>
      <w:rFonts w:eastAsia="SimSun" w:cstheme="majorHAnsi"/>
      <w:iCs/>
      <w:szCs w:val="28"/>
    </w:r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0">
    <w:name w:val="Numbered Headings"/>
    <w:uiPriority w:val="99"/>
    <w:rsid w:val="00914935"/>
    <w:pPr>
      <w:numPr>
        <w:numId w:val="24"/>
      </w:numPr>
    </w:pPr>
  </w:style>
  <w:style w:type="paragraph" w:customStyle="1" w:styleId="DocType">
    <w:name w:val="Doc Type"/>
    <w:basedOn w:val="Title"/>
    <w:semiHidden/>
    <w:qFormat/>
    <w:rsid w:val="00914935"/>
    <w:rPr>
      <w:b w:val="0"/>
    </w:rPr>
  </w:style>
  <w:style w:type="paragraph" w:customStyle="1" w:styleId="Heading3NoNumber">
    <w:name w:val="Heading 3 No Number"/>
    <w:basedOn w:val="Heading3"/>
    <w:next w:val="Normal"/>
    <w:uiPriority w:val="1"/>
    <w:semiHidden/>
    <w:qFormat/>
    <w:rsid w:val="00914935"/>
    <w:pPr>
      <w:adjustRightInd w:val="0"/>
      <w:snapToGrid w:val="0"/>
    </w:pPr>
    <w:rPr>
      <w:rFonts w:eastAsia="SimSun" w:cstheme="majorHAnsi"/>
      <w:bCs/>
      <w:szCs w:val="26"/>
    </w:rPr>
  </w:style>
  <w:style w:type="numbering" w:customStyle="1" w:styleId="NumberedHeadings">
    <w:name w:val="NumberedHeadings"/>
    <w:uiPriority w:val="99"/>
    <w:rsid w:val="00914935"/>
    <w:pPr>
      <w:numPr>
        <w:numId w:val="10"/>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Normal"/>
    <w:uiPriority w:val="3"/>
    <w:rsid w:val="009C46EB"/>
    <w:rPr>
      <w:b/>
      <w:bCs/>
    </w:rPr>
  </w:style>
  <w:style w:type="paragraph" w:customStyle="1" w:styleId="TableCaption">
    <w:name w:val="Table Caption"/>
    <w:basedOn w:val="FigureCaption"/>
    <w:uiPriority w:val="3"/>
    <w:qFormat/>
    <w:rsid w:val="00914935"/>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99"/>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8"/>
      </w:numPr>
    </w:pPr>
  </w:style>
  <w:style w:type="paragraph" w:customStyle="1" w:styleId="AppendixSubheading2">
    <w:name w:val="Appendix Subheading 2"/>
    <w:basedOn w:val="Normal"/>
    <w:uiPriority w:val="2"/>
    <w:semiHidden/>
    <w:qFormat/>
    <w:rsid w:val="00914935"/>
    <w:pPr>
      <w:spacing w:before="40"/>
    </w:pPr>
    <w:rPr>
      <w:rFonts w:asciiTheme="majorHAnsi" w:hAnsiTheme="majorHAnsi"/>
      <w:color w:val="65328F" w:themeColor="accent1"/>
      <w:sz w:val="28"/>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adjustRightInd w:val="0"/>
      <w:snapToGrid w:val="0"/>
      <w:spacing w:line="1160" w:lineRule="atLeast"/>
    </w:pPr>
    <w:rPr>
      <w:rFonts w:asciiTheme="majorHAnsi" w:eastAsia="SimSun" w:hAnsiTheme="majorHAnsi"/>
      <w:b/>
      <w:w w:val="80"/>
      <w:sz w:val="112"/>
    </w:rPr>
  </w:style>
  <w:style w:type="paragraph" w:customStyle="1" w:styleId="AppendixSubheading">
    <w:name w:val="Appendix Subheading"/>
    <w:basedOn w:val="Normal"/>
    <w:next w:val="Normal"/>
    <w:uiPriority w:val="2"/>
    <w:semiHidden/>
    <w:qFormat/>
    <w:rsid w:val="00914935"/>
    <w:pPr>
      <w:keepLines/>
      <w:adjustRightInd w:val="0"/>
      <w:snapToGrid w:val="0"/>
      <w:spacing w:before="40"/>
    </w:pPr>
    <w:rPr>
      <w:rFonts w:ascii="Calibri" w:eastAsia="SimSun" w:hAnsi="Calibri"/>
      <w:color w:val="D83D0E" w:themeColor="accent2"/>
      <w:sz w:val="32"/>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8"/>
      </w:numPr>
    </w:pPr>
  </w:style>
  <w:style w:type="paragraph" w:customStyle="1" w:styleId="BoxHeading1">
    <w:name w:val="Box Heading 1"/>
    <w:basedOn w:val="TableText"/>
    <w:uiPriority w:val="4"/>
    <w:semiHidden/>
    <w:qFormat/>
    <w:rsid w:val="00914935"/>
    <w:rPr>
      <w:b/>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spacing w:line="200" w:lineRule="atLeast"/>
      <w:ind w:left="720" w:hanging="360"/>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spacing w:line="200" w:lineRule="atLeast"/>
      <w:ind w:left="644" w:hanging="360"/>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spacing w:line="200" w:lineRule="atLeast"/>
      <w:ind w:left="284" w:hanging="284"/>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3"/>
      </w:numPr>
    </w:pPr>
  </w:style>
  <w:style w:type="numbering" w:customStyle="1" w:styleId="BoxListNumbers">
    <w:name w:val="Box List Numbers"/>
    <w:uiPriority w:val="99"/>
    <w:rsid w:val="00914935"/>
    <w:pPr>
      <w:numPr>
        <w:numId w:val="14"/>
      </w:numPr>
    </w:pPr>
  </w:style>
  <w:style w:type="paragraph" w:styleId="BodyText">
    <w:name w:val="Body Text"/>
    <w:basedOn w:val="Normal"/>
    <w:link w:val="BodyTextChar"/>
    <w:semiHidden/>
    <w:qFormat/>
    <w:rsid w:val="00914935"/>
  </w:style>
  <w:style w:type="character" w:customStyle="1" w:styleId="BodyTextChar">
    <w:name w:val="Body Text Char"/>
    <w:basedOn w:val="DefaultParagraphFont"/>
    <w:link w:val="BodyText"/>
    <w:semiHidden/>
    <w:rsid w:val="00914935"/>
    <w:rPr>
      <w:color w:val="404040" w:themeColor="text2"/>
      <w:sz w:val="20"/>
    </w:rPr>
  </w:style>
  <w:style w:type="paragraph" w:customStyle="1" w:styleId="NumberedBullet">
    <w:name w:val="Numbered Bullet"/>
    <w:basedOn w:val="Normal"/>
    <w:uiPriority w:val="2"/>
    <w:semiHidden/>
    <w:qFormat/>
    <w:rsid w:val="00914935"/>
    <w:pPr>
      <w:tabs>
        <w:tab w:val="num" w:pos="720"/>
      </w:tabs>
      <w:ind w:left="720" w:hanging="360"/>
    </w:pPr>
  </w:style>
  <w:style w:type="paragraph" w:customStyle="1" w:styleId="NumberedBullet2">
    <w:name w:val="Numbered Bullet 2"/>
    <w:basedOn w:val="Normal"/>
    <w:uiPriority w:val="2"/>
    <w:semiHidden/>
    <w:qFormat/>
    <w:rsid w:val="00914935"/>
    <w:pPr>
      <w:ind w:left="1440" w:hanging="360"/>
    </w:pPr>
  </w:style>
  <w:style w:type="paragraph" w:customStyle="1" w:styleId="NumberedBullet3">
    <w:name w:val="Numbered Bullet 3"/>
    <w:basedOn w:val="Normal"/>
    <w:uiPriority w:val="2"/>
    <w:semiHidden/>
    <w:qFormat/>
    <w:rsid w:val="00914935"/>
    <w:pPr>
      <w:tabs>
        <w:tab w:val="num" w:pos="2160"/>
      </w:tabs>
      <w:ind w:left="2160" w:hanging="360"/>
    </w:pPr>
  </w:style>
  <w:style w:type="numbering" w:customStyle="1" w:styleId="NumberedBulletStyle">
    <w:name w:val="Numbered Bullet Style"/>
    <w:uiPriority w:val="99"/>
    <w:rsid w:val="00914935"/>
    <w:pPr>
      <w:numPr>
        <w:numId w:val="15"/>
      </w:numPr>
    </w:pPr>
  </w:style>
  <w:style w:type="paragraph" w:customStyle="1" w:styleId="BodyTextNumbered">
    <w:name w:val="Body Text Numbered"/>
    <w:basedOn w:val="Normal"/>
    <w:uiPriority w:val="2"/>
    <w:semiHidden/>
    <w:qFormat/>
    <w:rsid w:val="00914935"/>
    <w:pPr>
      <w:numPr>
        <w:numId w:val="12"/>
      </w:numPr>
      <w:tabs>
        <w:tab w:val="num" w:pos="1492"/>
      </w:tabs>
      <w:ind w:left="1492"/>
    </w:pPr>
  </w:style>
  <w:style w:type="paragraph" w:customStyle="1" w:styleId="BodyTextNumbered2">
    <w:name w:val="Body Text Numbered 2"/>
    <w:basedOn w:val="Normal"/>
    <w:uiPriority w:val="2"/>
    <w:semiHidden/>
    <w:qFormat/>
    <w:rsid w:val="00914935"/>
    <w:pPr>
      <w:numPr>
        <w:ilvl w:val="1"/>
        <w:numId w:val="12"/>
      </w:numPr>
      <w:tabs>
        <w:tab w:val="num" w:pos="1492"/>
      </w:tabs>
      <w:ind w:left="1492"/>
    </w:pPr>
  </w:style>
  <w:style w:type="paragraph" w:customStyle="1" w:styleId="BodyTextNumbered3">
    <w:name w:val="Body Text Numbered 3"/>
    <w:basedOn w:val="Normal"/>
    <w:uiPriority w:val="2"/>
    <w:semiHidden/>
    <w:qFormat/>
    <w:rsid w:val="00914935"/>
    <w:pPr>
      <w:numPr>
        <w:ilvl w:val="2"/>
        <w:numId w:val="12"/>
      </w:numPr>
      <w:tabs>
        <w:tab w:val="num" w:pos="1492"/>
      </w:tabs>
      <w:ind w:left="1492"/>
    </w:pPr>
  </w:style>
  <w:style w:type="numbering" w:customStyle="1" w:styleId="BodyTextnumberedStyles">
    <w:name w:val="Body Text numbered Styles"/>
    <w:uiPriority w:val="99"/>
    <w:rsid w:val="00914935"/>
    <w:pPr>
      <w:numPr>
        <w:numId w:val="1"/>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line="440" w:lineRule="atLeast"/>
    </w:pPr>
    <w:rPr>
      <w:rFonts w:asciiTheme="majorHAnsi" w:hAnsiTheme="majorHAnsi"/>
      <w:b/>
      <w:caps/>
      <w:color w:val="FFFFFF" w:themeColor="background2"/>
      <w:sz w:val="40"/>
    </w:rPr>
  </w:style>
  <w:style w:type="paragraph" w:customStyle="1" w:styleId="ChapterSubheading">
    <w:name w:val="Chapter Subheading"/>
    <w:basedOn w:val="Normal"/>
    <w:semiHidden/>
    <w:qFormat/>
    <w:rsid w:val="00914935"/>
    <w:pPr>
      <w:spacing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spacing w:after="0" w:line="360" w:lineRule="atLeast"/>
      <w:ind w:left="340" w:hanging="340"/>
    </w:pPr>
    <w:rPr>
      <w:rFonts w:ascii="Univers" w:hAnsi="Univers"/>
      <w:caps/>
      <w:sz w:val="36"/>
    </w:rPr>
  </w:style>
  <w:style w:type="paragraph" w:customStyle="1" w:styleId="AppendixHeading">
    <w:name w:val="Appendix Heading"/>
    <w:basedOn w:val="Normal"/>
    <w:next w:val="Normal"/>
    <w:uiPriority w:val="49"/>
    <w:semiHidden/>
    <w:qFormat/>
    <w:rsid w:val="00927FA1"/>
    <w:pPr>
      <w:tabs>
        <w:tab w:val="num" w:pos="720"/>
        <w:tab w:val="num" w:pos="1492"/>
      </w:tabs>
      <w:spacing w:line="400" w:lineRule="atLeast"/>
      <w:ind w:left="720" w:hanging="360"/>
    </w:pPr>
    <w:rPr>
      <w:rFonts w:asciiTheme="majorHAnsi" w:hAnsiTheme="majorHAnsi"/>
      <w:b/>
      <w:color w:val="FFFFFF" w:themeColor="background2"/>
      <w:sz w:val="36"/>
    </w:rPr>
  </w:style>
  <w:style w:type="numbering" w:customStyle="1" w:styleId="ObjectiveHeading">
    <w:name w:val="ObjectiveHeading"/>
    <w:uiPriority w:val="99"/>
    <w:rsid w:val="00CF1403"/>
    <w:pPr>
      <w:numPr>
        <w:numId w:val="19"/>
      </w:numPr>
    </w:pPr>
  </w:style>
  <w:style w:type="paragraph" w:customStyle="1" w:styleId="IntroParagraph">
    <w:name w:val="Intro Paragraph"/>
    <w:basedOn w:val="Normal"/>
    <w:uiPriority w:val="4"/>
    <w:qFormat/>
    <w:rsid w:val="00B06254"/>
    <w:pPr>
      <w:spacing w:before="120" w:line="400" w:lineRule="atLeast"/>
    </w:pPr>
    <w:rPr>
      <w:color w:val="58595B"/>
      <w:sz w:val="28"/>
    </w:rPr>
  </w:style>
  <w:style w:type="character" w:customStyle="1" w:styleId="cf01">
    <w:name w:val="cf01"/>
    <w:basedOn w:val="DefaultParagraphFont"/>
    <w:rsid w:val="006C7842"/>
    <w:rPr>
      <w:rFonts w:ascii="Segoe UI" w:hAnsi="Segoe UI" w:cs="Segoe UI" w:hint="default"/>
      <w:sz w:val="18"/>
      <w:szCs w:val="18"/>
    </w:rPr>
  </w:style>
  <w:style w:type="paragraph" w:styleId="ListParagraph">
    <w:name w:val="List Paragraph"/>
    <w:basedOn w:val="Normal"/>
    <w:uiPriority w:val="34"/>
    <w:qFormat/>
    <w:rsid w:val="00D007EF"/>
    <w:pPr>
      <w:ind w:left="720"/>
      <w:contextualSpacing/>
    </w:pPr>
  </w:style>
  <w:style w:type="table" w:customStyle="1" w:styleId="1">
    <w:name w:val="1"/>
    <w:basedOn w:val="TableNormal"/>
    <w:rsid w:val="00D007EF"/>
    <w:pPr>
      <w:spacing w:line="276" w:lineRule="auto"/>
    </w:pPr>
    <w:rPr>
      <w:rFonts w:ascii="Arial" w:eastAsia="Arial" w:hAnsi="Arial" w:cs="Arial"/>
      <w:color w:val="auto"/>
      <w:lang w:val="en" w:eastAsia="en-AU"/>
    </w:rPr>
    <w:tblPr>
      <w:tblStyleRowBandSize w:val="1"/>
      <w:tblStyleColBandSize w:val="1"/>
      <w:tblCellMar>
        <w:top w:w="100" w:type="dxa"/>
        <w:left w:w="100" w:type="dxa"/>
        <w:bottom w:w="100" w:type="dxa"/>
        <w:right w:w="100" w:type="dxa"/>
      </w:tblCellMar>
    </w:tblPr>
  </w:style>
  <w:style w:type="paragraph" w:styleId="z-TopofForm">
    <w:name w:val="HTML Top of Form"/>
    <w:basedOn w:val="Normal"/>
    <w:next w:val="Normal"/>
    <w:link w:val="z-TopofFormChar"/>
    <w:hidden/>
    <w:uiPriority w:val="99"/>
    <w:semiHidden/>
    <w:unhideWhenUsed/>
    <w:rsid w:val="00DC668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C6688"/>
    <w:rPr>
      <w:rFonts w:ascii="Arial" w:eastAsia="Times New Roman" w:hAnsi="Arial" w:cs="Arial"/>
      <w:vanish/>
      <w:color w:val="auto"/>
      <w:sz w:val="16"/>
      <w:szCs w:val="16"/>
      <w:lang w:eastAsia="en-GB"/>
    </w:rPr>
  </w:style>
  <w:style w:type="paragraph" w:customStyle="1" w:styleId="placeholder">
    <w:name w:val="placeholder"/>
    <w:basedOn w:val="Normal"/>
    <w:rsid w:val="00DC6688"/>
    <w:pPr>
      <w:spacing w:before="100" w:beforeAutospacing="1" w:after="100" w:afterAutospacing="1"/>
    </w:pPr>
  </w:style>
  <w:style w:type="paragraph" w:styleId="z-BottomofForm">
    <w:name w:val="HTML Bottom of Form"/>
    <w:basedOn w:val="Normal"/>
    <w:next w:val="Normal"/>
    <w:link w:val="z-BottomofFormChar"/>
    <w:hidden/>
    <w:uiPriority w:val="99"/>
    <w:semiHidden/>
    <w:unhideWhenUsed/>
    <w:rsid w:val="00DC668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C6688"/>
    <w:rPr>
      <w:rFonts w:ascii="Arial" w:eastAsia="Times New Roman" w:hAnsi="Arial" w:cs="Arial"/>
      <w:vanish/>
      <w:color w:val="auto"/>
      <w:sz w:val="16"/>
      <w:szCs w:val="16"/>
      <w:lang w:eastAsia="en-GB"/>
    </w:rPr>
  </w:style>
  <w:style w:type="paragraph" w:customStyle="1" w:styleId="font-claude-response-body">
    <w:name w:val="font-claude-response-body"/>
    <w:basedOn w:val="Normal"/>
    <w:rsid w:val="00070234"/>
    <w:pPr>
      <w:spacing w:before="100" w:beforeAutospacing="1" w:after="100" w:afterAutospacing="1"/>
    </w:pPr>
  </w:style>
  <w:style w:type="paragraph" w:customStyle="1" w:styleId="whitespace-normal">
    <w:name w:val="whitespace-normal"/>
    <w:basedOn w:val="Normal"/>
    <w:rsid w:val="00070234"/>
    <w:pPr>
      <w:spacing w:before="100" w:beforeAutospacing="1" w:after="100" w:afterAutospacing="1"/>
    </w:pPr>
  </w:style>
  <w:style w:type="paragraph" w:styleId="BlockText">
    <w:name w:val="Block Text"/>
    <w:basedOn w:val="Normal"/>
    <w:autoRedefine/>
    <w:uiPriority w:val="99"/>
    <w:unhideWhenUsed/>
    <w:qFormat/>
    <w:rsid w:val="00D263F0"/>
    <w:pPr>
      <w:numPr>
        <w:numId w:val="28"/>
      </w:numPr>
      <w:pBdr>
        <w:top w:val="single" w:sz="2" w:space="10" w:color="65328F"/>
        <w:left w:val="single" w:sz="2" w:space="10" w:color="65328F"/>
        <w:bottom w:val="single" w:sz="2" w:space="10" w:color="65328F"/>
        <w:right w:val="single" w:sz="2" w:space="10" w:color="65328F"/>
      </w:pBdr>
      <w:ind w:right="425"/>
    </w:pPr>
    <w:rPr>
      <w:rFonts w:eastAsia="MS Mincho" w:cs="Times New Roman"/>
      <w:color w:val="000000"/>
      <w:szCs w:val="22"/>
    </w:rPr>
  </w:style>
  <w:style w:type="paragraph" w:customStyle="1" w:styleId="EndNoteBibliographyTitle">
    <w:name w:val="EndNote Bibliography Title"/>
    <w:basedOn w:val="Normal"/>
    <w:link w:val="EndNoteBibliographyTitleChar"/>
    <w:rsid w:val="00B73336"/>
    <w:pPr>
      <w:spacing w:after="0"/>
      <w:jc w:val="center"/>
    </w:pPr>
    <w:rPr>
      <w:lang w:val="en-US"/>
    </w:rPr>
  </w:style>
  <w:style w:type="character" w:customStyle="1" w:styleId="EndNoteBibliographyTitleChar">
    <w:name w:val="EndNote Bibliography Title Char"/>
    <w:basedOn w:val="DefaultParagraphFont"/>
    <w:link w:val="EndNoteBibliographyTitle"/>
    <w:rsid w:val="00B73336"/>
    <w:rPr>
      <w:rFonts w:ascii="Montserrat" w:hAnsi="Montserrat" w:cs="Poppins"/>
      <w:sz w:val="24"/>
      <w:szCs w:val="24"/>
      <w:lang w:val="en-US"/>
    </w:rPr>
  </w:style>
  <w:style w:type="paragraph" w:customStyle="1" w:styleId="EndNoteBibliography">
    <w:name w:val="EndNote Bibliography"/>
    <w:basedOn w:val="Normal"/>
    <w:link w:val="EndNoteBibliographyChar"/>
    <w:rsid w:val="00AD2C29"/>
    <w:pPr>
      <w:spacing w:after="0" w:line="240" w:lineRule="atLeast"/>
      <w:ind w:left="720" w:hanging="720"/>
    </w:pPr>
    <w:rPr>
      <w:noProof/>
      <w:lang w:val="en-US"/>
    </w:rPr>
  </w:style>
  <w:style w:type="character" w:customStyle="1" w:styleId="EndNoteBibliographyChar">
    <w:name w:val="EndNote Bibliography Char"/>
    <w:basedOn w:val="DefaultParagraphFont"/>
    <w:link w:val="EndNoteBibliography"/>
    <w:rsid w:val="00AD2C29"/>
    <w:rPr>
      <w:rFonts w:ascii="Montserrat" w:hAnsi="Montserrat" w:cs="Poppins"/>
      <w:noProof/>
      <w:sz w:val="24"/>
      <w:szCs w:val="24"/>
      <w:lang w:val="en-US"/>
    </w:rPr>
  </w:style>
  <w:style w:type="paragraph" w:customStyle="1" w:styleId="Scenario">
    <w:name w:val="Scenario"/>
    <w:basedOn w:val="Normal"/>
    <w:qFormat/>
    <w:rsid w:val="000120B1"/>
    <w:pPr>
      <w:spacing w:before="120" w:after="120" w:line="320" w:lineRule="atLeast"/>
    </w:pPr>
    <w:rPr>
      <w:rFonts w:asciiTheme="minorHAnsi" w:hAnsiTheme="minorHAnsi"/>
      <w:i/>
      <w:sz w:val="20"/>
    </w:rPr>
  </w:style>
  <w:style w:type="numbering" w:customStyle="1" w:styleId="CurrentList1">
    <w:name w:val="Current List1"/>
    <w:uiPriority w:val="99"/>
    <w:rsid w:val="00BC40AA"/>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988929">
      <w:marLeft w:val="1004"/>
      <w:marRight w:val="424"/>
      <w:marTop w:val="0"/>
      <w:marBottom w:val="0"/>
      <w:divBdr>
        <w:top w:val="none" w:sz="0" w:space="0" w:color="auto"/>
        <w:left w:val="none" w:sz="0" w:space="0" w:color="auto"/>
        <w:bottom w:val="none" w:sz="0" w:space="0" w:color="auto"/>
        <w:right w:val="none" w:sz="0" w:space="0" w:color="auto"/>
      </w:divBdr>
    </w:div>
    <w:div w:id="622271903">
      <w:bodyDiv w:val="1"/>
      <w:marLeft w:val="0"/>
      <w:marRight w:val="0"/>
      <w:marTop w:val="0"/>
      <w:marBottom w:val="0"/>
      <w:divBdr>
        <w:top w:val="none" w:sz="0" w:space="0" w:color="auto"/>
        <w:left w:val="none" w:sz="0" w:space="0" w:color="auto"/>
        <w:bottom w:val="none" w:sz="0" w:space="0" w:color="auto"/>
        <w:right w:val="none" w:sz="0" w:space="0" w:color="auto"/>
      </w:divBdr>
    </w:div>
    <w:div w:id="626158250">
      <w:bodyDiv w:val="1"/>
      <w:marLeft w:val="0"/>
      <w:marRight w:val="0"/>
      <w:marTop w:val="0"/>
      <w:marBottom w:val="0"/>
      <w:divBdr>
        <w:top w:val="none" w:sz="0" w:space="0" w:color="auto"/>
        <w:left w:val="none" w:sz="0" w:space="0" w:color="auto"/>
        <w:bottom w:val="none" w:sz="0" w:space="0" w:color="auto"/>
        <w:right w:val="none" w:sz="0" w:space="0" w:color="auto"/>
      </w:divBdr>
    </w:div>
    <w:div w:id="1265381470">
      <w:marLeft w:val="1004"/>
      <w:marRight w:val="424"/>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testlify.com/strengths-based-interviewing-for-hiring-managers/" TargetMode="Externa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documenttasks/documenttasks1.xml><?xml version="1.0" encoding="utf-8"?>
<t:Tasks xmlns:t="http://schemas.microsoft.com/office/tasks/2019/documenttasks" xmlns:oel="http://schemas.microsoft.com/office/2019/extlst">
  <t:Task id="{EF6405B7-C0A7-0245-BA01-C084CA6AF187}">
    <t:Anchor>
      <t:Comment id="421351289"/>
    </t:Anchor>
    <t:History>
      <t:Event id="{654369A3-3365-E148-B3DB-D951E434FBBA}" time="2026-03-09T03:20:16.54Z">
        <t:Attribution userId="S::joingold@acu.edu.au::bd00d89b-03e0-4870-92ad-4df0bcef1101" userProvider="AD" userName="Jo Ingold"/>
        <t:Anchor>
          <t:Comment id="421351289"/>
        </t:Anchor>
        <t:Create/>
      </t:Event>
      <t:Event id="{77C9C7B3-2AF8-9742-936F-565E7EF408D3}" time="2026-03-09T03:20:16.54Z">
        <t:Attribution userId="S::joingold@acu.edu.au::bd00d89b-03e0-4870-92ad-4df0bcef1101" userProvider="AD" userName="Jo Ingold"/>
        <t:Anchor>
          <t:Comment id="421351289"/>
        </t:Anchor>
        <t:Assign userId="S::qilee@acu.edu.au::8c870fa5-bb84-4cc8-aca1-a71294a930df" userProvider="AD" userName="Qian Lee"/>
      </t:Event>
      <t:Event id="{7D61B3D7-F71C-A045-B2EB-5D8C65FFEF85}" time="2026-03-09T03:20:16.54Z">
        <t:Attribution userId="S::joingold@acu.edu.au::bd00d89b-03e0-4870-92ad-4df0bcef1101" userProvider="AD" userName="Jo Ingold"/>
        <t:Anchor>
          <t:Comment id="421351289"/>
        </t:Anchor>
        <t:SetTitle title="Add in Themes, enablers and implications pls @Qian Lee"/>
      </t:Event>
    </t:History>
  </t:Task>
  <t:Task id="{E41A22EA-ECA0-C84C-A4FE-1EB7F6EBD2F0}">
    <t:Anchor>
      <t:Comment id="330650558"/>
    </t:Anchor>
    <t:History>
      <t:Event id="{545CAFF1-F7F7-5043-9733-B6B517F8C068}" time="2026-03-24T08:52:32.047Z">
        <t:Attribution userId="S::joingold@acu.edu.au::bd00d89b-03e0-4870-92ad-4df0bcef1101" userProvider="AD" userName="Jo Ingold"/>
        <t:Anchor>
          <t:Comment id="330650558"/>
        </t:Anchor>
        <t:Create/>
      </t:Event>
      <t:Event id="{65380C52-AEED-6B4E-A00C-92EF57CCAE78}" time="2026-03-24T08:52:32.047Z">
        <t:Attribution userId="S::joingold@acu.edu.au::bd00d89b-03e0-4870-92ad-4df0bcef1101" userProvider="AD" userName="Jo Ingold"/>
        <t:Anchor>
          <t:Comment id="330650558"/>
        </t:Anchor>
        <t:Assign userId="S::qilee@acu.edu.au::8c870fa5-bb84-4cc8-aca1-a71294a930df" userProvider="AD" userName="Qian Lee"/>
      </t:Event>
      <t:Event id="{A5E9C089-B05B-0440-B3B0-997BD1CFEBA7}" time="2026-03-24T08:52:32.047Z">
        <t:Attribution userId="S::joingold@acu.edu.au::bd00d89b-03e0-4870-92ad-4df0bcef1101" userProvider="AD" userName="Jo Ingold"/>
        <t:Anchor>
          <t:Comment id="330650558"/>
        </t:Anchor>
        <t:SetTitle title="@Qian Lee can you explain this pls"/>
      </t:Event>
    </t:History>
  </t:Task>
  <t:Task id="{29C49C80-D008-465D-8066-8A07CD9D6DB0}">
    <t:Anchor>
      <t:Comment id="2054791916"/>
    </t:Anchor>
    <t:History>
      <t:Event id="{9E5145D7-E81C-483C-946A-FB09CB41DBD7}" time="2026-03-09T05:03:29.962Z">
        <t:Attribution userId="S::joingold@acu.edu.au::bd00d89b-03e0-4870-92ad-4df0bcef1101" userProvider="AD" userName="Jo Ingold"/>
        <t:Anchor>
          <t:Comment id="2054791916"/>
        </t:Anchor>
        <t:Create/>
      </t:Event>
      <t:Event id="{7E7B219D-4790-40DB-8C60-A97BAE376A76}" time="2026-03-09T05:03:29.962Z">
        <t:Attribution userId="S::joingold@acu.edu.au::bd00d89b-03e0-4870-92ad-4df0bcef1101" userProvider="AD" userName="Jo Ingold"/>
        <t:Anchor>
          <t:Comment id="2054791916"/>
        </t:Anchor>
        <t:Assign userId="S::qilee@acu.edu.au::8c870fa5-bb84-4cc8-aca1-a71294a930df" userProvider="AD" userName="Qian Lee"/>
      </t:Event>
      <t:Event id="{3181F4DA-0F7C-4193-956A-C3EE9E5F5D09}" time="2026-03-09T05:03:29.962Z">
        <t:Attribution userId="S::joingold@acu.edu.au::bd00d89b-03e0-4870-92ad-4df0bcef1101" userProvider="AD" userName="Jo Ingold"/>
        <t:Anchor>
          <t:Comment id="2054791916"/>
        </t:Anchor>
        <t:SetTitle title="@Qian Lee I think it's worth listing the themes, enablers and implications by name (sort of list like). NB Theme 3 has changed name to simplify"/>
      </t:Event>
    </t:History>
  </t:Task>
  <t:Task id="{F2D32B91-3AF0-4EF3-BAF2-4760536C515E}">
    <t:Anchor>
      <t:Comment id="798581741"/>
    </t:Anchor>
    <t:History>
      <t:Event id="{497D9C38-8783-49E5-99C8-E7658F964EAE}" time="2026-03-06T06:07:40.826Z">
        <t:Attribution userId="S::qilee@acu.edu.au::8c870fa5-bb84-4cc8-aca1-a71294a930df" userProvider="AD" userName="Qian Lee"/>
        <t:Anchor>
          <t:Comment id="798581741"/>
        </t:Anchor>
        <t:Create/>
      </t:Event>
      <t:Event id="{4850A1AD-104E-4B23-A494-D1D637E4FB57}" time="2026-03-06T06:07:40.826Z">
        <t:Attribution userId="S::qilee@acu.edu.au::8c870fa5-bb84-4cc8-aca1-a71294a930df" userProvider="AD" userName="Qian Lee"/>
        <t:Anchor>
          <t:Comment id="798581741"/>
        </t:Anchor>
        <t:Assign userId="S::irdonmanige@acu.edu.au::d62c1d4a-a7e8-4364-927b-2845e46769e3" userProvider="AD" userName="Iresha Donmanige"/>
      </t:Event>
      <t:Event id="{EAB3F31B-7ED4-482B-99CA-B3351F0E85DF}" time="2026-03-06T06:07:40.826Z">
        <t:Attribution userId="S::qilee@acu.edu.au::8c870fa5-bb84-4cc8-aca1-a71294a930df" userProvider="AD" userName="Qian Lee"/>
        <t:Anchor>
          <t:Comment id="798581741"/>
        </t:Anchor>
        <t:SetTitle title="@Iresha Donmanige Would you say this is accurate based on data?"/>
      </t:Event>
      <t:Event id="{E3FFAD19-F229-9D40-995C-EEF04BB18A6B}" time="2026-03-08T02:50:13.226Z">
        <t:Attribution userId="S::irdonmanige@acu.edu.au::d62c1d4a-a7e8-4364-927b-2845e46769e3" userProvider="AD" userName="Iresha Donmanige"/>
        <t:Progress percentComplete="100"/>
      </t:Event>
    </t:History>
  </t:Task>
</t:Task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B4CEBC3EFB64D8776CBB478333CB8" ma:contentTypeVersion="12" ma:contentTypeDescription="Create a new document." ma:contentTypeScope="" ma:versionID="97877900e3c65e7ec21ea73c693d32e0">
  <xsd:schema xmlns:xsd="http://www.w3.org/2001/XMLSchema" xmlns:xs="http://www.w3.org/2001/XMLSchema" xmlns:p="http://schemas.microsoft.com/office/2006/metadata/properties" xmlns:ns2="b6b76d2c-2ce0-4b29-9774-d911e4cdae52" xmlns:ns3="21b01f07-3cac-47ba-bcbc-afa91b3a6d9c" targetNamespace="http://schemas.microsoft.com/office/2006/metadata/properties" ma:root="true" ma:fieldsID="700ea0ac7cedce344d4ec0ae1f23b98d" ns2:_="" ns3:_="">
    <xsd:import namespace="b6b76d2c-2ce0-4b29-9774-d911e4cdae52"/>
    <xsd:import namespace="21b01f07-3cac-47ba-bcbc-afa91b3a6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76d2c-2ce0-4b29-9774-d911e4cda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4b2f4e7-b333-4133-9696-cdcd9b8dc4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b01f07-3cac-47ba-bcbc-afa91b3a6d9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f2f1a7f-43e4-44a0-95bf-e02566dc988c}" ma:internalName="TaxCatchAll" ma:showField="CatchAllData" ma:web="21b01f07-3cac-47ba-bcbc-afa91b3a6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1b01f07-3cac-47ba-bcbc-afa91b3a6d9c" xsi:nil="true"/>
    <lcf76f155ced4ddcb4097134ff3c332f xmlns="b6b76d2c-2ce0-4b29-9774-d911e4cda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DA2C60-E9CE-4C87-90B4-94225704D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76d2c-2ce0-4b29-9774-d911e4cdae52"/>
    <ds:schemaRef ds:uri="21b01f07-3cac-47ba-bcbc-afa91b3a6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7A929-B099-4667-B995-3C81F5059F76}">
  <ds:schemaRefs>
    <ds:schemaRef ds:uri="http://schemas.microsoft.com/sharepoint/v3/contenttype/forms"/>
  </ds:schemaRefs>
</ds:datastoreItem>
</file>

<file path=customXml/itemProps3.xml><?xml version="1.0" encoding="utf-8"?>
<ds:datastoreItem xmlns:ds="http://schemas.openxmlformats.org/officeDocument/2006/customXml" ds:itemID="{F6E68771-488F-9643-B4E5-1C65655EBDFD}">
  <ds:schemaRefs>
    <ds:schemaRef ds:uri="http://schemas.openxmlformats.org/officeDocument/2006/bibliography"/>
  </ds:schemaRefs>
</ds:datastoreItem>
</file>

<file path=customXml/itemProps4.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21b01f07-3cac-47ba-bcbc-afa91b3a6d9c"/>
    <ds:schemaRef ds:uri="b6b76d2c-2ce0-4b29-9774-d911e4cdae52"/>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C:\Users\ZY0002\OneDrive - Social Services\Desktop\PlainPage_CIE (1).dotx</Template>
  <TotalTime>932</TotalTime>
  <Pages>62</Pages>
  <Words>15549</Words>
  <Characters>100759</Characters>
  <Application>Microsoft Office Word</Application>
  <DocSecurity>0</DocSecurity>
  <Lines>1831</Lines>
  <Paragraphs>587</Paragraphs>
  <ScaleCrop>false</ScaleCrop>
  <Manager/>
  <Company>Centre for Inclusive Employment</Company>
  <LinksUpToDate>false</LinksUpToDate>
  <CharactersWithSpaces>115721</CharactersWithSpaces>
  <SharedDoc>false</SharedDoc>
  <HyperlinkBase/>
  <HLinks>
    <vt:vector size="1170" baseType="variant">
      <vt:variant>
        <vt:i4>4653136</vt:i4>
      </vt:variant>
      <vt:variant>
        <vt:i4>985</vt:i4>
      </vt:variant>
      <vt:variant>
        <vt:i4>0</vt:i4>
      </vt:variant>
      <vt:variant>
        <vt:i4>5</vt:i4>
      </vt:variant>
      <vt:variant>
        <vt:lpwstr>https://www.wyndham.vic.gov.au/form/wyndham-inclusive-industries-too</vt:lpwstr>
      </vt:variant>
      <vt:variant>
        <vt:lpwstr/>
      </vt:variant>
      <vt:variant>
        <vt:i4>3866679</vt:i4>
      </vt:variant>
      <vt:variant>
        <vt:i4>982</vt:i4>
      </vt:variant>
      <vt:variant>
        <vt:i4>0</vt:i4>
      </vt:variant>
      <vt:variant>
        <vt:i4>5</vt:i4>
      </vt:variant>
      <vt:variant>
        <vt:lpwstr>https://www.ipsbeyondsmi.org/resources</vt:lpwstr>
      </vt:variant>
      <vt:variant>
        <vt:lpwstr/>
      </vt:variant>
      <vt:variant>
        <vt:i4>1703966</vt:i4>
      </vt:variant>
      <vt:variant>
        <vt:i4>979</vt:i4>
      </vt:variant>
      <vt:variant>
        <vt:i4>0</vt:i4>
      </vt:variant>
      <vt:variant>
        <vt:i4>5</vt:i4>
      </vt:variant>
      <vt:variant>
        <vt:lpwstr>https://doi.org/https://doi.org/10.1177/09500170211063094</vt:lpwstr>
      </vt:variant>
      <vt:variant>
        <vt:lpwstr/>
      </vt:variant>
      <vt:variant>
        <vt:i4>1572952</vt:i4>
      </vt:variant>
      <vt:variant>
        <vt:i4>976</vt:i4>
      </vt:variant>
      <vt:variant>
        <vt:i4>0</vt:i4>
      </vt:variant>
      <vt:variant>
        <vt:i4>5</vt:i4>
      </vt:variant>
      <vt:variant>
        <vt:lpwstr>https://doi.org/https://doi.org/10.1017/S1474746423000027</vt:lpwstr>
      </vt:variant>
      <vt:variant>
        <vt:lpwstr/>
      </vt:variant>
      <vt:variant>
        <vt:i4>1638416</vt:i4>
      </vt:variant>
      <vt:variant>
        <vt:i4>973</vt:i4>
      </vt:variant>
      <vt:variant>
        <vt:i4>0</vt:i4>
      </vt:variant>
      <vt:variant>
        <vt:i4>5</vt:i4>
      </vt:variant>
      <vt:variant>
        <vt:lpwstr>https://doi.org/https://doi.org/10.1177/10522263251394313</vt:lpwstr>
      </vt:variant>
      <vt:variant>
        <vt:lpwstr/>
      </vt:variant>
      <vt:variant>
        <vt:i4>5701696</vt:i4>
      </vt:variant>
      <vt:variant>
        <vt:i4>970</vt:i4>
      </vt:variant>
      <vt:variant>
        <vt:i4>0</vt:i4>
      </vt:variant>
      <vt:variant>
        <vt:i4>5</vt:i4>
      </vt:variant>
      <vt:variant>
        <vt:lpwstr>https://www.canva.com/design/DAG6NA2-QAk/yjcQ2klydPjwNNvP3y6cdA/view?utm_content=DAG6NA2-QAk&amp;utm_campaign=designshare&amp;utm_medium=link2&amp;utm_source=uniquelinks&amp;utlId=ha6bcd8ed77</vt:lpwstr>
      </vt:variant>
      <vt:variant>
        <vt:lpwstr/>
      </vt:variant>
      <vt:variant>
        <vt:i4>4259915</vt:i4>
      </vt:variant>
      <vt:variant>
        <vt:i4>967</vt:i4>
      </vt:variant>
      <vt:variant>
        <vt:i4>0</vt:i4>
      </vt:variant>
      <vt:variant>
        <vt:i4>5</vt:i4>
      </vt:variant>
      <vt:variant>
        <vt:lpwstr>https://mynetwork.workplaceinclusion.org.nz/resources/aotearoa-inclusivity-matrix</vt:lpwstr>
      </vt:variant>
      <vt:variant>
        <vt:lpwstr/>
      </vt:variant>
      <vt:variant>
        <vt:i4>8192055</vt:i4>
      </vt:variant>
      <vt:variant>
        <vt:i4>964</vt:i4>
      </vt:variant>
      <vt:variant>
        <vt:i4>0</vt:i4>
      </vt:variant>
      <vt:variant>
        <vt:i4>5</vt:i4>
      </vt:variant>
      <vt:variant>
        <vt:lpwstr>https://doi.org/https://doi.org/10.3233/JVR-191010</vt:lpwstr>
      </vt:variant>
      <vt:variant>
        <vt:lpwstr/>
      </vt:variant>
      <vt:variant>
        <vt:i4>720903</vt:i4>
      </vt:variant>
      <vt:variant>
        <vt:i4>961</vt:i4>
      </vt:variant>
      <vt:variant>
        <vt:i4>0</vt:i4>
      </vt:variant>
      <vt:variant>
        <vt:i4>5</vt:i4>
      </vt:variant>
      <vt:variant>
        <vt:lpwstr>https://doi.org/https://doi.org/10.1080/09638288.2018.1481150</vt:lpwstr>
      </vt:variant>
      <vt:variant>
        <vt:lpwstr/>
      </vt:variant>
      <vt:variant>
        <vt:i4>3145855</vt:i4>
      </vt:variant>
      <vt:variant>
        <vt:i4>958</vt:i4>
      </vt:variant>
      <vt:variant>
        <vt:i4>0</vt:i4>
      </vt:variant>
      <vt:variant>
        <vt:i4>5</vt:i4>
      </vt:variant>
      <vt:variant>
        <vt:lpwstr>https://www.urban.org/research/publication/goals-and-dimensions-employer-engagement-workforce-development-programs</vt:lpwstr>
      </vt:variant>
      <vt:variant>
        <vt:lpwstr/>
      </vt:variant>
      <vt:variant>
        <vt:i4>2818131</vt:i4>
      </vt:variant>
      <vt:variant>
        <vt:i4>955</vt:i4>
      </vt:variant>
      <vt:variant>
        <vt:i4>0</vt:i4>
      </vt:variant>
      <vt:variant>
        <vt:i4>5</vt:i4>
      </vt:variant>
      <vt:variant>
        <vt:lpwstr>https://www.socialventures.org.au/wp-content/uploads/2025/12/SVA-CYDA-Guide_How-to-discuss-workplace-adjustments.pdf</vt:lpwstr>
      </vt:variant>
      <vt:variant>
        <vt:lpwstr/>
      </vt:variant>
      <vt:variant>
        <vt:i4>3276831</vt:i4>
      </vt:variant>
      <vt:variant>
        <vt:i4>952</vt:i4>
      </vt:variant>
      <vt:variant>
        <vt:i4>0</vt:i4>
      </vt:variant>
      <vt:variant>
        <vt:i4>5</vt:i4>
      </vt:variant>
      <vt:variant>
        <vt:lpwstr>https://www.socialventures.org.au/wp-content/uploads/2025/03/SVA_Employment_Webinar_26032025-Working-with-employers-to-advance-opportunity.pdf&amp;ved=2ahUKEwjsus7kiPmUAxU9yDgGHYfiM0sQFnoECBkQAQ&amp;usg=AOvVaw13ZoWv9fptF5AXCRtgg5rd</vt:lpwstr>
      </vt:variant>
      <vt:variant>
        <vt:lpwstr/>
      </vt:variant>
      <vt:variant>
        <vt:i4>3080238</vt:i4>
      </vt:variant>
      <vt:variant>
        <vt:i4>949</vt:i4>
      </vt:variant>
      <vt:variant>
        <vt:i4>0</vt:i4>
      </vt:variant>
      <vt:variant>
        <vt:i4>5</vt:i4>
      </vt:variant>
      <vt:variant>
        <vt:lpwstr>https://www.socialventures.org.au/our-impact/sparking-opportunities-building-inclusive-work-pathways-in-events/</vt:lpwstr>
      </vt:variant>
      <vt:variant>
        <vt:lpwstr/>
      </vt:variant>
      <vt:variant>
        <vt:i4>1638491</vt:i4>
      </vt:variant>
      <vt:variant>
        <vt:i4>946</vt:i4>
      </vt:variant>
      <vt:variant>
        <vt:i4>0</vt:i4>
      </vt:variant>
      <vt:variant>
        <vt:i4>5</vt:i4>
      </vt:variant>
      <vt:variant>
        <vt:lpwstr>https://socialmobility.independent-commission.uk/all-resources/employer-resources/employer-toolkits/</vt:lpwstr>
      </vt:variant>
      <vt:variant>
        <vt:lpwstr/>
      </vt:variant>
      <vt:variant>
        <vt:i4>327682</vt:i4>
      </vt:variant>
      <vt:variant>
        <vt:i4>943</vt:i4>
      </vt:variant>
      <vt:variant>
        <vt:i4>0</vt:i4>
      </vt:variant>
      <vt:variant>
        <vt:i4>5</vt:i4>
      </vt:variant>
      <vt:variant>
        <vt:lpwstr>https://www.businessdisabilityinternational.org/everyone-wins-a-balloon/</vt:lpwstr>
      </vt:variant>
      <vt:variant>
        <vt:lpwstr/>
      </vt:variant>
      <vt:variant>
        <vt:i4>7012440</vt:i4>
      </vt:variant>
      <vt:variant>
        <vt:i4>940</vt:i4>
      </vt:variant>
      <vt:variant>
        <vt:i4>0</vt:i4>
      </vt:variant>
      <vt:variant>
        <vt:i4>5</vt:i4>
      </vt:variant>
      <vt:variant>
        <vt:lpwstr>https://www.businessdisabilityinternational.org/wp-content/uploads/2024/06/bdi_business_and_ethical_case_for_best_practice.pdf&amp;ved=2ahUKEwjR7sHntPmUAxWhnq8BHT4wIAAQFnoECBgQAQ&amp;usg=AOvVaw3AkaCuDLLcNFe8256w8tre</vt:lpwstr>
      </vt:variant>
      <vt:variant>
        <vt:lpwstr/>
      </vt:variant>
      <vt:variant>
        <vt:i4>7077989</vt:i4>
      </vt:variant>
      <vt:variant>
        <vt:i4>937</vt:i4>
      </vt:variant>
      <vt:variant>
        <vt:i4>0</vt:i4>
      </vt:variant>
      <vt:variant>
        <vt:i4>5</vt:i4>
      </vt:variant>
      <vt:variant>
        <vt:lpwstr>https://doi.org/https://doi.org/10.3390/su17093785</vt:lpwstr>
      </vt:variant>
      <vt:variant>
        <vt:lpwstr/>
      </vt:variant>
      <vt:variant>
        <vt:i4>3735588</vt:i4>
      </vt:variant>
      <vt:variant>
        <vt:i4>934</vt:i4>
      </vt:variant>
      <vt:variant>
        <vt:i4>0</vt:i4>
      </vt:variant>
      <vt:variant>
        <vt:i4>5</vt:i4>
      </vt:variant>
      <vt:variant>
        <vt:lpwstr>https://doi.org/https://doi.org/10.1891/JARC-2025-0021</vt:lpwstr>
      </vt:variant>
      <vt:variant>
        <vt:lpwstr/>
      </vt:variant>
      <vt:variant>
        <vt:i4>1769494</vt:i4>
      </vt:variant>
      <vt:variant>
        <vt:i4>931</vt:i4>
      </vt:variant>
      <vt:variant>
        <vt:i4>0</vt:i4>
      </vt:variant>
      <vt:variant>
        <vt:i4>5</vt:i4>
      </vt:variant>
      <vt:variant>
        <vt:lpwstr>https://doi.org/https://doi.org/10.1177/1044207317739405</vt:lpwstr>
      </vt:variant>
      <vt:variant>
        <vt:lpwstr/>
      </vt:variant>
      <vt:variant>
        <vt:i4>2949236</vt:i4>
      </vt:variant>
      <vt:variant>
        <vt:i4>928</vt:i4>
      </vt:variant>
      <vt:variant>
        <vt:i4>0</vt:i4>
      </vt:variant>
      <vt:variant>
        <vt:i4>5</vt:i4>
      </vt:variant>
      <vt:variant>
        <vt:lpwstr>https://testlify.com/strengths-based-interviewing-for-hiring-managers/</vt:lpwstr>
      </vt:variant>
      <vt:variant>
        <vt:lpwstr/>
      </vt:variant>
      <vt:variant>
        <vt:i4>7405630</vt:i4>
      </vt:variant>
      <vt:variant>
        <vt:i4>925</vt:i4>
      </vt:variant>
      <vt:variant>
        <vt:i4>0</vt:i4>
      </vt:variant>
      <vt:variant>
        <vt:i4>5</vt:i4>
      </vt:variant>
      <vt:variant>
        <vt:lpwstr>https://doi.org/https://doi.org/10.3233/JVR-140697</vt:lpwstr>
      </vt:variant>
      <vt:variant>
        <vt:lpwstr/>
      </vt:variant>
      <vt:variant>
        <vt:i4>1900573</vt:i4>
      </vt:variant>
      <vt:variant>
        <vt:i4>922</vt:i4>
      </vt:variant>
      <vt:variant>
        <vt:i4>0</vt:i4>
      </vt:variant>
      <vt:variant>
        <vt:i4>5</vt:i4>
      </vt:variant>
      <vt:variant>
        <vt:lpwstr>https://doi.org/https://doi.org/10.1177/00343552231176535</vt:lpwstr>
      </vt:variant>
      <vt:variant>
        <vt:lpwstr/>
      </vt:variant>
      <vt:variant>
        <vt:i4>1638431</vt:i4>
      </vt:variant>
      <vt:variant>
        <vt:i4>919</vt:i4>
      </vt:variant>
      <vt:variant>
        <vt:i4>0</vt:i4>
      </vt:variant>
      <vt:variant>
        <vt:i4>5</vt:i4>
      </vt:variant>
      <vt:variant>
        <vt:lpwstr>https://doi.org/https://doi.org/10.1177/00343552221130304</vt:lpwstr>
      </vt:variant>
      <vt:variant>
        <vt:lpwstr/>
      </vt:variant>
      <vt:variant>
        <vt:i4>4063280</vt:i4>
      </vt:variant>
      <vt:variant>
        <vt:i4>916</vt:i4>
      </vt:variant>
      <vt:variant>
        <vt:i4>0</vt:i4>
      </vt:variant>
      <vt:variant>
        <vt:i4>5</vt:i4>
      </vt:variant>
      <vt:variant>
        <vt:lpwstr>https://doi.org/https://doi.org/10.1375/jdmr.1.1.10</vt:lpwstr>
      </vt:variant>
      <vt:variant>
        <vt:lpwstr/>
      </vt:variant>
      <vt:variant>
        <vt:i4>458843</vt:i4>
      </vt:variant>
      <vt:variant>
        <vt:i4>913</vt:i4>
      </vt:variant>
      <vt:variant>
        <vt:i4>0</vt:i4>
      </vt:variant>
      <vt:variant>
        <vt:i4>5</vt:i4>
      </vt:variant>
      <vt:variant>
        <vt:lpwstr>https://doi.org/https://doi.org/10.1007/s10926-016-9655-0</vt:lpwstr>
      </vt:variant>
      <vt:variant>
        <vt:lpwstr/>
      </vt:variant>
      <vt:variant>
        <vt:i4>524302</vt:i4>
      </vt:variant>
      <vt:variant>
        <vt:i4>910</vt:i4>
      </vt:variant>
      <vt:variant>
        <vt:i4>0</vt:i4>
      </vt:variant>
      <vt:variant>
        <vt:i4>5</vt:i4>
      </vt:variant>
      <vt:variant>
        <vt:lpwstr>https://doi.org/https://doi.org/10.1891/0047-2220.37.4.5</vt:lpwstr>
      </vt:variant>
      <vt:variant>
        <vt:lpwstr/>
      </vt:variant>
      <vt:variant>
        <vt:i4>2752639</vt:i4>
      </vt:variant>
      <vt:variant>
        <vt:i4>907</vt:i4>
      </vt:variant>
      <vt:variant>
        <vt:i4>0</vt:i4>
      </vt:variant>
      <vt:variant>
        <vt:i4>5</vt:i4>
      </vt:variant>
      <vt:variant>
        <vt:lpwstr>https://doi.org/https://doi.org/10.1007/s10926-024-10197-9</vt:lpwstr>
      </vt:variant>
      <vt:variant>
        <vt:lpwstr/>
      </vt:variant>
      <vt:variant>
        <vt:i4>2490480</vt:i4>
      </vt:variant>
      <vt:variant>
        <vt:i4>904</vt:i4>
      </vt:variant>
      <vt:variant>
        <vt:i4>0</vt:i4>
      </vt:variant>
      <vt:variant>
        <vt:i4>5</vt:i4>
      </vt:variant>
      <vt:variant>
        <vt:lpwstr>https://doi.org/https://doi.org/10.1007/s10926-022-10067-2</vt:lpwstr>
      </vt:variant>
      <vt:variant>
        <vt:lpwstr/>
      </vt:variant>
      <vt:variant>
        <vt:i4>917598</vt:i4>
      </vt:variant>
      <vt:variant>
        <vt:i4>901</vt:i4>
      </vt:variant>
      <vt:variant>
        <vt:i4>0</vt:i4>
      </vt:variant>
      <vt:variant>
        <vt:i4>5</vt:i4>
      </vt:variant>
      <vt:variant>
        <vt:lpwstr>https://www.centreforinclusiveemployment.au/resources/332058</vt:lpwstr>
      </vt:variant>
      <vt:variant>
        <vt:lpwstr/>
      </vt:variant>
      <vt:variant>
        <vt:i4>2555941</vt:i4>
      </vt:variant>
      <vt:variant>
        <vt:i4>898</vt:i4>
      </vt:variant>
      <vt:variant>
        <vt:i4>0</vt:i4>
      </vt:variant>
      <vt:variant>
        <vt:i4>5</vt:i4>
      </vt:variant>
      <vt:variant>
        <vt:lpwstr>https://www.jobaccess.gov.au/resource/workplace-adjustment-passport</vt:lpwstr>
      </vt:variant>
      <vt:variant>
        <vt:lpwstr/>
      </vt:variant>
      <vt:variant>
        <vt:i4>1966105</vt:i4>
      </vt:variant>
      <vt:variant>
        <vt:i4>895</vt:i4>
      </vt:variant>
      <vt:variant>
        <vt:i4>0</vt:i4>
      </vt:variant>
      <vt:variant>
        <vt:i4>5</vt:i4>
      </vt:variant>
      <vt:variant>
        <vt:lpwstr>https://jobaccess.gov.au/sites/default/files/documents/2024-11/5471-23-communication-and.pdf&amp;ved=2ahUKEwix6ezss--UAxUny6ACHbWhCV8QFnoECBgQAQ&amp;usg=AOvVaw3lEYiAzGLZE7BtIvGJDePF</vt:lpwstr>
      </vt:variant>
      <vt:variant>
        <vt:lpwstr/>
      </vt:variant>
      <vt:variant>
        <vt:i4>1245207</vt:i4>
      </vt:variant>
      <vt:variant>
        <vt:i4>892</vt:i4>
      </vt:variant>
      <vt:variant>
        <vt:i4>0</vt:i4>
      </vt:variant>
      <vt:variant>
        <vt:i4>5</vt:i4>
      </vt:variant>
      <vt:variant>
        <vt:lpwstr>https://doi.org/https://doi.org/10.1177/0170840619900292</vt:lpwstr>
      </vt:variant>
      <vt:variant>
        <vt:lpwstr/>
      </vt:variant>
      <vt:variant>
        <vt:i4>2359351</vt:i4>
      </vt:variant>
      <vt:variant>
        <vt:i4>889</vt:i4>
      </vt:variant>
      <vt:variant>
        <vt:i4>0</vt:i4>
      </vt:variant>
      <vt:variant>
        <vt:i4>5</vt:i4>
      </vt:variant>
      <vt:variant>
        <vt:lpwstr>https://sat.businessanddisability.org/</vt:lpwstr>
      </vt:variant>
      <vt:variant>
        <vt:lpwstr/>
      </vt:variant>
      <vt:variant>
        <vt:i4>2031644</vt:i4>
      </vt:variant>
      <vt:variant>
        <vt:i4>886</vt:i4>
      </vt:variant>
      <vt:variant>
        <vt:i4>0</vt:i4>
      </vt:variant>
      <vt:variant>
        <vt:i4>5</vt:i4>
      </vt:variant>
      <vt:variant>
        <vt:lpwstr>https://doi.org/https://doi.org/10.1177/00221856231159512</vt:lpwstr>
      </vt:variant>
      <vt:variant>
        <vt:lpwstr/>
      </vt:variant>
      <vt:variant>
        <vt:i4>2490411</vt:i4>
      </vt:variant>
      <vt:variant>
        <vt:i4>883</vt:i4>
      </vt:variant>
      <vt:variant>
        <vt:i4>0</vt:i4>
      </vt:variant>
      <vt:variant>
        <vt:i4>5</vt:i4>
      </vt:variant>
      <vt:variant>
        <vt:lpwstr>https://www.goodworkresearchgroup.com/providers</vt:lpwstr>
      </vt:variant>
      <vt:variant>
        <vt:lpwstr/>
      </vt:variant>
      <vt:variant>
        <vt:i4>4128820</vt:i4>
      </vt:variant>
      <vt:variant>
        <vt:i4>880</vt:i4>
      </vt:variant>
      <vt:variant>
        <vt:i4>0</vt:i4>
      </vt:variant>
      <vt:variant>
        <vt:i4>5</vt:i4>
      </vt:variant>
      <vt:variant>
        <vt:lpwstr>https://doi.org/https://doi.org/10.1111/1467-8462.70035</vt:lpwstr>
      </vt:variant>
      <vt:variant>
        <vt:lpwstr/>
      </vt:variant>
      <vt:variant>
        <vt:i4>2228259</vt:i4>
      </vt:variant>
      <vt:variant>
        <vt:i4>877</vt:i4>
      </vt:variant>
      <vt:variant>
        <vt:i4>0</vt:i4>
      </vt:variant>
      <vt:variant>
        <vt:i4>5</vt:i4>
      </vt:variant>
      <vt:variant>
        <vt:lpwstr>https://doi.org/https://doi.org/10.1111/padm.12545</vt:lpwstr>
      </vt:variant>
      <vt:variant>
        <vt:lpwstr/>
      </vt:variant>
      <vt:variant>
        <vt:i4>1572959</vt:i4>
      </vt:variant>
      <vt:variant>
        <vt:i4>874</vt:i4>
      </vt:variant>
      <vt:variant>
        <vt:i4>0</vt:i4>
      </vt:variant>
      <vt:variant>
        <vt:i4>5</vt:i4>
      </vt:variant>
      <vt:variant>
        <vt:lpwstr>https://doi.org/https://doi.org/10.1017/S1474746420000421</vt:lpwstr>
      </vt:variant>
      <vt:variant>
        <vt:lpwstr/>
      </vt:variant>
      <vt:variant>
        <vt:i4>7929905</vt:i4>
      </vt:variant>
      <vt:variant>
        <vt:i4>871</vt:i4>
      </vt:variant>
      <vt:variant>
        <vt:i4>0</vt:i4>
      </vt:variant>
      <vt:variant>
        <vt:i4>5</vt:i4>
      </vt:variant>
      <vt:variant>
        <vt:lpwstr>https://doi.org/https://doi.org/10.3233/JVR-170862</vt:lpwstr>
      </vt:variant>
      <vt:variant>
        <vt:lpwstr/>
      </vt:variant>
      <vt:variant>
        <vt:i4>8060981</vt:i4>
      </vt:variant>
      <vt:variant>
        <vt:i4>868</vt:i4>
      </vt:variant>
      <vt:variant>
        <vt:i4>0</vt:i4>
      </vt:variant>
      <vt:variant>
        <vt:i4>5</vt:i4>
      </vt:variant>
      <vt:variant>
        <vt:lpwstr>https://doi.org/https://doi.org/10.3233/JVR-170921</vt:lpwstr>
      </vt:variant>
      <vt:variant>
        <vt:lpwstr/>
      </vt:variant>
      <vt:variant>
        <vt:i4>7929900</vt:i4>
      </vt:variant>
      <vt:variant>
        <vt:i4>865</vt:i4>
      </vt:variant>
      <vt:variant>
        <vt:i4>0</vt:i4>
      </vt:variant>
      <vt:variant>
        <vt:i4>5</vt:i4>
      </vt:variant>
      <vt:variant>
        <vt:lpwstr>https://doi.org/https://doi.org/10.3233/jvr-2007-00359</vt:lpwstr>
      </vt:variant>
      <vt:variant>
        <vt:lpwstr/>
      </vt:variant>
      <vt:variant>
        <vt:i4>983134</vt:i4>
      </vt:variant>
      <vt:variant>
        <vt:i4>862</vt:i4>
      </vt:variant>
      <vt:variant>
        <vt:i4>0</vt:i4>
      </vt:variant>
      <vt:variant>
        <vt:i4>5</vt:i4>
      </vt:variant>
      <vt:variant>
        <vt:lpwstr>https://doi.org/https://doi.org/10.1007/s10926-009-9225-9</vt:lpwstr>
      </vt:variant>
      <vt:variant>
        <vt:lpwstr/>
      </vt:variant>
      <vt:variant>
        <vt:i4>6094878</vt:i4>
      </vt:variant>
      <vt:variant>
        <vt:i4>859</vt:i4>
      </vt:variant>
      <vt:variant>
        <vt:i4>0</vt:i4>
      </vt:variant>
      <vt:variant>
        <vt:i4>5</vt:i4>
      </vt:variant>
      <vt:variant>
        <vt:lpwstr>https://doi.org/https://doi.org/10.18291/njwls.147335</vt:lpwstr>
      </vt:variant>
      <vt:variant>
        <vt:lpwstr/>
      </vt:variant>
      <vt:variant>
        <vt:i4>4980809</vt:i4>
      </vt:variant>
      <vt:variant>
        <vt:i4>856</vt:i4>
      </vt:variant>
      <vt:variant>
        <vt:i4>0</vt:i4>
      </vt:variant>
      <vt:variant>
        <vt:i4>5</vt:i4>
      </vt:variant>
      <vt:variant>
        <vt:lpwstr>https://op.europa.eu/webpub/empl/reasonable-accommodation-at-work/en/</vt:lpwstr>
      </vt:variant>
      <vt:variant>
        <vt:lpwstr/>
      </vt:variant>
      <vt:variant>
        <vt:i4>4784146</vt:i4>
      </vt:variant>
      <vt:variant>
        <vt:i4>853</vt:i4>
      </vt:variant>
      <vt:variant>
        <vt:i4>0</vt:i4>
      </vt:variant>
      <vt:variant>
        <vt:i4>5</vt:i4>
      </vt:variant>
      <vt:variant>
        <vt:lpwstr>https://op.europa.eu/en/publication-detail/-/publication/3004b931-c77f-11e8-9424-01aa75ed71a1/language-en</vt:lpwstr>
      </vt:variant>
      <vt:variant>
        <vt:lpwstr/>
      </vt:variant>
      <vt:variant>
        <vt:i4>4128839</vt:i4>
      </vt:variant>
      <vt:variant>
        <vt:i4>850</vt:i4>
      </vt:variant>
      <vt:variant>
        <vt:i4>0</vt:i4>
      </vt:variant>
      <vt:variant>
        <vt:i4>5</vt:i4>
      </vt:variant>
      <vt:variant>
        <vt:lpwstr>https://ec.europa.eu/social/BlobServlet%3FdocId%3D14083%26langId&amp;ved=2ahUKEwiD45b9g_mUAxWZSGcHHbfHEUIQFnoECBgQAQ&amp;usg=AOvVaw0iMMQFCk7hZ5IZ5kvU-O3B</vt:lpwstr>
      </vt:variant>
      <vt:variant>
        <vt:lpwstr/>
      </vt:variant>
      <vt:variant>
        <vt:i4>5701657</vt:i4>
      </vt:variant>
      <vt:variant>
        <vt:i4>847</vt:i4>
      </vt:variant>
      <vt:variant>
        <vt:i4>0</vt:i4>
      </vt:variant>
      <vt:variant>
        <vt:i4>5</vt:i4>
      </vt:variant>
      <vt:variant>
        <vt:lpwstr>https://doi.org/https://doi.org/10.18291/njwls.128260</vt:lpwstr>
      </vt:variant>
      <vt:variant>
        <vt:lpwstr/>
      </vt:variant>
      <vt:variant>
        <vt:i4>1835030</vt:i4>
      </vt:variant>
      <vt:variant>
        <vt:i4>844</vt:i4>
      </vt:variant>
      <vt:variant>
        <vt:i4>0</vt:i4>
      </vt:variant>
      <vt:variant>
        <vt:i4>5</vt:i4>
      </vt:variant>
      <vt:variant>
        <vt:lpwstr>https://doi.org/https://doi.org/10.1177/10519815251357580</vt:lpwstr>
      </vt:variant>
      <vt:variant>
        <vt:lpwstr/>
      </vt:variant>
      <vt:variant>
        <vt:i4>3670049</vt:i4>
      </vt:variant>
      <vt:variant>
        <vt:i4>841</vt:i4>
      </vt:variant>
      <vt:variant>
        <vt:i4>0</vt:i4>
      </vt:variant>
      <vt:variant>
        <vt:i4>5</vt:i4>
      </vt:variant>
      <vt:variant>
        <vt:lpwstr>https://doi.org/https://doi.org/10.1016/j.socscimed.2024.116742</vt:lpwstr>
      </vt:variant>
      <vt:variant>
        <vt:lpwstr/>
      </vt:variant>
      <vt:variant>
        <vt:i4>983111</vt:i4>
      </vt:variant>
      <vt:variant>
        <vt:i4>838</vt:i4>
      </vt:variant>
      <vt:variant>
        <vt:i4>0</vt:i4>
      </vt:variant>
      <vt:variant>
        <vt:i4>5</vt:i4>
      </vt:variant>
      <vt:variant>
        <vt:lpwstr>https://www.dss.gov.au/inclusive-employment-australia</vt:lpwstr>
      </vt:variant>
      <vt:variant>
        <vt:lpwstr/>
      </vt:variant>
      <vt:variant>
        <vt:i4>5898251</vt:i4>
      </vt:variant>
      <vt:variant>
        <vt:i4>835</vt:i4>
      </vt:variant>
      <vt:variant>
        <vt:i4>0</vt:i4>
      </vt:variant>
      <vt:variant>
        <vt:i4>5</vt:i4>
      </vt:variant>
      <vt:variant>
        <vt:lpwstr>https://www.dewr.gov.au/employment-services-evaluations/resources/online-employment-services-evaluation-2020-2022</vt:lpwstr>
      </vt:variant>
      <vt:variant>
        <vt:lpwstr/>
      </vt:variant>
      <vt:variant>
        <vt:i4>65546</vt:i4>
      </vt:variant>
      <vt:variant>
        <vt:i4>832</vt:i4>
      </vt:variant>
      <vt:variant>
        <vt:i4>0</vt:i4>
      </vt:variant>
      <vt:variant>
        <vt:i4>5</vt:i4>
      </vt:variant>
      <vt:variant>
        <vt:lpwstr>https://www.dewr.gov.au/employment-research/resources/new-employment-services-trial-evaluation-phase-1-report</vt:lpwstr>
      </vt:variant>
      <vt:variant>
        <vt:lpwstr/>
      </vt:variant>
      <vt:variant>
        <vt:i4>589834</vt:i4>
      </vt:variant>
      <vt:variant>
        <vt:i4>829</vt:i4>
      </vt:variant>
      <vt:variant>
        <vt:i4>0</vt:i4>
      </vt:variant>
      <vt:variant>
        <vt:i4>5</vt:i4>
      </vt:variant>
      <vt:variant>
        <vt:lpwstr>https://doi.org/https://doi.org/10.1080/09638288.2023.2181411</vt:lpwstr>
      </vt:variant>
      <vt:variant>
        <vt:lpwstr/>
      </vt:variant>
      <vt:variant>
        <vt:i4>4653085</vt:i4>
      </vt:variant>
      <vt:variant>
        <vt:i4>826</vt:i4>
      </vt:variant>
      <vt:variant>
        <vt:i4>0</vt:i4>
      </vt:variant>
      <vt:variant>
        <vt:i4>5</vt:i4>
      </vt:variant>
      <vt:variant>
        <vt:lpwstr>https://www.activatingemployers.org/uploads/publications/Activation_Through_Procurement_Final.pdf&amp;ved=2ahUKEwjk-vX7h_mUAxXe1jgGHbXFO0UQFnoECBkQAQ&amp;usg=AOvVaw3kHzyKYu9EeXllnmg1aUMq</vt:lpwstr>
      </vt:variant>
      <vt:variant>
        <vt:lpwstr/>
      </vt:variant>
      <vt:variant>
        <vt:i4>589890</vt:i4>
      </vt:variant>
      <vt:variant>
        <vt:i4>823</vt:i4>
      </vt:variant>
      <vt:variant>
        <vt:i4>0</vt:i4>
      </vt:variant>
      <vt:variant>
        <vt:i4>5</vt:i4>
      </vt:variant>
      <vt:variant>
        <vt:lpwstr>https://www.dss.gov.au/disability-employment-reforms/resource/evaluation-jobaccess-service-june-2019</vt:lpwstr>
      </vt:variant>
      <vt:variant>
        <vt:lpwstr/>
      </vt:variant>
      <vt:variant>
        <vt:i4>2883709</vt:i4>
      </vt:variant>
      <vt:variant>
        <vt:i4>820</vt:i4>
      </vt:variant>
      <vt:variant>
        <vt:i4>0</vt:i4>
      </vt:variant>
      <vt:variant>
        <vt:i4>5</vt:i4>
      </vt:variant>
      <vt:variant>
        <vt:lpwstr>https://doi.org/https://doi.org/10.1007/s10551-022-05095-0</vt:lpwstr>
      </vt:variant>
      <vt:variant>
        <vt:lpwstr/>
      </vt:variant>
      <vt:variant>
        <vt:i4>65624</vt:i4>
      </vt:variant>
      <vt:variant>
        <vt:i4>817</vt:i4>
      </vt:variant>
      <vt:variant>
        <vt:i4>0</vt:i4>
      </vt:variant>
      <vt:variant>
        <vt:i4>5</vt:i4>
      </vt:variant>
      <vt:variant>
        <vt:lpwstr>https://doi.org/https://doi.org/10.1007/s10926-010-9252-6</vt:lpwstr>
      </vt:variant>
      <vt:variant>
        <vt:lpwstr/>
      </vt:variant>
      <vt:variant>
        <vt:i4>7471164</vt:i4>
      </vt:variant>
      <vt:variant>
        <vt:i4>814</vt:i4>
      </vt:variant>
      <vt:variant>
        <vt:i4>0</vt:i4>
      </vt:variant>
      <vt:variant>
        <vt:i4>5</vt:i4>
      </vt:variant>
      <vt:variant>
        <vt:lpwstr>https://doi.org/https://doi.org/10.1017/jrc.2013.2</vt:lpwstr>
      </vt:variant>
      <vt:variant>
        <vt:lpwstr/>
      </vt:variant>
      <vt:variant>
        <vt:i4>4718630</vt:i4>
      </vt:variant>
      <vt:variant>
        <vt:i4>811</vt:i4>
      </vt:variant>
      <vt:variant>
        <vt:i4>0</vt:i4>
      </vt:variant>
      <vt:variant>
        <vt:i4>5</vt:i4>
      </vt:variant>
      <vt:variant>
        <vt:lpwstr>https://cdn.ymaws.com/base-uk.site-ym.com/resource/resmgr/quality/seqf_model_fidelity_assessme.pdf</vt:lpwstr>
      </vt:variant>
      <vt:variant>
        <vt:lpwstr/>
      </vt:variant>
      <vt:variant>
        <vt:i4>5832705</vt:i4>
      </vt:variant>
      <vt:variant>
        <vt:i4>808</vt:i4>
      </vt:variant>
      <vt:variant>
        <vt:i4>0</vt:i4>
      </vt:variant>
      <vt:variant>
        <vt:i4>5</vt:i4>
      </vt:variant>
      <vt:variant>
        <vt:lpwstr>https://cdn.ymaws.com/base-uk.site-ym.com/resource/resmgr/quality/Supported_Employment_Manager.pdf</vt:lpwstr>
      </vt:variant>
      <vt:variant>
        <vt:lpwstr/>
      </vt:variant>
      <vt:variant>
        <vt:i4>1835094</vt:i4>
      </vt:variant>
      <vt:variant>
        <vt:i4>805</vt:i4>
      </vt:variant>
      <vt:variant>
        <vt:i4>0</vt:i4>
      </vt:variant>
      <vt:variant>
        <vt:i4>5</vt:i4>
      </vt:variant>
      <vt:variant>
        <vt:lpwstr>https://doi.org/https://doi.org/10.1017/S1474746425100870</vt:lpwstr>
      </vt:variant>
      <vt:variant>
        <vt:lpwstr/>
      </vt:variant>
      <vt:variant>
        <vt:i4>7209013</vt:i4>
      </vt:variant>
      <vt:variant>
        <vt:i4>802</vt:i4>
      </vt:variant>
      <vt:variant>
        <vt:i4>0</vt:i4>
      </vt:variant>
      <vt:variant>
        <vt:i4>5</vt:i4>
      </vt:variant>
      <vt:variant>
        <vt:lpwstr>https://doi.org/https://doi.org/10.1037/prj0000574</vt:lpwstr>
      </vt:variant>
      <vt:variant>
        <vt:lpwstr/>
      </vt:variant>
      <vt:variant>
        <vt:i4>1835026</vt:i4>
      </vt:variant>
      <vt:variant>
        <vt:i4>799</vt:i4>
      </vt:variant>
      <vt:variant>
        <vt:i4>0</vt:i4>
      </vt:variant>
      <vt:variant>
        <vt:i4>5</vt:i4>
      </vt:variant>
      <vt:variant>
        <vt:lpwstr>https://doi.org/https://doi.org/10.1177/10522263241300813</vt:lpwstr>
      </vt:variant>
      <vt:variant>
        <vt:lpwstr/>
      </vt:variant>
      <vt:variant>
        <vt:i4>786455</vt:i4>
      </vt:variant>
      <vt:variant>
        <vt:i4>796</vt:i4>
      </vt:variant>
      <vt:variant>
        <vt:i4>0</vt:i4>
      </vt:variant>
      <vt:variant>
        <vt:i4>5</vt:i4>
      </vt:variant>
      <vt:variant>
        <vt:lpwstr>https://australiandisabilitynetwork.org.au/resources/disability-data-at-work</vt:lpwstr>
      </vt:variant>
      <vt:variant>
        <vt:lpwstr/>
      </vt:variant>
      <vt:variant>
        <vt:i4>1114202</vt:i4>
      </vt:variant>
      <vt:variant>
        <vt:i4>793</vt:i4>
      </vt:variant>
      <vt:variant>
        <vt:i4>0</vt:i4>
      </vt:variant>
      <vt:variant>
        <vt:i4>5</vt:i4>
      </vt:variant>
      <vt:variant>
        <vt:lpwstr>https://doi.org/https://doi.org/10.1017/S0047279425000030</vt:lpwstr>
      </vt:variant>
      <vt:variant>
        <vt:lpwstr/>
      </vt:variant>
      <vt:variant>
        <vt:i4>786444</vt:i4>
      </vt:variant>
      <vt:variant>
        <vt:i4>790</vt:i4>
      </vt:variant>
      <vt:variant>
        <vt:i4>0</vt:i4>
      </vt:variant>
      <vt:variant>
        <vt:i4>5</vt:i4>
      </vt:variant>
      <vt:variant>
        <vt:lpwstr>https://akg.com.au/employers/</vt:lpwstr>
      </vt:variant>
      <vt:variant>
        <vt:lpwstr/>
      </vt:variant>
      <vt:variant>
        <vt:i4>2097273</vt:i4>
      </vt:variant>
      <vt:variant>
        <vt:i4>785</vt:i4>
      </vt:variant>
      <vt:variant>
        <vt:i4>0</vt:i4>
      </vt:variant>
      <vt:variant>
        <vt:i4>5</vt:i4>
      </vt:variant>
      <vt:variant>
        <vt:lpwstr>https://doi.org/10.18260/1-2--56760</vt:lpwstr>
      </vt:variant>
      <vt:variant>
        <vt:lpwstr/>
      </vt:variant>
      <vt:variant>
        <vt:i4>3604596</vt:i4>
      </vt:variant>
      <vt:variant>
        <vt:i4>782</vt:i4>
      </vt:variant>
      <vt:variant>
        <vt:i4>0</vt:i4>
      </vt:variant>
      <vt:variant>
        <vt:i4>5</vt:i4>
      </vt:variant>
      <vt:variant>
        <vt:lpwstr>https://doi.org/10.1111/1748-8583.12169</vt:lpwstr>
      </vt:variant>
      <vt:variant>
        <vt:lpwstr/>
      </vt:variant>
      <vt:variant>
        <vt:i4>3604596</vt:i4>
      </vt:variant>
      <vt:variant>
        <vt:i4>779</vt:i4>
      </vt:variant>
      <vt:variant>
        <vt:i4>0</vt:i4>
      </vt:variant>
      <vt:variant>
        <vt:i4>5</vt:i4>
      </vt:variant>
      <vt:variant>
        <vt:lpwstr>https://doi.org/10.1111/1748-8583.12169</vt:lpwstr>
      </vt:variant>
      <vt:variant>
        <vt:lpwstr/>
      </vt:variant>
      <vt:variant>
        <vt:i4>2555953</vt:i4>
      </vt:variant>
      <vt:variant>
        <vt:i4>776</vt:i4>
      </vt:variant>
      <vt:variant>
        <vt:i4>0</vt:i4>
      </vt:variant>
      <vt:variant>
        <vt:i4>5</vt:i4>
      </vt:variant>
      <vt:variant>
        <vt:lpwstr>https://doi.org/10.1007/s10926-024-10228-5</vt:lpwstr>
      </vt:variant>
      <vt:variant>
        <vt:lpwstr/>
      </vt:variant>
      <vt:variant>
        <vt:i4>2031645</vt:i4>
      </vt:variant>
      <vt:variant>
        <vt:i4>773</vt:i4>
      </vt:variant>
      <vt:variant>
        <vt:i4>0</vt:i4>
      </vt:variant>
      <vt:variant>
        <vt:i4>5</vt:i4>
      </vt:variant>
      <vt:variant>
        <vt:lpwstr>https://doi.org/10.1017/S147474642000038X</vt:lpwstr>
      </vt:variant>
      <vt:variant>
        <vt:lpwstr/>
      </vt:variant>
      <vt:variant>
        <vt:i4>1507419</vt:i4>
      </vt:variant>
      <vt:variant>
        <vt:i4>770</vt:i4>
      </vt:variant>
      <vt:variant>
        <vt:i4>0</vt:i4>
      </vt:variant>
      <vt:variant>
        <vt:i4>5</vt:i4>
      </vt:variant>
      <vt:variant>
        <vt:lpwstr>https://doi.org/10.1177/09500170211063094</vt:lpwstr>
      </vt:variant>
      <vt:variant>
        <vt:lpwstr/>
      </vt:variant>
      <vt:variant>
        <vt:i4>1376285</vt:i4>
      </vt:variant>
      <vt:variant>
        <vt:i4>767</vt:i4>
      </vt:variant>
      <vt:variant>
        <vt:i4>0</vt:i4>
      </vt:variant>
      <vt:variant>
        <vt:i4>5</vt:i4>
      </vt:variant>
      <vt:variant>
        <vt:lpwstr>https://doi.org/10.1017/S1474746423000027</vt:lpwstr>
      </vt:variant>
      <vt:variant>
        <vt:lpwstr/>
      </vt:variant>
      <vt:variant>
        <vt:i4>1310805</vt:i4>
      </vt:variant>
      <vt:variant>
        <vt:i4>764</vt:i4>
      </vt:variant>
      <vt:variant>
        <vt:i4>0</vt:i4>
      </vt:variant>
      <vt:variant>
        <vt:i4>5</vt:i4>
      </vt:variant>
      <vt:variant>
        <vt:lpwstr>https://doi.org/10.1177/10522263251394313</vt:lpwstr>
      </vt:variant>
      <vt:variant>
        <vt:lpwstr/>
      </vt:variant>
      <vt:variant>
        <vt:i4>7340146</vt:i4>
      </vt:variant>
      <vt:variant>
        <vt:i4>761</vt:i4>
      </vt:variant>
      <vt:variant>
        <vt:i4>0</vt:i4>
      </vt:variant>
      <vt:variant>
        <vt:i4>5</vt:i4>
      </vt:variant>
      <vt:variant>
        <vt:lpwstr>https://doi.org/10.3233/JVR-191010</vt:lpwstr>
      </vt:variant>
      <vt:variant>
        <vt:lpwstr/>
      </vt:variant>
      <vt:variant>
        <vt:i4>393282</vt:i4>
      </vt:variant>
      <vt:variant>
        <vt:i4>758</vt:i4>
      </vt:variant>
      <vt:variant>
        <vt:i4>0</vt:i4>
      </vt:variant>
      <vt:variant>
        <vt:i4>5</vt:i4>
      </vt:variant>
      <vt:variant>
        <vt:lpwstr>https://doi.org/10.1080/09638288.2018.1481150</vt:lpwstr>
      </vt:variant>
      <vt:variant>
        <vt:lpwstr/>
      </vt:variant>
      <vt:variant>
        <vt:i4>1376351</vt:i4>
      </vt:variant>
      <vt:variant>
        <vt:i4>755</vt:i4>
      </vt:variant>
      <vt:variant>
        <vt:i4>0</vt:i4>
      </vt:variant>
      <vt:variant>
        <vt:i4>5</vt:i4>
      </vt:variant>
      <vt:variant>
        <vt:lpwstr>https://doi.org/10.1177/00343552241265319</vt:lpwstr>
      </vt:variant>
      <vt:variant>
        <vt:lpwstr/>
      </vt:variant>
      <vt:variant>
        <vt:i4>1048657</vt:i4>
      </vt:variant>
      <vt:variant>
        <vt:i4>752</vt:i4>
      </vt:variant>
      <vt:variant>
        <vt:i4>0</vt:i4>
      </vt:variant>
      <vt:variant>
        <vt:i4>5</vt:i4>
      </vt:variant>
      <vt:variant>
        <vt:lpwstr>https://doi.org/10.1007/978-3-031-96315-5</vt:lpwstr>
      </vt:variant>
      <vt:variant>
        <vt:lpwstr/>
      </vt:variant>
      <vt:variant>
        <vt:i4>6357024</vt:i4>
      </vt:variant>
      <vt:variant>
        <vt:i4>749</vt:i4>
      </vt:variant>
      <vt:variant>
        <vt:i4>0</vt:i4>
      </vt:variant>
      <vt:variant>
        <vt:i4>5</vt:i4>
      </vt:variant>
      <vt:variant>
        <vt:lpwstr>https://doi.org/10.3390/su17093785</vt:lpwstr>
      </vt:variant>
      <vt:variant>
        <vt:lpwstr/>
      </vt:variant>
      <vt:variant>
        <vt:i4>1376344</vt:i4>
      </vt:variant>
      <vt:variant>
        <vt:i4>746</vt:i4>
      </vt:variant>
      <vt:variant>
        <vt:i4>0</vt:i4>
      </vt:variant>
      <vt:variant>
        <vt:i4>5</vt:i4>
      </vt:variant>
      <vt:variant>
        <vt:lpwstr>https://doi.org/10.1177/10522263251326524</vt:lpwstr>
      </vt:variant>
      <vt:variant>
        <vt:lpwstr/>
      </vt:variant>
      <vt:variant>
        <vt:i4>3407969</vt:i4>
      </vt:variant>
      <vt:variant>
        <vt:i4>743</vt:i4>
      </vt:variant>
      <vt:variant>
        <vt:i4>0</vt:i4>
      </vt:variant>
      <vt:variant>
        <vt:i4>5</vt:i4>
      </vt:variant>
      <vt:variant>
        <vt:lpwstr>https://doi.org/10.1891/JARC-2025-0021</vt:lpwstr>
      </vt:variant>
      <vt:variant>
        <vt:lpwstr/>
      </vt:variant>
      <vt:variant>
        <vt:i4>1441875</vt:i4>
      </vt:variant>
      <vt:variant>
        <vt:i4>740</vt:i4>
      </vt:variant>
      <vt:variant>
        <vt:i4>0</vt:i4>
      </vt:variant>
      <vt:variant>
        <vt:i4>5</vt:i4>
      </vt:variant>
      <vt:variant>
        <vt:lpwstr>https://doi.org/10.1177/1044207317739405</vt:lpwstr>
      </vt:variant>
      <vt:variant>
        <vt:lpwstr/>
      </vt:variant>
      <vt:variant>
        <vt:i4>8126587</vt:i4>
      </vt:variant>
      <vt:variant>
        <vt:i4>737</vt:i4>
      </vt:variant>
      <vt:variant>
        <vt:i4>0</vt:i4>
      </vt:variant>
      <vt:variant>
        <vt:i4>5</vt:i4>
      </vt:variant>
      <vt:variant>
        <vt:lpwstr>https://doi.org/10.3233/JVR-140697</vt:lpwstr>
      </vt:variant>
      <vt:variant>
        <vt:lpwstr/>
      </vt:variant>
      <vt:variant>
        <vt:i4>7864434</vt:i4>
      </vt:variant>
      <vt:variant>
        <vt:i4>734</vt:i4>
      </vt:variant>
      <vt:variant>
        <vt:i4>0</vt:i4>
      </vt:variant>
      <vt:variant>
        <vt:i4>5</vt:i4>
      </vt:variant>
      <vt:variant>
        <vt:lpwstr>https://doi.org/10.3233/JVR-191018</vt:lpwstr>
      </vt:variant>
      <vt:variant>
        <vt:lpwstr/>
      </vt:variant>
      <vt:variant>
        <vt:i4>1048664</vt:i4>
      </vt:variant>
      <vt:variant>
        <vt:i4>731</vt:i4>
      </vt:variant>
      <vt:variant>
        <vt:i4>0</vt:i4>
      </vt:variant>
      <vt:variant>
        <vt:i4>5</vt:i4>
      </vt:variant>
      <vt:variant>
        <vt:lpwstr>https://doi.org/10.1177/00343552231176535</vt:lpwstr>
      </vt:variant>
      <vt:variant>
        <vt:lpwstr/>
      </vt:variant>
      <vt:variant>
        <vt:i4>1310810</vt:i4>
      </vt:variant>
      <vt:variant>
        <vt:i4>728</vt:i4>
      </vt:variant>
      <vt:variant>
        <vt:i4>0</vt:i4>
      </vt:variant>
      <vt:variant>
        <vt:i4>5</vt:i4>
      </vt:variant>
      <vt:variant>
        <vt:lpwstr>https://doi.org/10.1177/00343552221130304</vt:lpwstr>
      </vt:variant>
      <vt:variant>
        <vt:lpwstr/>
      </vt:variant>
      <vt:variant>
        <vt:i4>7340149</vt:i4>
      </vt:variant>
      <vt:variant>
        <vt:i4>725</vt:i4>
      </vt:variant>
      <vt:variant>
        <vt:i4>0</vt:i4>
      </vt:variant>
      <vt:variant>
        <vt:i4>5</vt:i4>
      </vt:variant>
      <vt:variant>
        <vt:lpwstr>https://doi.org/10.3233/JVR-180978</vt:lpwstr>
      </vt:variant>
      <vt:variant>
        <vt:lpwstr/>
      </vt:variant>
      <vt:variant>
        <vt:i4>3342453</vt:i4>
      </vt:variant>
      <vt:variant>
        <vt:i4>722</vt:i4>
      </vt:variant>
      <vt:variant>
        <vt:i4>0</vt:i4>
      </vt:variant>
      <vt:variant>
        <vt:i4>5</vt:i4>
      </vt:variant>
      <vt:variant>
        <vt:lpwstr>https://doi.org/10.1375/jdmr.1.1.10</vt:lpwstr>
      </vt:variant>
      <vt:variant>
        <vt:lpwstr/>
      </vt:variant>
      <vt:variant>
        <vt:i4>7864440</vt:i4>
      </vt:variant>
      <vt:variant>
        <vt:i4>719</vt:i4>
      </vt:variant>
      <vt:variant>
        <vt:i4>0</vt:i4>
      </vt:variant>
      <vt:variant>
        <vt:i4>5</vt:i4>
      </vt:variant>
      <vt:variant>
        <vt:lpwstr>https://doi.org/10.3233/JVR-201081</vt:lpwstr>
      </vt:variant>
      <vt:variant>
        <vt:lpwstr/>
      </vt:variant>
      <vt:variant>
        <vt:i4>1179742</vt:i4>
      </vt:variant>
      <vt:variant>
        <vt:i4>716</vt:i4>
      </vt:variant>
      <vt:variant>
        <vt:i4>0</vt:i4>
      </vt:variant>
      <vt:variant>
        <vt:i4>5</vt:i4>
      </vt:variant>
      <vt:variant>
        <vt:lpwstr>https://doi.org/10.1177/0034355218796276</vt:lpwstr>
      </vt:variant>
      <vt:variant>
        <vt:lpwstr/>
      </vt:variant>
      <vt:variant>
        <vt:i4>1769561</vt:i4>
      </vt:variant>
      <vt:variant>
        <vt:i4>713</vt:i4>
      </vt:variant>
      <vt:variant>
        <vt:i4>0</vt:i4>
      </vt:variant>
      <vt:variant>
        <vt:i4>5</vt:i4>
      </vt:variant>
      <vt:variant>
        <vt:lpwstr>https://doi.org/10.1177/0034355219889409</vt:lpwstr>
      </vt:variant>
      <vt:variant>
        <vt:lpwstr/>
      </vt:variant>
      <vt:variant>
        <vt:i4>3735679</vt:i4>
      </vt:variant>
      <vt:variant>
        <vt:i4>710</vt:i4>
      </vt:variant>
      <vt:variant>
        <vt:i4>0</vt:i4>
      </vt:variant>
      <vt:variant>
        <vt:i4>5</vt:i4>
      </vt:variant>
      <vt:variant>
        <vt:lpwstr>https://doi.org/10.1891/2168-6653.31.2.135</vt:lpwstr>
      </vt:variant>
      <vt:variant>
        <vt:lpwstr/>
      </vt:variant>
      <vt:variant>
        <vt:i4>655390</vt:i4>
      </vt:variant>
      <vt:variant>
        <vt:i4>707</vt:i4>
      </vt:variant>
      <vt:variant>
        <vt:i4>0</vt:i4>
      </vt:variant>
      <vt:variant>
        <vt:i4>5</vt:i4>
      </vt:variant>
      <vt:variant>
        <vt:lpwstr>https://doi.org/10.1007/s10926-016-9655-0</vt:lpwstr>
      </vt:variant>
      <vt:variant>
        <vt:lpwstr/>
      </vt:variant>
      <vt:variant>
        <vt:i4>589848</vt:i4>
      </vt:variant>
      <vt:variant>
        <vt:i4>704</vt:i4>
      </vt:variant>
      <vt:variant>
        <vt:i4>0</vt:i4>
      </vt:variant>
      <vt:variant>
        <vt:i4>5</vt:i4>
      </vt:variant>
      <vt:variant>
        <vt:lpwstr>https://research.ebsco.com/plink/eba0f98c-1300-32a0-8d18-ec22280e3964</vt:lpwstr>
      </vt:variant>
      <vt:variant>
        <vt:lpwstr/>
      </vt:variant>
      <vt:variant>
        <vt:i4>6946876</vt:i4>
      </vt:variant>
      <vt:variant>
        <vt:i4>701</vt:i4>
      </vt:variant>
      <vt:variant>
        <vt:i4>0</vt:i4>
      </vt:variant>
      <vt:variant>
        <vt:i4>5</vt:i4>
      </vt:variant>
      <vt:variant>
        <vt:lpwstr>https://doi.org/10.1007/s41542-024-00185-z</vt:lpwstr>
      </vt:variant>
      <vt:variant>
        <vt:lpwstr/>
      </vt:variant>
      <vt:variant>
        <vt:i4>8061041</vt:i4>
      </vt:variant>
      <vt:variant>
        <vt:i4>698</vt:i4>
      </vt:variant>
      <vt:variant>
        <vt:i4>0</vt:i4>
      </vt:variant>
      <vt:variant>
        <vt:i4>5</vt:i4>
      </vt:variant>
      <vt:variant>
        <vt:lpwstr>https://doi.org/10.3233/JVR-221212</vt:lpwstr>
      </vt:variant>
      <vt:variant>
        <vt:lpwstr/>
      </vt:variant>
      <vt:variant>
        <vt:i4>7340117</vt:i4>
      </vt:variant>
      <vt:variant>
        <vt:i4>695</vt:i4>
      </vt:variant>
      <vt:variant>
        <vt:i4>0</vt:i4>
      </vt:variant>
      <vt:variant>
        <vt:i4>5</vt:i4>
      </vt:variant>
      <vt:variant>
        <vt:lpwstr>https://doi.org/10.1007/978-3-031-74994-0_15</vt:lpwstr>
      </vt:variant>
      <vt:variant>
        <vt:lpwstr/>
      </vt:variant>
      <vt:variant>
        <vt:i4>2555962</vt:i4>
      </vt:variant>
      <vt:variant>
        <vt:i4>692</vt:i4>
      </vt:variant>
      <vt:variant>
        <vt:i4>0</vt:i4>
      </vt:variant>
      <vt:variant>
        <vt:i4>5</vt:i4>
      </vt:variant>
      <vt:variant>
        <vt:lpwstr>https://doi.org/10.1007/s10926-024-10197-9</vt:lpwstr>
      </vt:variant>
      <vt:variant>
        <vt:lpwstr/>
      </vt:variant>
      <vt:variant>
        <vt:i4>2818101</vt:i4>
      </vt:variant>
      <vt:variant>
        <vt:i4>689</vt:i4>
      </vt:variant>
      <vt:variant>
        <vt:i4>0</vt:i4>
      </vt:variant>
      <vt:variant>
        <vt:i4>5</vt:i4>
      </vt:variant>
      <vt:variant>
        <vt:lpwstr>https://doi.org/10.1007/s10926-022-10067-2</vt:lpwstr>
      </vt:variant>
      <vt:variant>
        <vt:lpwstr/>
      </vt:variant>
      <vt:variant>
        <vt:i4>3080247</vt:i4>
      </vt:variant>
      <vt:variant>
        <vt:i4>686</vt:i4>
      </vt:variant>
      <vt:variant>
        <vt:i4>0</vt:i4>
      </vt:variant>
      <vt:variant>
        <vt:i4>5</vt:i4>
      </vt:variant>
      <vt:variant>
        <vt:lpwstr>https://doi.org/10.1007/s10926-024-10242-7</vt:lpwstr>
      </vt:variant>
      <vt:variant>
        <vt:lpwstr/>
      </vt:variant>
      <vt:variant>
        <vt:i4>720971</vt:i4>
      </vt:variant>
      <vt:variant>
        <vt:i4>683</vt:i4>
      </vt:variant>
      <vt:variant>
        <vt:i4>0</vt:i4>
      </vt:variant>
      <vt:variant>
        <vt:i4>5</vt:i4>
      </vt:variant>
      <vt:variant>
        <vt:lpwstr>https://doi.org/10.1080/02185385.2013.818202</vt:lpwstr>
      </vt:variant>
      <vt:variant>
        <vt:lpwstr/>
      </vt:variant>
      <vt:variant>
        <vt:i4>3670127</vt:i4>
      </vt:variant>
      <vt:variant>
        <vt:i4>680</vt:i4>
      </vt:variant>
      <vt:variant>
        <vt:i4>0</vt:i4>
      </vt:variant>
      <vt:variant>
        <vt:i4>5</vt:i4>
      </vt:variant>
      <vt:variant>
        <vt:lpwstr>https://doi.org/10.1111/spol.12552</vt:lpwstr>
      </vt:variant>
      <vt:variant>
        <vt:lpwstr/>
      </vt:variant>
      <vt:variant>
        <vt:i4>1966162</vt:i4>
      </vt:variant>
      <vt:variant>
        <vt:i4>677</vt:i4>
      </vt:variant>
      <vt:variant>
        <vt:i4>0</vt:i4>
      </vt:variant>
      <vt:variant>
        <vt:i4>5</vt:i4>
      </vt:variant>
      <vt:variant>
        <vt:lpwstr>https://doi.org/10.1177/0170840619900292</vt:lpwstr>
      </vt:variant>
      <vt:variant>
        <vt:lpwstr/>
      </vt:variant>
      <vt:variant>
        <vt:i4>7995448</vt:i4>
      </vt:variant>
      <vt:variant>
        <vt:i4>674</vt:i4>
      </vt:variant>
      <vt:variant>
        <vt:i4>0</vt:i4>
      </vt:variant>
      <vt:variant>
        <vt:i4>5</vt:i4>
      </vt:variant>
      <vt:variant>
        <vt:lpwstr>https://doi.org/10.1007/BF03025826</vt:lpwstr>
      </vt:variant>
      <vt:variant>
        <vt:lpwstr/>
      </vt:variant>
      <vt:variant>
        <vt:i4>3407988</vt:i4>
      </vt:variant>
      <vt:variant>
        <vt:i4>671</vt:i4>
      </vt:variant>
      <vt:variant>
        <vt:i4>0</vt:i4>
      </vt:variant>
      <vt:variant>
        <vt:i4>5</vt:i4>
      </vt:variant>
      <vt:variant>
        <vt:lpwstr>https://doi.org/10.1111/1748-8583.12154</vt:lpwstr>
      </vt:variant>
      <vt:variant>
        <vt:lpwstr/>
      </vt:variant>
      <vt:variant>
        <vt:i4>1376278</vt:i4>
      </vt:variant>
      <vt:variant>
        <vt:i4>668</vt:i4>
      </vt:variant>
      <vt:variant>
        <vt:i4>0</vt:i4>
      </vt:variant>
      <vt:variant>
        <vt:i4>5</vt:i4>
      </vt:variant>
      <vt:variant>
        <vt:lpwstr>https://doi.org/10.1017/S0047279414000890</vt:lpwstr>
      </vt:variant>
      <vt:variant>
        <vt:lpwstr/>
      </vt:variant>
      <vt:variant>
        <vt:i4>5177444</vt:i4>
      </vt:variant>
      <vt:variant>
        <vt:i4>665</vt:i4>
      </vt:variant>
      <vt:variant>
        <vt:i4>0</vt:i4>
      </vt:variant>
      <vt:variant>
        <vt:i4>5</vt:i4>
      </vt:variant>
      <vt:variant>
        <vt:lpwstr>https://doi.org/10.1007/978-3-031-96315-5_2</vt:lpwstr>
      </vt:variant>
      <vt:variant>
        <vt:lpwstr/>
      </vt:variant>
      <vt:variant>
        <vt:i4>1179737</vt:i4>
      </vt:variant>
      <vt:variant>
        <vt:i4>662</vt:i4>
      </vt:variant>
      <vt:variant>
        <vt:i4>0</vt:i4>
      </vt:variant>
      <vt:variant>
        <vt:i4>5</vt:i4>
      </vt:variant>
      <vt:variant>
        <vt:lpwstr>https://doi.org/10.1177/00221856231159512</vt:lpwstr>
      </vt:variant>
      <vt:variant>
        <vt:lpwstr/>
      </vt:variant>
      <vt:variant>
        <vt:i4>3276913</vt:i4>
      </vt:variant>
      <vt:variant>
        <vt:i4>659</vt:i4>
      </vt:variant>
      <vt:variant>
        <vt:i4>0</vt:i4>
      </vt:variant>
      <vt:variant>
        <vt:i4>5</vt:i4>
      </vt:variant>
      <vt:variant>
        <vt:lpwstr>https://doi.org/10.1111/1467-8462.70035</vt:lpwstr>
      </vt:variant>
      <vt:variant>
        <vt:lpwstr/>
      </vt:variant>
      <vt:variant>
        <vt:i4>3080294</vt:i4>
      </vt:variant>
      <vt:variant>
        <vt:i4>656</vt:i4>
      </vt:variant>
      <vt:variant>
        <vt:i4>0</vt:i4>
      </vt:variant>
      <vt:variant>
        <vt:i4>5</vt:i4>
      </vt:variant>
      <vt:variant>
        <vt:lpwstr>https://doi.org/10.1111/padm.12545</vt:lpwstr>
      </vt:variant>
      <vt:variant>
        <vt:lpwstr/>
      </vt:variant>
      <vt:variant>
        <vt:i4>1376282</vt:i4>
      </vt:variant>
      <vt:variant>
        <vt:i4>653</vt:i4>
      </vt:variant>
      <vt:variant>
        <vt:i4>0</vt:i4>
      </vt:variant>
      <vt:variant>
        <vt:i4>5</vt:i4>
      </vt:variant>
      <vt:variant>
        <vt:lpwstr>https://doi.org/10.1017/S1474746420000421</vt:lpwstr>
      </vt:variant>
      <vt:variant>
        <vt:lpwstr/>
      </vt:variant>
      <vt:variant>
        <vt:i4>7602292</vt:i4>
      </vt:variant>
      <vt:variant>
        <vt:i4>650</vt:i4>
      </vt:variant>
      <vt:variant>
        <vt:i4>0</vt:i4>
      </vt:variant>
      <vt:variant>
        <vt:i4>5</vt:i4>
      </vt:variant>
      <vt:variant>
        <vt:lpwstr>https://doi.org/10.3233/JVR-170862</vt:lpwstr>
      </vt:variant>
      <vt:variant>
        <vt:lpwstr/>
      </vt:variant>
      <vt:variant>
        <vt:i4>3997795</vt:i4>
      </vt:variant>
      <vt:variant>
        <vt:i4>647</vt:i4>
      </vt:variant>
      <vt:variant>
        <vt:i4>0</vt:i4>
      </vt:variant>
      <vt:variant>
        <vt:i4>5</vt:i4>
      </vt:variant>
      <vt:variant>
        <vt:lpwstr>https://doi.org/10.46692/9781529223026.009</vt:lpwstr>
      </vt:variant>
      <vt:variant>
        <vt:lpwstr/>
      </vt:variant>
      <vt:variant>
        <vt:i4>7733360</vt:i4>
      </vt:variant>
      <vt:variant>
        <vt:i4>644</vt:i4>
      </vt:variant>
      <vt:variant>
        <vt:i4>0</vt:i4>
      </vt:variant>
      <vt:variant>
        <vt:i4>5</vt:i4>
      </vt:variant>
      <vt:variant>
        <vt:lpwstr>https://doi.org/10.3233/JVR-170921</vt:lpwstr>
      </vt:variant>
      <vt:variant>
        <vt:lpwstr/>
      </vt:variant>
      <vt:variant>
        <vt:i4>589852</vt:i4>
      </vt:variant>
      <vt:variant>
        <vt:i4>641</vt:i4>
      </vt:variant>
      <vt:variant>
        <vt:i4>0</vt:i4>
      </vt:variant>
      <vt:variant>
        <vt:i4>5</vt:i4>
      </vt:variant>
      <vt:variant>
        <vt:lpwstr>https://research.ebsco.com/plink/7b7d2958-56c9-3023-8be8-f769a716b36d</vt:lpwstr>
      </vt:variant>
      <vt:variant>
        <vt:lpwstr/>
      </vt:variant>
      <vt:variant>
        <vt:i4>7602281</vt:i4>
      </vt:variant>
      <vt:variant>
        <vt:i4>638</vt:i4>
      </vt:variant>
      <vt:variant>
        <vt:i4>0</vt:i4>
      </vt:variant>
      <vt:variant>
        <vt:i4>5</vt:i4>
      </vt:variant>
      <vt:variant>
        <vt:lpwstr>https://doi.org/10.3233/jvr-2007-00359</vt:lpwstr>
      </vt:variant>
      <vt:variant>
        <vt:lpwstr/>
      </vt:variant>
      <vt:variant>
        <vt:i4>131099</vt:i4>
      </vt:variant>
      <vt:variant>
        <vt:i4>635</vt:i4>
      </vt:variant>
      <vt:variant>
        <vt:i4>0</vt:i4>
      </vt:variant>
      <vt:variant>
        <vt:i4>5</vt:i4>
      </vt:variant>
      <vt:variant>
        <vt:lpwstr>https://doi.org/10.1007/s10926-009-9225-9</vt:lpwstr>
      </vt:variant>
      <vt:variant>
        <vt:lpwstr/>
      </vt:variant>
      <vt:variant>
        <vt:i4>5242971</vt:i4>
      </vt:variant>
      <vt:variant>
        <vt:i4>632</vt:i4>
      </vt:variant>
      <vt:variant>
        <vt:i4>0</vt:i4>
      </vt:variant>
      <vt:variant>
        <vt:i4>5</vt:i4>
      </vt:variant>
      <vt:variant>
        <vt:lpwstr>https://doi.org/10.18291/njwls.147335</vt:lpwstr>
      </vt:variant>
      <vt:variant>
        <vt:lpwstr/>
      </vt:variant>
      <vt:variant>
        <vt:i4>1245271</vt:i4>
      </vt:variant>
      <vt:variant>
        <vt:i4>629</vt:i4>
      </vt:variant>
      <vt:variant>
        <vt:i4>0</vt:i4>
      </vt:variant>
      <vt:variant>
        <vt:i4>5</vt:i4>
      </vt:variant>
      <vt:variant>
        <vt:lpwstr>https://doi.org/10.1177/10519815251335786</vt:lpwstr>
      </vt:variant>
      <vt:variant>
        <vt:lpwstr/>
      </vt:variant>
      <vt:variant>
        <vt:i4>1376278</vt:i4>
      </vt:variant>
      <vt:variant>
        <vt:i4>626</vt:i4>
      </vt:variant>
      <vt:variant>
        <vt:i4>0</vt:i4>
      </vt:variant>
      <vt:variant>
        <vt:i4>5</vt:i4>
      </vt:variant>
      <vt:variant>
        <vt:lpwstr>https://doi.org/10.1017/S0047279418000491</vt:lpwstr>
      </vt:variant>
      <vt:variant>
        <vt:lpwstr/>
      </vt:variant>
      <vt:variant>
        <vt:i4>2949222</vt:i4>
      </vt:variant>
      <vt:variant>
        <vt:i4>623</vt:i4>
      </vt:variant>
      <vt:variant>
        <vt:i4>0</vt:i4>
      </vt:variant>
      <vt:variant>
        <vt:i4>5</vt:i4>
      </vt:variant>
      <vt:variant>
        <vt:lpwstr>https://doi.org/10.2767/034981</vt:lpwstr>
      </vt:variant>
      <vt:variant>
        <vt:lpwstr/>
      </vt:variant>
      <vt:variant>
        <vt:i4>2490475</vt:i4>
      </vt:variant>
      <vt:variant>
        <vt:i4>620</vt:i4>
      </vt:variant>
      <vt:variant>
        <vt:i4>0</vt:i4>
      </vt:variant>
      <vt:variant>
        <vt:i4>5</vt:i4>
      </vt:variant>
      <vt:variant>
        <vt:lpwstr>https://doi.org/10.2767/273007</vt:lpwstr>
      </vt:variant>
      <vt:variant>
        <vt:lpwstr/>
      </vt:variant>
      <vt:variant>
        <vt:i4>2818152</vt:i4>
      </vt:variant>
      <vt:variant>
        <vt:i4>617</vt:i4>
      </vt:variant>
      <vt:variant>
        <vt:i4>0</vt:i4>
      </vt:variant>
      <vt:variant>
        <vt:i4>5</vt:i4>
      </vt:variant>
      <vt:variant>
        <vt:lpwstr>https://doi.org/10.2767/359088</vt:lpwstr>
      </vt:variant>
      <vt:variant>
        <vt:lpwstr/>
      </vt:variant>
      <vt:variant>
        <vt:i4>5898332</vt:i4>
      </vt:variant>
      <vt:variant>
        <vt:i4>614</vt:i4>
      </vt:variant>
      <vt:variant>
        <vt:i4>0</vt:i4>
      </vt:variant>
      <vt:variant>
        <vt:i4>5</vt:i4>
      </vt:variant>
      <vt:variant>
        <vt:lpwstr>https://doi.org/10.18291/njwls.128260</vt:lpwstr>
      </vt:variant>
      <vt:variant>
        <vt:lpwstr/>
      </vt:variant>
      <vt:variant>
        <vt:i4>1114195</vt:i4>
      </vt:variant>
      <vt:variant>
        <vt:i4>611</vt:i4>
      </vt:variant>
      <vt:variant>
        <vt:i4>0</vt:i4>
      </vt:variant>
      <vt:variant>
        <vt:i4>5</vt:i4>
      </vt:variant>
      <vt:variant>
        <vt:lpwstr>https://doi.org/10.1177/10519815251357580</vt:lpwstr>
      </vt:variant>
      <vt:variant>
        <vt:lpwstr/>
      </vt:variant>
      <vt:variant>
        <vt:i4>3473508</vt:i4>
      </vt:variant>
      <vt:variant>
        <vt:i4>608</vt:i4>
      </vt:variant>
      <vt:variant>
        <vt:i4>0</vt:i4>
      </vt:variant>
      <vt:variant>
        <vt:i4>5</vt:i4>
      </vt:variant>
      <vt:variant>
        <vt:lpwstr>https://doi.org/10.1016/j.socscimed.2024.116742</vt:lpwstr>
      </vt:variant>
      <vt:variant>
        <vt:lpwstr/>
      </vt:variant>
      <vt:variant>
        <vt:i4>262223</vt:i4>
      </vt:variant>
      <vt:variant>
        <vt:i4>605</vt:i4>
      </vt:variant>
      <vt:variant>
        <vt:i4>0</vt:i4>
      </vt:variant>
      <vt:variant>
        <vt:i4>5</vt:i4>
      </vt:variant>
      <vt:variant>
        <vt:lpwstr>https://doi.org/10.1080/09638288.2023.2181411</vt:lpwstr>
      </vt:variant>
      <vt:variant>
        <vt:lpwstr/>
      </vt:variant>
      <vt:variant>
        <vt:i4>262223</vt:i4>
      </vt:variant>
      <vt:variant>
        <vt:i4>602</vt:i4>
      </vt:variant>
      <vt:variant>
        <vt:i4>0</vt:i4>
      </vt:variant>
      <vt:variant>
        <vt:i4>5</vt:i4>
      </vt:variant>
      <vt:variant>
        <vt:lpwstr>https://doi.org/10.1080/09638288.2023.2181411</vt:lpwstr>
      </vt:variant>
      <vt:variant>
        <vt:lpwstr/>
      </vt:variant>
      <vt:variant>
        <vt:i4>2162744</vt:i4>
      </vt:variant>
      <vt:variant>
        <vt:i4>599</vt:i4>
      </vt:variant>
      <vt:variant>
        <vt:i4>0</vt:i4>
      </vt:variant>
      <vt:variant>
        <vt:i4>5</vt:i4>
      </vt:variant>
      <vt:variant>
        <vt:lpwstr>https://doi.org/10.1007/s10551-022-05095-0</vt:lpwstr>
      </vt:variant>
      <vt:variant>
        <vt:lpwstr/>
      </vt:variant>
      <vt:variant>
        <vt:i4>2687093</vt:i4>
      </vt:variant>
      <vt:variant>
        <vt:i4>596</vt:i4>
      </vt:variant>
      <vt:variant>
        <vt:i4>0</vt:i4>
      </vt:variant>
      <vt:variant>
        <vt:i4>5</vt:i4>
      </vt:variant>
      <vt:variant>
        <vt:lpwstr>https://doi.org/10.1111/asap.12138</vt:lpwstr>
      </vt:variant>
      <vt:variant>
        <vt:lpwstr/>
      </vt:variant>
      <vt:variant>
        <vt:i4>786461</vt:i4>
      </vt:variant>
      <vt:variant>
        <vt:i4>593</vt:i4>
      </vt:variant>
      <vt:variant>
        <vt:i4>0</vt:i4>
      </vt:variant>
      <vt:variant>
        <vt:i4>5</vt:i4>
      </vt:variant>
      <vt:variant>
        <vt:lpwstr>https://doi.org/10.1007/s10926-010-9252-6</vt:lpwstr>
      </vt:variant>
      <vt:variant>
        <vt:lpwstr/>
      </vt:variant>
      <vt:variant>
        <vt:i4>851996</vt:i4>
      </vt:variant>
      <vt:variant>
        <vt:i4>590</vt:i4>
      </vt:variant>
      <vt:variant>
        <vt:i4>0</vt:i4>
      </vt:variant>
      <vt:variant>
        <vt:i4>5</vt:i4>
      </vt:variant>
      <vt:variant>
        <vt:lpwstr>https://doi.org/10.1007/s10926-010-9243-7</vt:lpwstr>
      </vt:variant>
      <vt:variant>
        <vt:lpwstr/>
      </vt:variant>
      <vt:variant>
        <vt:i4>1769557</vt:i4>
      </vt:variant>
      <vt:variant>
        <vt:i4>587</vt:i4>
      </vt:variant>
      <vt:variant>
        <vt:i4>0</vt:i4>
      </vt:variant>
      <vt:variant>
        <vt:i4>5</vt:i4>
      </vt:variant>
      <vt:variant>
        <vt:lpwstr>https://doi.org/10.1177/0885728809344590</vt:lpwstr>
      </vt:variant>
      <vt:variant>
        <vt:lpwstr/>
      </vt:variant>
      <vt:variant>
        <vt:i4>7667826</vt:i4>
      </vt:variant>
      <vt:variant>
        <vt:i4>584</vt:i4>
      </vt:variant>
      <vt:variant>
        <vt:i4>0</vt:i4>
      </vt:variant>
      <vt:variant>
        <vt:i4>5</vt:i4>
      </vt:variant>
      <vt:variant>
        <vt:lpwstr>https://doi.org/10.3233/JVR-191015</vt:lpwstr>
      </vt:variant>
      <vt:variant>
        <vt:lpwstr/>
      </vt:variant>
      <vt:variant>
        <vt:i4>8323193</vt:i4>
      </vt:variant>
      <vt:variant>
        <vt:i4>581</vt:i4>
      </vt:variant>
      <vt:variant>
        <vt:i4>0</vt:i4>
      </vt:variant>
      <vt:variant>
        <vt:i4>5</vt:i4>
      </vt:variant>
      <vt:variant>
        <vt:lpwstr>https://doi.org/10.1017/jrc.2013.2</vt:lpwstr>
      </vt:variant>
      <vt:variant>
        <vt:lpwstr/>
      </vt:variant>
      <vt:variant>
        <vt:i4>5439554</vt:i4>
      </vt:variant>
      <vt:variant>
        <vt:i4>578</vt:i4>
      </vt:variant>
      <vt:variant>
        <vt:i4>0</vt:i4>
      </vt:variant>
      <vt:variant>
        <vt:i4>5</vt:i4>
      </vt:variant>
      <vt:variant>
        <vt:lpwstr>https://research.ebsco.com/plink/16ea74c2-4e65-315f-9919-93051f7c3b74</vt:lpwstr>
      </vt:variant>
      <vt:variant>
        <vt:lpwstr/>
      </vt:variant>
      <vt:variant>
        <vt:i4>6029333</vt:i4>
      </vt:variant>
      <vt:variant>
        <vt:i4>575</vt:i4>
      </vt:variant>
      <vt:variant>
        <vt:i4>0</vt:i4>
      </vt:variant>
      <vt:variant>
        <vt:i4>5</vt:i4>
      </vt:variant>
      <vt:variant>
        <vt:lpwstr>https://research.ebsco.com/plink/5fbd7b22-2880-3265-a78b-51b737e489a4</vt:lpwstr>
      </vt:variant>
      <vt:variant>
        <vt:lpwstr/>
      </vt:variant>
      <vt:variant>
        <vt:i4>1900636</vt:i4>
      </vt:variant>
      <vt:variant>
        <vt:i4>572</vt:i4>
      </vt:variant>
      <vt:variant>
        <vt:i4>0</vt:i4>
      </vt:variant>
      <vt:variant>
        <vt:i4>5</vt:i4>
      </vt:variant>
      <vt:variant>
        <vt:lpwstr>https://doi.org/10.1177/10522263251413286</vt:lpwstr>
      </vt:variant>
      <vt:variant>
        <vt:lpwstr/>
      </vt:variant>
      <vt:variant>
        <vt:i4>1638483</vt:i4>
      </vt:variant>
      <vt:variant>
        <vt:i4>569</vt:i4>
      </vt:variant>
      <vt:variant>
        <vt:i4>0</vt:i4>
      </vt:variant>
      <vt:variant>
        <vt:i4>5</vt:i4>
      </vt:variant>
      <vt:variant>
        <vt:lpwstr>https://doi.org/10.1177/10519815251320275</vt:lpwstr>
      </vt:variant>
      <vt:variant>
        <vt:lpwstr/>
      </vt:variant>
      <vt:variant>
        <vt:i4>1114131</vt:i4>
      </vt:variant>
      <vt:variant>
        <vt:i4>566</vt:i4>
      </vt:variant>
      <vt:variant>
        <vt:i4>0</vt:i4>
      </vt:variant>
      <vt:variant>
        <vt:i4>5</vt:i4>
      </vt:variant>
      <vt:variant>
        <vt:lpwstr>https://doi.org/10.1017/S1474746425100870</vt:lpwstr>
      </vt:variant>
      <vt:variant>
        <vt:lpwstr/>
      </vt:variant>
      <vt:variant>
        <vt:i4>3473506</vt:i4>
      </vt:variant>
      <vt:variant>
        <vt:i4>563</vt:i4>
      </vt:variant>
      <vt:variant>
        <vt:i4>0</vt:i4>
      </vt:variant>
      <vt:variant>
        <vt:i4>5</vt:i4>
      </vt:variant>
      <vt:variant>
        <vt:lpwstr>https://doi.org/10.46692/9781529223026.011</vt:lpwstr>
      </vt:variant>
      <vt:variant>
        <vt:lpwstr/>
      </vt:variant>
      <vt:variant>
        <vt:i4>6488176</vt:i4>
      </vt:variant>
      <vt:variant>
        <vt:i4>560</vt:i4>
      </vt:variant>
      <vt:variant>
        <vt:i4>0</vt:i4>
      </vt:variant>
      <vt:variant>
        <vt:i4>5</vt:i4>
      </vt:variant>
      <vt:variant>
        <vt:lpwstr>https://doi.org/10.1037/prj0000574</vt:lpwstr>
      </vt:variant>
      <vt:variant>
        <vt:lpwstr/>
      </vt:variant>
      <vt:variant>
        <vt:i4>1114199</vt:i4>
      </vt:variant>
      <vt:variant>
        <vt:i4>557</vt:i4>
      </vt:variant>
      <vt:variant>
        <vt:i4>0</vt:i4>
      </vt:variant>
      <vt:variant>
        <vt:i4>5</vt:i4>
      </vt:variant>
      <vt:variant>
        <vt:lpwstr>https://doi.org/10.1177/10522263241300813</vt:lpwstr>
      </vt:variant>
      <vt:variant>
        <vt:lpwstr/>
      </vt:variant>
      <vt:variant>
        <vt:i4>1114199</vt:i4>
      </vt:variant>
      <vt:variant>
        <vt:i4>554</vt:i4>
      </vt:variant>
      <vt:variant>
        <vt:i4>0</vt:i4>
      </vt:variant>
      <vt:variant>
        <vt:i4>5</vt:i4>
      </vt:variant>
      <vt:variant>
        <vt:lpwstr>https://doi.org/10.1177/10522263241300813</vt:lpwstr>
      </vt:variant>
      <vt:variant>
        <vt:lpwstr/>
      </vt:variant>
      <vt:variant>
        <vt:i4>720975</vt:i4>
      </vt:variant>
      <vt:variant>
        <vt:i4>551</vt:i4>
      </vt:variant>
      <vt:variant>
        <vt:i4>0</vt:i4>
      </vt:variant>
      <vt:variant>
        <vt:i4>5</vt:i4>
      </vt:variant>
      <vt:variant>
        <vt:lpwstr>https://doi.org/10.1080/09585192.2015.1128466</vt:lpwstr>
      </vt:variant>
      <vt:variant>
        <vt:lpwstr/>
      </vt:variant>
      <vt:variant>
        <vt:i4>1835039</vt:i4>
      </vt:variant>
      <vt:variant>
        <vt:i4>548</vt:i4>
      </vt:variant>
      <vt:variant>
        <vt:i4>0</vt:i4>
      </vt:variant>
      <vt:variant>
        <vt:i4>5</vt:i4>
      </vt:variant>
      <vt:variant>
        <vt:lpwstr>https://doi.org/10.1017/S0047279425000030</vt:lpwstr>
      </vt:variant>
      <vt:variant>
        <vt:lpwstr/>
      </vt:variant>
      <vt:variant>
        <vt:i4>1376317</vt:i4>
      </vt:variant>
      <vt:variant>
        <vt:i4>278</vt:i4>
      </vt:variant>
      <vt:variant>
        <vt:i4>0</vt:i4>
      </vt:variant>
      <vt:variant>
        <vt:i4>5</vt:i4>
      </vt:variant>
      <vt:variant>
        <vt:lpwstr/>
      </vt:variant>
      <vt:variant>
        <vt:lpwstr>_Toc231898712</vt:lpwstr>
      </vt:variant>
      <vt:variant>
        <vt:i4>1376317</vt:i4>
      </vt:variant>
      <vt:variant>
        <vt:i4>272</vt:i4>
      </vt:variant>
      <vt:variant>
        <vt:i4>0</vt:i4>
      </vt:variant>
      <vt:variant>
        <vt:i4>5</vt:i4>
      </vt:variant>
      <vt:variant>
        <vt:lpwstr/>
      </vt:variant>
      <vt:variant>
        <vt:lpwstr>_Toc231898711</vt:lpwstr>
      </vt:variant>
      <vt:variant>
        <vt:i4>1376317</vt:i4>
      </vt:variant>
      <vt:variant>
        <vt:i4>266</vt:i4>
      </vt:variant>
      <vt:variant>
        <vt:i4>0</vt:i4>
      </vt:variant>
      <vt:variant>
        <vt:i4>5</vt:i4>
      </vt:variant>
      <vt:variant>
        <vt:lpwstr/>
      </vt:variant>
      <vt:variant>
        <vt:lpwstr>_Toc231898710</vt:lpwstr>
      </vt:variant>
      <vt:variant>
        <vt:i4>1310781</vt:i4>
      </vt:variant>
      <vt:variant>
        <vt:i4>260</vt:i4>
      </vt:variant>
      <vt:variant>
        <vt:i4>0</vt:i4>
      </vt:variant>
      <vt:variant>
        <vt:i4>5</vt:i4>
      </vt:variant>
      <vt:variant>
        <vt:lpwstr/>
      </vt:variant>
      <vt:variant>
        <vt:lpwstr>_Toc231898709</vt:lpwstr>
      </vt:variant>
      <vt:variant>
        <vt:i4>1310781</vt:i4>
      </vt:variant>
      <vt:variant>
        <vt:i4>254</vt:i4>
      </vt:variant>
      <vt:variant>
        <vt:i4>0</vt:i4>
      </vt:variant>
      <vt:variant>
        <vt:i4>5</vt:i4>
      </vt:variant>
      <vt:variant>
        <vt:lpwstr/>
      </vt:variant>
      <vt:variant>
        <vt:lpwstr>_Toc231898708</vt:lpwstr>
      </vt:variant>
      <vt:variant>
        <vt:i4>1310781</vt:i4>
      </vt:variant>
      <vt:variant>
        <vt:i4>248</vt:i4>
      </vt:variant>
      <vt:variant>
        <vt:i4>0</vt:i4>
      </vt:variant>
      <vt:variant>
        <vt:i4>5</vt:i4>
      </vt:variant>
      <vt:variant>
        <vt:lpwstr/>
      </vt:variant>
      <vt:variant>
        <vt:lpwstr>_Toc231898707</vt:lpwstr>
      </vt:variant>
      <vt:variant>
        <vt:i4>1310781</vt:i4>
      </vt:variant>
      <vt:variant>
        <vt:i4>242</vt:i4>
      </vt:variant>
      <vt:variant>
        <vt:i4>0</vt:i4>
      </vt:variant>
      <vt:variant>
        <vt:i4>5</vt:i4>
      </vt:variant>
      <vt:variant>
        <vt:lpwstr/>
      </vt:variant>
      <vt:variant>
        <vt:lpwstr>_Toc231898706</vt:lpwstr>
      </vt:variant>
      <vt:variant>
        <vt:i4>1310781</vt:i4>
      </vt:variant>
      <vt:variant>
        <vt:i4>236</vt:i4>
      </vt:variant>
      <vt:variant>
        <vt:i4>0</vt:i4>
      </vt:variant>
      <vt:variant>
        <vt:i4>5</vt:i4>
      </vt:variant>
      <vt:variant>
        <vt:lpwstr/>
      </vt:variant>
      <vt:variant>
        <vt:lpwstr>_Toc231898705</vt:lpwstr>
      </vt:variant>
      <vt:variant>
        <vt:i4>1310781</vt:i4>
      </vt:variant>
      <vt:variant>
        <vt:i4>230</vt:i4>
      </vt:variant>
      <vt:variant>
        <vt:i4>0</vt:i4>
      </vt:variant>
      <vt:variant>
        <vt:i4>5</vt:i4>
      </vt:variant>
      <vt:variant>
        <vt:lpwstr/>
      </vt:variant>
      <vt:variant>
        <vt:lpwstr>_Toc231898704</vt:lpwstr>
      </vt:variant>
      <vt:variant>
        <vt:i4>1310781</vt:i4>
      </vt:variant>
      <vt:variant>
        <vt:i4>224</vt:i4>
      </vt:variant>
      <vt:variant>
        <vt:i4>0</vt:i4>
      </vt:variant>
      <vt:variant>
        <vt:i4>5</vt:i4>
      </vt:variant>
      <vt:variant>
        <vt:lpwstr/>
      </vt:variant>
      <vt:variant>
        <vt:lpwstr>_Toc231898703</vt:lpwstr>
      </vt:variant>
      <vt:variant>
        <vt:i4>1310781</vt:i4>
      </vt:variant>
      <vt:variant>
        <vt:i4>218</vt:i4>
      </vt:variant>
      <vt:variant>
        <vt:i4>0</vt:i4>
      </vt:variant>
      <vt:variant>
        <vt:i4>5</vt:i4>
      </vt:variant>
      <vt:variant>
        <vt:lpwstr/>
      </vt:variant>
      <vt:variant>
        <vt:lpwstr>_Toc231898702</vt:lpwstr>
      </vt:variant>
      <vt:variant>
        <vt:i4>1310781</vt:i4>
      </vt:variant>
      <vt:variant>
        <vt:i4>212</vt:i4>
      </vt:variant>
      <vt:variant>
        <vt:i4>0</vt:i4>
      </vt:variant>
      <vt:variant>
        <vt:i4>5</vt:i4>
      </vt:variant>
      <vt:variant>
        <vt:lpwstr/>
      </vt:variant>
      <vt:variant>
        <vt:lpwstr>_Toc231898701</vt:lpwstr>
      </vt:variant>
      <vt:variant>
        <vt:i4>1310781</vt:i4>
      </vt:variant>
      <vt:variant>
        <vt:i4>206</vt:i4>
      </vt:variant>
      <vt:variant>
        <vt:i4>0</vt:i4>
      </vt:variant>
      <vt:variant>
        <vt:i4>5</vt:i4>
      </vt:variant>
      <vt:variant>
        <vt:lpwstr/>
      </vt:variant>
      <vt:variant>
        <vt:lpwstr>_Toc231898700</vt:lpwstr>
      </vt:variant>
      <vt:variant>
        <vt:i4>1900604</vt:i4>
      </vt:variant>
      <vt:variant>
        <vt:i4>200</vt:i4>
      </vt:variant>
      <vt:variant>
        <vt:i4>0</vt:i4>
      </vt:variant>
      <vt:variant>
        <vt:i4>5</vt:i4>
      </vt:variant>
      <vt:variant>
        <vt:lpwstr/>
      </vt:variant>
      <vt:variant>
        <vt:lpwstr>_Toc231898699</vt:lpwstr>
      </vt:variant>
      <vt:variant>
        <vt:i4>1900604</vt:i4>
      </vt:variant>
      <vt:variant>
        <vt:i4>194</vt:i4>
      </vt:variant>
      <vt:variant>
        <vt:i4>0</vt:i4>
      </vt:variant>
      <vt:variant>
        <vt:i4>5</vt:i4>
      </vt:variant>
      <vt:variant>
        <vt:lpwstr/>
      </vt:variant>
      <vt:variant>
        <vt:lpwstr>_Toc231898698</vt:lpwstr>
      </vt:variant>
      <vt:variant>
        <vt:i4>1900604</vt:i4>
      </vt:variant>
      <vt:variant>
        <vt:i4>188</vt:i4>
      </vt:variant>
      <vt:variant>
        <vt:i4>0</vt:i4>
      </vt:variant>
      <vt:variant>
        <vt:i4>5</vt:i4>
      </vt:variant>
      <vt:variant>
        <vt:lpwstr/>
      </vt:variant>
      <vt:variant>
        <vt:lpwstr>_Toc231898697</vt:lpwstr>
      </vt:variant>
      <vt:variant>
        <vt:i4>1900604</vt:i4>
      </vt:variant>
      <vt:variant>
        <vt:i4>182</vt:i4>
      </vt:variant>
      <vt:variant>
        <vt:i4>0</vt:i4>
      </vt:variant>
      <vt:variant>
        <vt:i4>5</vt:i4>
      </vt:variant>
      <vt:variant>
        <vt:lpwstr/>
      </vt:variant>
      <vt:variant>
        <vt:lpwstr>_Toc231898696</vt:lpwstr>
      </vt:variant>
      <vt:variant>
        <vt:i4>1900604</vt:i4>
      </vt:variant>
      <vt:variant>
        <vt:i4>176</vt:i4>
      </vt:variant>
      <vt:variant>
        <vt:i4>0</vt:i4>
      </vt:variant>
      <vt:variant>
        <vt:i4>5</vt:i4>
      </vt:variant>
      <vt:variant>
        <vt:lpwstr/>
      </vt:variant>
      <vt:variant>
        <vt:lpwstr>_Toc231898695</vt:lpwstr>
      </vt:variant>
      <vt:variant>
        <vt:i4>1900604</vt:i4>
      </vt:variant>
      <vt:variant>
        <vt:i4>170</vt:i4>
      </vt:variant>
      <vt:variant>
        <vt:i4>0</vt:i4>
      </vt:variant>
      <vt:variant>
        <vt:i4>5</vt:i4>
      </vt:variant>
      <vt:variant>
        <vt:lpwstr/>
      </vt:variant>
      <vt:variant>
        <vt:lpwstr>_Toc231898694</vt:lpwstr>
      </vt:variant>
      <vt:variant>
        <vt:i4>1900604</vt:i4>
      </vt:variant>
      <vt:variant>
        <vt:i4>164</vt:i4>
      </vt:variant>
      <vt:variant>
        <vt:i4>0</vt:i4>
      </vt:variant>
      <vt:variant>
        <vt:i4>5</vt:i4>
      </vt:variant>
      <vt:variant>
        <vt:lpwstr/>
      </vt:variant>
      <vt:variant>
        <vt:lpwstr>_Toc231898693</vt:lpwstr>
      </vt:variant>
      <vt:variant>
        <vt:i4>1900604</vt:i4>
      </vt:variant>
      <vt:variant>
        <vt:i4>158</vt:i4>
      </vt:variant>
      <vt:variant>
        <vt:i4>0</vt:i4>
      </vt:variant>
      <vt:variant>
        <vt:i4>5</vt:i4>
      </vt:variant>
      <vt:variant>
        <vt:lpwstr/>
      </vt:variant>
      <vt:variant>
        <vt:lpwstr>_Toc231898692</vt:lpwstr>
      </vt:variant>
      <vt:variant>
        <vt:i4>1900604</vt:i4>
      </vt:variant>
      <vt:variant>
        <vt:i4>152</vt:i4>
      </vt:variant>
      <vt:variant>
        <vt:i4>0</vt:i4>
      </vt:variant>
      <vt:variant>
        <vt:i4>5</vt:i4>
      </vt:variant>
      <vt:variant>
        <vt:lpwstr/>
      </vt:variant>
      <vt:variant>
        <vt:lpwstr>_Toc231898691</vt:lpwstr>
      </vt:variant>
      <vt:variant>
        <vt:i4>1900604</vt:i4>
      </vt:variant>
      <vt:variant>
        <vt:i4>146</vt:i4>
      </vt:variant>
      <vt:variant>
        <vt:i4>0</vt:i4>
      </vt:variant>
      <vt:variant>
        <vt:i4>5</vt:i4>
      </vt:variant>
      <vt:variant>
        <vt:lpwstr/>
      </vt:variant>
      <vt:variant>
        <vt:lpwstr>_Toc231898690</vt:lpwstr>
      </vt:variant>
      <vt:variant>
        <vt:i4>1835068</vt:i4>
      </vt:variant>
      <vt:variant>
        <vt:i4>140</vt:i4>
      </vt:variant>
      <vt:variant>
        <vt:i4>0</vt:i4>
      </vt:variant>
      <vt:variant>
        <vt:i4>5</vt:i4>
      </vt:variant>
      <vt:variant>
        <vt:lpwstr/>
      </vt:variant>
      <vt:variant>
        <vt:lpwstr>_Toc231898689</vt:lpwstr>
      </vt:variant>
      <vt:variant>
        <vt:i4>1835068</vt:i4>
      </vt:variant>
      <vt:variant>
        <vt:i4>134</vt:i4>
      </vt:variant>
      <vt:variant>
        <vt:i4>0</vt:i4>
      </vt:variant>
      <vt:variant>
        <vt:i4>5</vt:i4>
      </vt:variant>
      <vt:variant>
        <vt:lpwstr/>
      </vt:variant>
      <vt:variant>
        <vt:lpwstr>_Toc231898688</vt:lpwstr>
      </vt:variant>
      <vt:variant>
        <vt:i4>1835068</vt:i4>
      </vt:variant>
      <vt:variant>
        <vt:i4>128</vt:i4>
      </vt:variant>
      <vt:variant>
        <vt:i4>0</vt:i4>
      </vt:variant>
      <vt:variant>
        <vt:i4>5</vt:i4>
      </vt:variant>
      <vt:variant>
        <vt:lpwstr/>
      </vt:variant>
      <vt:variant>
        <vt:lpwstr>_Toc231898687</vt:lpwstr>
      </vt:variant>
      <vt:variant>
        <vt:i4>1835068</vt:i4>
      </vt:variant>
      <vt:variant>
        <vt:i4>122</vt:i4>
      </vt:variant>
      <vt:variant>
        <vt:i4>0</vt:i4>
      </vt:variant>
      <vt:variant>
        <vt:i4>5</vt:i4>
      </vt:variant>
      <vt:variant>
        <vt:lpwstr/>
      </vt:variant>
      <vt:variant>
        <vt:lpwstr>_Toc231898686</vt:lpwstr>
      </vt:variant>
      <vt:variant>
        <vt:i4>1835068</vt:i4>
      </vt:variant>
      <vt:variant>
        <vt:i4>116</vt:i4>
      </vt:variant>
      <vt:variant>
        <vt:i4>0</vt:i4>
      </vt:variant>
      <vt:variant>
        <vt:i4>5</vt:i4>
      </vt:variant>
      <vt:variant>
        <vt:lpwstr/>
      </vt:variant>
      <vt:variant>
        <vt:lpwstr>_Toc231898685</vt:lpwstr>
      </vt:variant>
      <vt:variant>
        <vt:i4>1835068</vt:i4>
      </vt:variant>
      <vt:variant>
        <vt:i4>110</vt:i4>
      </vt:variant>
      <vt:variant>
        <vt:i4>0</vt:i4>
      </vt:variant>
      <vt:variant>
        <vt:i4>5</vt:i4>
      </vt:variant>
      <vt:variant>
        <vt:lpwstr/>
      </vt:variant>
      <vt:variant>
        <vt:lpwstr>_Toc231898684</vt:lpwstr>
      </vt:variant>
      <vt:variant>
        <vt:i4>1835068</vt:i4>
      </vt:variant>
      <vt:variant>
        <vt:i4>104</vt:i4>
      </vt:variant>
      <vt:variant>
        <vt:i4>0</vt:i4>
      </vt:variant>
      <vt:variant>
        <vt:i4>5</vt:i4>
      </vt:variant>
      <vt:variant>
        <vt:lpwstr/>
      </vt:variant>
      <vt:variant>
        <vt:lpwstr>_Toc231898683</vt:lpwstr>
      </vt:variant>
      <vt:variant>
        <vt:i4>1835068</vt:i4>
      </vt:variant>
      <vt:variant>
        <vt:i4>98</vt:i4>
      </vt:variant>
      <vt:variant>
        <vt:i4>0</vt:i4>
      </vt:variant>
      <vt:variant>
        <vt:i4>5</vt:i4>
      </vt:variant>
      <vt:variant>
        <vt:lpwstr/>
      </vt:variant>
      <vt:variant>
        <vt:lpwstr>_Toc231898682</vt:lpwstr>
      </vt:variant>
      <vt:variant>
        <vt:i4>1835068</vt:i4>
      </vt:variant>
      <vt:variant>
        <vt:i4>92</vt:i4>
      </vt:variant>
      <vt:variant>
        <vt:i4>0</vt:i4>
      </vt:variant>
      <vt:variant>
        <vt:i4>5</vt:i4>
      </vt:variant>
      <vt:variant>
        <vt:lpwstr/>
      </vt:variant>
      <vt:variant>
        <vt:lpwstr>_Toc231898681</vt:lpwstr>
      </vt:variant>
      <vt:variant>
        <vt:i4>1835068</vt:i4>
      </vt:variant>
      <vt:variant>
        <vt:i4>86</vt:i4>
      </vt:variant>
      <vt:variant>
        <vt:i4>0</vt:i4>
      </vt:variant>
      <vt:variant>
        <vt:i4>5</vt:i4>
      </vt:variant>
      <vt:variant>
        <vt:lpwstr/>
      </vt:variant>
      <vt:variant>
        <vt:lpwstr>_Toc231898680</vt:lpwstr>
      </vt:variant>
      <vt:variant>
        <vt:i4>1245244</vt:i4>
      </vt:variant>
      <vt:variant>
        <vt:i4>80</vt:i4>
      </vt:variant>
      <vt:variant>
        <vt:i4>0</vt:i4>
      </vt:variant>
      <vt:variant>
        <vt:i4>5</vt:i4>
      </vt:variant>
      <vt:variant>
        <vt:lpwstr/>
      </vt:variant>
      <vt:variant>
        <vt:lpwstr>_Toc231898679</vt:lpwstr>
      </vt:variant>
      <vt:variant>
        <vt:i4>1245244</vt:i4>
      </vt:variant>
      <vt:variant>
        <vt:i4>74</vt:i4>
      </vt:variant>
      <vt:variant>
        <vt:i4>0</vt:i4>
      </vt:variant>
      <vt:variant>
        <vt:i4>5</vt:i4>
      </vt:variant>
      <vt:variant>
        <vt:lpwstr/>
      </vt:variant>
      <vt:variant>
        <vt:lpwstr>_Toc231898678</vt:lpwstr>
      </vt:variant>
      <vt:variant>
        <vt:i4>1245244</vt:i4>
      </vt:variant>
      <vt:variant>
        <vt:i4>68</vt:i4>
      </vt:variant>
      <vt:variant>
        <vt:i4>0</vt:i4>
      </vt:variant>
      <vt:variant>
        <vt:i4>5</vt:i4>
      </vt:variant>
      <vt:variant>
        <vt:lpwstr/>
      </vt:variant>
      <vt:variant>
        <vt:lpwstr>_Toc231898677</vt:lpwstr>
      </vt:variant>
      <vt:variant>
        <vt:i4>1245244</vt:i4>
      </vt:variant>
      <vt:variant>
        <vt:i4>62</vt:i4>
      </vt:variant>
      <vt:variant>
        <vt:i4>0</vt:i4>
      </vt:variant>
      <vt:variant>
        <vt:i4>5</vt:i4>
      </vt:variant>
      <vt:variant>
        <vt:lpwstr/>
      </vt:variant>
      <vt:variant>
        <vt:lpwstr>_Toc231898676</vt:lpwstr>
      </vt:variant>
      <vt:variant>
        <vt:i4>1245244</vt:i4>
      </vt:variant>
      <vt:variant>
        <vt:i4>56</vt:i4>
      </vt:variant>
      <vt:variant>
        <vt:i4>0</vt:i4>
      </vt:variant>
      <vt:variant>
        <vt:i4>5</vt:i4>
      </vt:variant>
      <vt:variant>
        <vt:lpwstr/>
      </vt:variant>
      <vt:variant>
        <vt:lpwstr>_Toc231898675</vt:lpwstr>
      </vt:variant>
      <vt:variant>
        <vt:i4>1245244</vt:i4>
      </vt:variant>
      <vt:variant>
        <vt:i4>50</vt:i4>
      </vt:variant>
      <vt:variant>
        <vt:i4>0</vt:i4>
      </vt:variant>
      <vt:variant>
        <vt:i4>5</vt:i4>
      </vt:variant>
      <vt:variant>
        <vt:lpwstr/>
      </vt:variant>
      <vt:variant>
        <vt:lpwstr>_Toc231898674</vt:lpwstr>
      </vt:variant>
      <vt:variant>
        <vt:i4>1245244</vt:i4>
      </vt:variant>
      <vt:variant>
        <vt:i4>44</vt:i4>
      </vt:variant>
      <vt:variant>
        <vt:i4>0</vt:i4>
      </vt:variant>
      <vt:variant>
        <vt:i4>5</vt:i4>
      </vt:variant>
      <vt:variant>
        <vt:lpwstr/>
      </vt:variant>
      <vt:variant>
        <vt:lpwstr>_Toc231898673</vt:lpwstr>
      </vt:variant>
      <vt:variant>
        <vt:i4>1245244</vt:i4>
      </vt:variant>
      <vt:variant>
        <vt:i4>38</vt:i4>
      </vt:variant>
      <vt:variant>
        <vt:i4>0</vt:i4>
      </vt:variant>
      <vt:variant>
        <vt:i4>5</vt:i4>
      </vt:variant>
      <vt:variant>
        <vt:lpwstr/>
      </vt:variant>
      <vt:variant>
        <vt:lpwstr>_Toc231898672</vt:lpwstr>
      </vt:variant>
      <vt:variant>
        <vt:i4>1245244</vt:i4>
      </vt:variant>
      <vt:variant>
        <vt:i4>32</vt:i4>
      </vt:variant>
      <vt:variant>
        <vt:i4>0</vt:i4>
      </vt:variant>
      <vt:variant>
        <vt:i4>5</vt:i4>
      </vt:variant>
      <vt:variant>
        <vt:lpwstr/>
      </vt:variant>
      <vt:variant>
        <vt:lpwstr>_Toc231898671</vt:lpwstr>
      </vt:variant>
      <vt:variant>
        <vt:i4>1245244</vt:i4>
      </vt:variant>
      <vt:variant>
        <vt:i4>26</vt:i4>
      </vt:variant>
      <vt:variant>
        <vt:i4>0</vt:i4>
      </vt:variant>
      <vt:variant>
        <vt:i4>5</vt:i4>
      </vt:variant>
      <vt:variant>
        <vt:lpwstr/>
      </vt:variant>
      <vt:variant>
        <vt:lpwstr>_Toc231898670</vt:lpwstr>
      </vt:variant>
      <vt:variant>
        <vt:i4>1179708</vt:i4>
      </vt:variant>
      <vt:variant>
        <vt:i4>20</vt:i4>
      </vt:variant>
      <vt:variant>
        <vt:i4>0</vt:i4>
      </vt:variant>
      <vt:variant>
        <vt:i4>5</vt:i4>
      </vt:variant>
      <vt:variant>
        <vt:lpwstr/>
      </vt:variant>
      <vt:variant>
        <vt:lpwstr>_Toc231898669</vt:lpwstr>
      </vt:variant>
      <vt:variant>
        <vt:i4>1179708</vt:i4>
      </vt:variant>
      <vt:variant>
        <vt:i4>14</vt:i4>
      </vt:variant>
      <vt:variant>
        <vt:i4>0</vt:i4>
      </vt:variant>
      <vt:variant>
        <vt:i4>5</vt:i4>
      </vt:variant>
      <vt:variant>
        <vt:lpwstr/>
      </vt:variant>
      <vt:variant>
        <vt:lpwstr>_Toc231898668</vt:lpwstr>
      </vt:variant>
      <vt:variant>
        <vt:i4>1179708</vt:i4>
      </vt:variant>
      <vt:variant>
        <vt:i4>8</vt:i4>
      </vt:variant>
      <vt:variant>
        <vt:i4>0</vt:i4>
      </vt:variant>
      <vt:variant>
        <vt:i4>5</vt:i4>
      </vt:variant>
      <vt:variant>
        <vt:lpwstr/>
      </vt:variant>
      <vt:variant>
        <vt:lpwstr>_Toc231898667</vt:lpwstr>
      </vt:variant>
      <vt:variant>
        <vt:i4>1179708</vt:i4>
      </vt:variant>
      <vt:variant>
        <vt:i4>2</vt:i4>
      </vt:variant>
      <vt:variant>
        <vt:i4>0</vt:i4>
      </vt:variant>
      <vt:variant>
        <vt:i4>5</vt:i4>
      </vt:variant>
      <vt:variant>
        <vt:lpwstr/>
      </vt:variant>
      <vt:variant>
        <vt:lpwstr>_Toc231898666</vt:lpwstr>
      </vt:variant>
      <vt:variant>
        <vt:i4>8323073</vt:i4>
      </vt:variant>
      <vt:variant>
        <vt:i4>3</vt:i4>
      </vt:variant>
      <vt:variant>
        <vt:i4>0</vt:i4>
      </vt:variant>
      <vt:variant>
        <vt:i4>5</vt:i4>
      </vt:variant>
      <vt:variant>
        <vt:lpwstr>mailto:qilee@acu.edu.au</vt:lpwstr>
      </vt:variant>
      <vt:variant>
        <vt:lpwstr/>
      </vt:variant>
      <vt:variant>
        <vt:i4>8323073</vt:i4>
      </vt:variant>
      <vt:variant>
        <vt:i4>0</vt:i4>
      </vt:variant>
      <vt:variant>
        <vt:i4>0</vt:i4>
      </vt:variant>
      <vt:variant>
        <vt:i4>5</vt:i4>
      </vt:variant>
      <vt:variant>
        <vt:lpwstr>mailto:qilee@acu.edu.au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Casey</dc:creator>
  <cp:keywords>[SEC=OFFICIAL]</cp:keywords>
  <dc:description/>
  <cp:lastModifiedBy>Julie Anderson</cp:lastModifiedBy>
  <cp:revision>394</cp:revision>
  <cp:lastPrinted>2026-04-08T13:01:00Z</cp:lastPrinted>
  <dcterms:created xsi:type="dcterms:W3CDTF">2026-06-04T06:22:00Z</dcterms:created>
  <dcterms:modified xsi:type="dcterms:W3CDTF">2026-06-22T23:52:00Z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0x010100128B4CEBC3EFB64D8776CBB478333CB8</vt:lpwstr>
  </property>
  <property fmtid="{D5CDD505-2E9C-101B-9397-08002B2CF9AE}" pid="39" name="MediaServiceImageTags">
    <vt:lpwstr/>
  </property>
  <property fmtid="{D5CDD505-2E9C-101B-9397-08002B2CF9AE}" pid="40" name="ClassificationContentMarkingHeaderShapeIds">
    <vt:lpwstr>429d656a,6e82368e,ed6baa9</vt:lpwstr>
  </property>
  <property fmtid="{D5CDD505-2E9C-101B-9397-08002B2CF9AE}" pid="41" name="ClassificationContentMarkingHeaderFontProps">
    <vt:lpwstr>#000000,12,Calibri</vt:lpwstr>
  </property>
  <property fmtid="{D5CDD505-2E9C-101B-9397-08002B2CF9AE}" pid="42" name="ClassificationContentMarkingHeaderText">
    <vt:lpwstr>Internal</vt:lpwstr>
  </property>
  <property fmtid="{D5CDD505-2E9C-101B-9397-08002B2CF9AE}" pid="43" name="ZOTERO_PREF_2">
    <vt:lpwstr>f name="automaticJournalAbbreviations" value="true"/&gt;&lt;pref name="noteType" value="1"/&gt;&lt;pref name="dontAskDelayCitationUpdates" value="true"/&gt;&lt;/prefs&gt;&lt;/data&gt;</vt:lpwstr>
  </property>
  <property fmtid="{D5CDD505-2E9C-101B-9397-08002B2CF9AE}" pid="44" name="ZOTERO_PREF_1">
    <vt:lpwstr>&lt;data data-version="3" zotero-version="9.0.1"&gt;&lt;session id="KDxA9c3Y"/&gt;&lt;style id="http://www.zotero.org/styles/chicago-notes-bibliography" locale="en-GB" hasBibliography="1" bibliographyStyleHasBeenSet="0"/&gt;&lt;prefs&gt;&lt;pref name="fieldType" value="Field"/&gt;&lt;pre</vt:lpwstr>
  </property>
</Properties>
</file>