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7E34D" w14:textId="77777777" w:rsidR="00DA1860" w:rsidRPr="005435A6" w:rsidRDefault="00DA1860" w:rsidP="00423EB2">
      <w:pPr>
        <w:pStyle w:val="Title"/>
      </w:pPr>
      <w:bookmarkStart w:id="1" w:name="_Toc167875311"/>
      <w:bookmarkStart w:id="2" w:name="_Toc192155912"/>
    </w:p>
    <w:p w14:paraId="49F65099" w14:textId="09F12597" w:rsidR="00883DBC" w:rsidRPr="00FC66B2" w:rsidRDefault="006B7443" w:rsidP="00423EB2">
      <w:pPr>
        <w:pStyle w:val="Title"/>
      </w:pPr>
      <w:r>
        <w:t>What works in employment for Aboriginal and Torres Strait Islander peoples with disability</w:t>
      </w:r>
    </w:p>
    <w:p w14:paraId="3EE18557" w14:textId="77777777" w:rsidR="008439E5" w:rsidRDefault="008439E5" w:rsidP="00423EB2">
      <w:pPr>
        <w:pStyle w:val="Subtitle"/>
        <w:widowControl/>
        <w:spacing w:line="360" w:lineRule="atLeast"/>
      </w:pPr>
    </w:p>
    <w:p w14:paraId="097EDACC" w14:textId="57B69BDC" w:rsidR="00883DBC" w:rsidRPr="00664E56" w:rsidRDefault="00C91857" w:rsidP="00423EB2">
      <w:pPr>
        <w:pStyle w:val="Subtitle"/>
      </w:pPr>
      <w:r>
        <w:t xml:space="preserve">An </w:t>
      </w:r>
      <w:r w:rsidR="7D516A45">
        <w:t>Indigenous</w:t>
      </w:r>
      <w:r w:rsidR="00FD1154" w:rsidRPr="006F22A6">
        <w:noBreakHyphen/>
      </w:r>
      <w:r>
        <w:t>led e</w:t>
      </w:r>
      <w:r w:rsidR="008A0669">
        <w:t xml:space="preserve">vidence </w:t>
      </w:r>
      <w:r w:rsidR="00643592">
        <w:t>s</w:t>
      </w:r>
      <w:r w:rsidR="00CC04AD">
        <w:t>ynthesis</w:t>
      </w:r>
      <w:r w:rsidR="008A0669">
        <w:t xml:space="preserve"> </w:t>
      </w:r>
      <w:r w:rsidR="00643592">
        <w:t>r</w:t>
      </w:r>
      <w:r w:rsidR="008A0669">
        <w:t>eport</w:t>
      </w:r>
      <w:r w:rsidR="004170ED">
        <w:t xml:space="preserve"> </w:t>
      </w:r>
    </w:p>
    <w:p w14:paraId="60B146D7" w14:textId="0DC97058" w:rsidR="00626A6E" w:rsidRPr="005435A6" w:rsidRDefault="00626A6E" w:rsidP="00423EB2">
      <w:pPr>
        <w:widowControl/>
      </w:pPr>
    </w:p>
    <w:p w14:paraId="326CC7A5" w14:textId="77777777" w:rsidR="00626A6E" w:rsidRPr="005435A6" w:rsidRDefault="00626A6E" w:rsidP="00423EB2">
      <w:pPr>
        <w:widowControl/>
      </w:pPr>
    </w:p>
    <w:p w14:paraId="6B8A7BC7" w14:textId="77777777" w:rsidR="005549E4" w:rsidRPr="005435A6" w:rsidRDefault="005549E4" w:rsidP="00423EB2">
      <w:pPr>
        <w:widowControl/>
      </w:pPr>
    </w:p>
    <w:p w14:paraId="76487081" w14:textId="77777777" w:rsidR="005549E4" w:rsidRPr="005435A6" w:rsidRDefault="005549E4" w:rsidP="00423EB2">
      <w:pPr>
        <w:widowControl/>
      </w:pPr>
    </w:p>
    <w:p w14:paraId="6A7AD5E3" w14:textId="77777777" w:rsidR="00626A6E" w:rsidRPr="005435A6" w:rsidRDefault="00626A6E" w:rsidP="00423EB2">
      <w:pPr>
        <w:widowControl/>
      </w:pPr>
    </w:p>
    <w:p w14:paraId="28435CCA" w14:textId="21A0E6DB" w:rsidR="00626A6E" w:rsidRDefault="00C91857" w:rsidP="00423EB2">
      <w:pPr>
        <w:widowControl/>
      </w:pPr>
      <w:r>
        <w:t>Dr Samantha Cooms (Noonuccal Quandamooka)</w:t>
      </w:r>
    </w:p>
    <w:p w14:paraId="4C17D8DF" w14:textId="52163877" w:rsidR="00C91857" w:rsidRPr="005435A6" w:rsidRDefault="00C91857" w:rsidP="00423EB2">
      <w:pPr>
        <w:widowControl/>
      </w:pPr>
      <w:r>
        <w:t>Associate Professor Sharlene Leroy-Dyer</w:t>
      </w:r>
      <w:r w:rsidR="718B7414">
        <w:t xml:space="preserve"> (Garigal/Darug, Awabakal, Wiradjuri)</w:t>
      </w:r>
    </w:p>
    <w:p w14:paraId="1A276C28" w14:textId="067F05E3" w:rsidR="6475AB37" w:rsidRDefault="6475AB37" w:rsidP="00423EB2">
      <w:pPr>
        <w:widowControl/>
      </w:pPr>
      <w:r>
        <w:t xml:space="preserve">Susan </w:t>
      </w:r>
      <w:r w:rsidR="00D910F0" w:rsidRPr="006F22A6">
        <w:t xml:space="preserve">Joy </w:t>
      </w:r>
      <w:r>
        <w:t>Beetson</w:t>
      </w:r>
      <w:r w:rsidR="5A60E20B">
        <w:t xml:space="preserve"> (Ngemba</w:t>
      </w:r>
      <w:r w:rsidR="5302443A">
        <w:t>, Wiradjuri</w:t>
      </w:r>
      <w:r w:rsidR="6377BDCC">
        <w:t>)</w:t>
      </w:r>
      <w:r w:rsidR="5A60E20B">
        <w:t xml:space="preserve"> </w:t>
      </w:r>
    </w:p>
    <w:p w14:paraId="629C7616" w14:textId="6D63E291" w:rsidR="00883DBC" w:rsidRPr="005435A6" w:rsidRDefault="006F22A6" w:rsidP="00423EB2">
      <w:pPr>
        <w:widowControl/>
      </w:pPr>
      <w:r>
        <w:t>May 2026</w:t>
      </w:r>
      <w:r w:rsidR="006E64F6" w:rsidRPr="005435A6">
        <w:fldChar w:fldCharType="begin"/>
      </w:r>
      <w:r w:rsidR="006E64F6" w:rsidRPr="005435A6">
        <w:fldChar w:fldCharType="end"/>
      </w:r>
    </w:p>
    <w:p w14:paraId="2A685E33" w14:textId="77777777" w:rsidR="00626A6E" w:rsidRPr="005435A6" w:rsidRDefault="00626A6E" w:rsidP="00423EB2">
      <w:pPr>
        <w:widowControl/>
        <w:sectPr w:rsidR="00626A6E" w:rsidRPr="005435A6" w:rsidSect="00BF416D">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454" w:footer="0" w:gutter="0"/>
          <w:cols w:space="708"/>
          <w:titlePg/>
          <w:docGrid w:linePitch="360"/>
        </w:sectPr>
      </w:pPr>
    </w:p>
    <w:p w14:paraId="19B238B8" w14:textId="4DAA2A39" w:rsidR="00136A74" w:rsidRPr="007B210F" w:rsidRDefault="00136A74" w:rsidP="00423EB2">
      <w:pPr>
        <w:widowControl/>
        <w:rPr>
          <w:b/>
          <w:bCs/>
        </w:rPr>
      </w:pPr>
      <w:r w:rsidRPr="318FC13B">
        <w:rPr>
          <w:b/>
          <w:bCs/>
        </w:rPr>
        <w:lastRenderedPageBreak/>
        <w:t>Acknowledgement of Country</w:t>
      </w:r>
    </w:p>
    <w:p w14:paraId="7D36E2FD" w14:textId="77777777" w:rsidR="007B210F" w:rsidRDefault="005435A6" w:rsidP="00423EB2">
      <w:pPr>
        <w:widowControl/>
      </w:pPr>
      <w:r>
        <w:t>We respectfully acknowledge the Wurundjeri People of the Kulin Nation, who are the Traditional Owners of the land on which Centre for Inclusive Employment</w:t>
      </w:r>
      <w:r w:rsidR="005F2AD8">
        <w:t xml:space="preserve"> </w:t>
      </w:r>
      <w:r>
        <w:t>is located, in Melbourne’s east and outer-east, and pay our respect to their Elders past and present. We are honoured to recognise our connection to Wurundjeri Country, history, culture, and spirituality through these locations, and strive to ensure that we operate in a manner that respects and honours the Elders and Ancestors of these lands. We also respectfully acknowledge Swinburne’s Aboriginal and Torres Strait Islander staff, students, alumni, partners and visitors.</w:t>
      </w:r>
    </w:p>
    <w:p w14:paraId="4EE60690" w14:textId="1AF67D70" w:rsidR="005435A6" w:rsidRDefault="005435A6" w:rsidP="00423EB2">
      <w:pPr>
        <w:widowControl/>
      </w:pPr>
      <w:r>
        <w:t>We also acknowledge and respect the Traditional Owners of lands across Australia, their Elders, Ancestors, cultures, and heritage, and recognise the continuing sovereignties of all Aboriginal and Torres Strait Islander Nations. </w:t>
      </w:r>
    </w:p>
    <w:p w14:paraId="747813A7" w14:textId="77777777" w:rsidR="00F877AE" w:rsidRPr="005435A6" w:rsidRDefault="00F877AE" w:rsidP="00423EB2">
      <w:pPr>
        <w:widowControl/>
      </w:pPr>
      <w:r>
        <w:t xml:space="preserve">This evidence synthesis was commissioned by the Centre for Inclusive Employment on behalf of the Department of Social Services. </w:t>
      </w:r>
    </w:p>
    <w:p w14:paraId="39F5B246" w14:textId="77777777" w:rsidR="00DA6AA4" w:rsidRPr="007B210F" w:rsidRDefault="00DA6AA4" w:rsidP="00423EB2">
      <w:pPr>
        <w:widowControl/>
        <w:rPr>
          <w:b/>
          <w:bCs/>
        </w:rPr>
      </w:pPr>
      <w:r w:rsidRPr="318FC13B">
        <w:rPr>
          <w:b/>
          <w:bCs/>
        </w:rPr>
        <w:t>This report was prepared by:</w:t>
      </w:r>
    </w:p>
    <w:p w14:paraId="02146627" w14:textId="77777777" w:rsidR="00D910F0" w:rsidRPr="006F22A6" w:rsidRDefault="00D910F0" w:rsidP="00423EB2">
      <w:pPr>
        <w:widowControl/>
      </w:pPr>
      <w:r w:rsidRPr="006F22A6">
        <w:t>Dr Samantha Cooms (Noonuccal Quandamooka)</w:t>
      </w:r>
    </w:p>
    <w:p w14:paraId="7703C369" w14:textId="389A8198" w:rsidR="00D910F0" w:rsidRDefault="00D910F0" w:rsidP="00423EB2">
      <w:pPr>
        <w:widowControl/>
      </w:pPr>
      <w:r>
        <w:t>Associate Professor Sharlene Leroy-Dyer</w:t>
      </w:r>
      <w:r w:rsidR="5A4677E1">
        <w:t xml:space="preserve"> (Garigal/Darug, Awabakal, Wiradjuri)</w:t>
      </w:r>
    </w:p>
    <w:p w14:paraId="7CB961E8" w14:textId="7B1C986B" w:rsidR="00D910F0" w:rsidRPr="006F22A6" w:rsidRDefault="00D910F0" w:rsidP="00423EB2">
      <w:pPr>
        <w:widowControl/>
      </w:pPr>
      <w:r w:rsidRPr="006F22A6">
        <w:t>Susan Joy Beetson</w:t>
      </w:r>
      <w:r w:rsidR="006F22A6">
        <w:t xml:space="preserve"> (Ngemba, Wiradjuri)</w:t>
      </w:r>
    </w:p>
    <w:p w14:paraId="1FB395D7" w14:textId="09337FAE" w:rsidR="00DE7A12" w:rsidRPr="006F22A6" w:rsidRDefault="00D910F0" w:rsidP="00423EB2">
      <w:pPr>
        <w:widowControl/>
      </w:pPr>
      <w:r w:rsidRPr="006F22A6">
        <w:t>May 2026</w:t>
      </w:r>
    </w:p>
    <w:p w14:paraId="4DE20294" w14:textId="62A69D47" w:rsidR="00B844A6" w:rsidRPr="007B210F" w:rsidRDefault="00B844A6" w:rsidP="00423EB2">
      <w:pPr>
        <w:widowControl/>
        <w:rPr>
          <w:b/>
          <w:bCs/>
        </w:rPr>
      </w:pPr>
      <w:r w:rsidRPr="318FC13B">
        <w:rPr>
          <w:b/>
          <w:bCs/>
        </w:rPr>
        <w:t>Address for correspondence</w:t>
      </w:r>
      <w:r w:rsidR="002D43C3" w:rsidRPr="318FC13B">
        <w:rPr>
          <w:b/>
          <w:bCs/>
        </w:rPr>
        <w:t>:</w:t>
      </w:r>
      <w:r w:rsidR="006F22A6">
        <w:rPr>
          <w:b/>
          <w:bCs/>
        </w:rPr>
        <w:t xml:space="preserve"> </w:t>
      </w:r>
    </w:p>
    <w:p w14:paraId="3A7BBF3D" w14:textId="4CB322D7" w:rsidR="00231A11" w:rsidRPr="007B210F" w:rsidRDefault="740B307C" w:rsidP="00423EB2">
      <w:pPr>
        <w:widowControl/>
        <w:spacing w:before="0" w:after="240"/>
        <w:rPr>
          <w:rFonts w:eastAsia="Montserrat" w:cs="Montserrat"/>
        </w:rPr>
      </w:pPr>
      <w:r w:rsidRPr="408772DA">
        <w:rPr>
          <w:b/>
          <w:bCs/>
        </w:rPr>
        <w:t>Suggested citation:</w:t>
      </w:r>
      <w:r w:rsidR="2A0F6461" w:rsidRPr="408772DA">
        <w:rPr>
          <w:b/>
          <w:bCs/>
        </w:rPr>
        <w:t xml:space="preserve"> </w:t>
      </w:r>
      <w:r w:rsidR="651B98C7">
        <w:t xml:space="preserve">Cooms, S., Leroy-Dyer, S., &amp; Beetson, S. (2026). </w:t>
      </w:r>
      <w:r w:rsidR="35C819CC" w:rsidRPr="408772DA">
        <w:rPr>
          <w:rFonts w:eastAsia="Montserrat" w:cs="Montserrat"/>
        </w:rPr>
        <w:t>What works in employment for Aboriginal and Torres Strait Islander peoples with disability: An Indigenous-led Evidence synthesis report</w:t>
      </w:r>
      <w:r w:rsidR="48349A4C" w:rsidRPr="512DC0FC">
        <w:rPr>
          <w:rFonts w:eastAsia="Montserrat" w:cs="Montserrat"/>
        </w:rPr>
        <w:t>.</w:t>
      </w:r>
      <w:r w:rsidR="35C819CC" w:rsidRPr="512DC0FC">
        <w:rPr>
          <w:rFonts w:eastAsia="Montserrat" w:cs="Montserrat"/>
        </w:rPr>
        <w:t xml:space="preserve"> </w:t>
      </w:r>
      <w:r w:rsidR="00890A20">
        <w:rPr>
          <w:rFonts w:eastAsia="Montserrat" w:cs="Montserrat"/>
        </w:rPr>
        <w:t>Centre for Inclusive Employment.</w:t>
      </w:r>
      <w:r w:rsidR="00CE0ECF">
        <w:rPr>
          <w:rFonts w:eastAsia="Montserrat" w:cs="Montserrat"/>
        </w:rPr>
        <w:t xml:space="preserve"> </w:t>
      </w:r>
      <w:hyperlink r:id="rId17" w:history="1">
        <w:r w:rsidR="00CE0ECF" w:rsidRPr="00C83FF8">
          <w:rPr>
            <w:rStyle w:val="Hyperlink"/>
            <w:rFonts w:ascii="Montserrat" w:eastAsia="Montserrat" w:hAnsi="Montserrat" w:cs="Montserrat"/>
            <w:sz w:val="24"/>
          </w:rPr>
          <w:t>https://doi.org/</w:t>
        </w:r>
        <w:r w:rsidR="00C83FF8" w:rsidRPr="00C83FF8">
          <w:rPr>
            <w:rStyle w:val="Hyperlink"/>
            <w:rFonts w:ascii="Montserrat" w:hAnsi="Montserrat"/>
            <w:sz w:val="24"/>
          </w:rPr>
          <w:t xml:space="preserve"> </w:t>
        </w:r>
        <w:r w:rsidR="00C83FF8" w:rsidRPr="00C83FF8">
          <w:rPr>
            <w:rStyle w:val="Hyperlink"/>
            <w:rFonts w:ascii="Montserrat" w:eastAsia="Montserrat" w:hAnsi="Montserrat" w:cs="Montserrat"/>
            <w:sz w:val="24"/>
          </w:rPr>
          <w:t>10.60836/54vk-e293</w:t>
        </w:r>
      </w:hyperlink>
    </w:p>
    <w:p w14:paraId="31BE759B" w14:textId="49EE29C2" w:rsidR="00BA18D2" w:rsidRPr="007B210F" w:rsidRDefault="79E81649" w:rsidP="00423EB2">
      <w:pPr>
        <w:widowControl/>
      </w:pPr>
      <w:r w:rsidRPr="7A029245">
        <w:rPr>
          <w:b/>
        </w:rPr>
        <w:t>Keywords:</w:t>
      </w:r>
      <w:r w:rsidR="2B6DB299" w:rsidRPr="7A029245">
        <w:rPr>
          <w:b/>
        </w:rPr>
        <w:t xml:space="preserve"> </w:t>
      </w:r>
      <w:r w:rsidR="155EF644" w:rsidRPr="09EA3697">
        <w:rPr>
          <w:rFonts w:eastAsia="Montserrat" w:cs="Montserrat"/>
        </w:rPr>
        <w:t>Aboriginal and Torres Strait Islander peoples with disability; Indigenous employment; disability employment services; Indigenous-led practice; cultural safety; community-controlled organisations; co-design; workforce capability; employment participation; service design; disability supports; Indigenous data sovereignty.</w:t>
      </w:r>
    </w:p>
    <w:p w14:paraId="66D3E4D5" w14:textId="77777777" w:rsidR="00605381" w:rsidRPr="00CC47A4" w:rsidRDefault="00136A74" w:rsidP="00423EB2">
      <w:pPr>
        <w:widowControl/>
      </w:pPr>
      <w:r w:rsidRPr="318FC13B">
        <w:rPr>
          <w:b/>
          <w:bCs/>
        </w:rPr>
        <w:t>Disclaimer:</w:t>
      </w:r>
      <w:r>
        <w:t xml:space="preserve"> </w:t>
      </w:r>
      <w:r w:rsidR="00605381">
        <w:t>This evidence synthesis was produced using a methodology commissioned by the Centre for Inclusive Employment.</w:t>
      </w:r>
    </w:p>
    <w:p w14:paraId="4BDBCFC8" w14:textId="60F0E894" w:rsidR="00D47AAE" w:rsidRPr="00605381" w:rsidRDefault="00605381" w:rsidP="00423EB2">
      <w:pPr>
        <w:widowControl/>
      </w:pPr>
      <w:r>
        <w:t>The evidence was current at the time of production.</w:t>
      </w:r>
    </w:p>
    <w:p w14:paraId="7D2FBBBA" w14:textId="0E198BEB" w:rsidR="003E3802" w:rsidRPr="006B1354" w:rsidRDefault="00F877AE" w:rsidP="00423EB2">
      <w:pPr>
        <w:widowControl/>
        <w:rPr>
          <w:sz w:val="22"/>
          <w:szCs w:val="22"/>
        </w:rPr>
        <w:sectPr w:rsidR="003E3802" w:rsidRPr="006B1354" w:rsidSect="006B7443">
          <w:footerReference w:type="first" r:id="rId18"/>
          <w:pgSz w:w="11906" w:h="16838" w:code="9"/>
          <w:pgMar w:top="1134" w:right="1134" w:bottom="1134" w:left="1134" w:header="454" w:footer="0" w:gutter="0"/>
          <w:cols w:space="708"/>
          <w:docGrid w:linePitch="360"/>
        </w:sectPr>
      </w:pPr>
      <w:r w:rsidRPr="006B1354">
        <w:rPr>
          <w:sz w:val="22"/>
          <w:szCs w:val="22"/>
        </w:rPr>
        <w:t xml:space="preserve">© Commonwealth of Australia </w:t>
      </w:r>
      <w:r w:rsidR="6A25198F" w:rsidRPr="006B1354">
        <w:rPr>
          <w:sz w:val="22"/>
          <w:szCs w:val="22"/>
        </w:rPr>
        <w:t>2016</w:t>
      </w:r>
    </w:p>
    <w:p w14:paraId="15CCD8D4" w14:textId="0DF799F5" w:rsidR="00DE7A12" w:rsidRPr="00A517DB" w:rsidRDefault="006F22A6" w:rsidP="00423EB2">
      <w:pPr>
        <w:pStyle w:val="TOCHeading"/>
        <w:pageBreakBefore w:val="0"/>
        <w:rPr>
          <w:rFonts w:ascii="Montserrat" w:hAnsi="Montserrat"/>
          <w:b/>
          <w:sz w:val="44"/>
          <w:szCs w:val="44"/>
        </w:rPr>
      </w:pPr>
      <w:r w:rsidRPr="512DC0FC">
        <w:rPr>
          <w:rFonts w:ascii="Montserrat" w:hAnsi="Montserrat"/>
          <w:b/>
          <w:bCs/>
          <w:sz w:val="44"/>
          <w:szCs w:val="44"/>
          <w:lang w:val="en-GB"/>
        </w:rPr>
        <w:lastRenderedPageBreak/>
        <w:t>C</w:t>
      </w:r>
      <w:r w:rsidR="00D94186" w:rsidRPr="512DC0FC">
        <w:rPr>
          <w:rFonts w:ascii="Montserrat" w:hAnsi="Montserrat"/>
          <w:b/>
          <w:bCs/>
          <w:sz w:val="44"/>
          <w:szCs w:val="44"/>
          <w:lang w:val="en-GB"/>
        </w:rPr>
        <w:t>ontents</w:t>
      </w:r>
    </w:p>
    <w:p w14:paraId="11FD5484" w14:textId="306C398A" w:rsidR="008F73BE" w:rsidRDefault="008F73BE">
      <w:pPr>
        <w:pStyle w:val="TOC1"/>
        <w:rPr>
          <w:rFonts w:asciiTheme="minorHAnsi" w:eastAsiaTheme="minorEastAsia" w:hAnsiTheme="minorHAnsi" w:cstheme="minorBidi"/>
          <w:b w:val="0"/>
          <w:noProof/>
          <w:color w:val="auto"/>
          <w:kern w:val="2"/>
          <w:lang w:eastAsia="en-GB"/>
          <w14:ligatures w14:val="standardContextual"/>
        </w:rPr>
      </w:pPr>
      <w:r>
        <w:rPr>
          <w:b w:val="0"/>
        </w:rPr>
        <w:fldChar w:fldCharType="begin"/>
      </w:r>
      <w:r>
        <w:rPr>
          <w:b w:val="0"/>
        </w:rPr>
        <w:instrText xml:space="preserve"> TOC \o "1-3" \h \z \u </w:instrText>
      </w:r>
      <w:r>
        <w:rPr>
          <w:b w:val="0"/>
        </w:rPr>
        <w:fldChar w:fldCharType="separate"/>
      </w:r>
      <w:hyperlink w:anchor="_Toc231482927" w:history="1">
        <w:r w:rsidRPr="009D18F4">
          <w:rPr>
            <w:rStyle w:val="Hyperlink"/>
            <w:noProof/>
          </w:rPr>
          <w:t>Executive summary</w:t>
        </w:r>
        <w:r>
          <w:rPr>
            <w:noProof/>
            <w:webHidden/>
          </w:rPr>
          <w:tab/>
        </w:r>
        <w:r>
          <w:rPr>
            <w:noProof/>
            <w:webHidden/>
          </w:rPr>
          <w:fldChar w:fldCharType="begin"/>
        </w:r>
        <w:r>
          <w:rPr>
            <w:noProof/>
            <w:webHidden/>
          </w:rPr>
          <w:instrText xml:space="preserve"> PAGEREF _Toc231482927 \h </w:instrText>
        </w:r>
        <w:r>
          <w:rPr>
            <w:noProof/>
            <w:webHidden/>
          </w:rPr>
        </w:r>
        <w:r>
          <w:rPr>
            <w:noProof/>
            <w:webHidden/>
          </w:rPr>
          <w:fldChar w:fldCharType="separate"/>
        </w:r>
        <w:r>
          <w:rPr>
            <w:noProof/>
            <w:webHidden/>
          </w:rPr>
          <w:t>5</w:t>
        </w:r>
        <w:r>
          <w:rPr>
            <w:noProof/>
            <w:webHidden/>
          </w:rPr>
          <w:fldChar w:fldCharType="end"/>
        </w:r>
      </w:hyperlink>
    </w:p>
    <w:p w14:paraId="3EA01562" w14:textId="5EB4F974" w:rsidR="008F73BE" w:rsidRDefault="008F73BE">
      <w:pPr>
        <w:pStyle w:val="TOC2"/>
        <w:rPr>
          <w:rFonts w:asciiTheme="minorHAnsi" w:eastAsiaTheme="minorEastAsia" w:hAnsiTheme="minorHAnsi" w:cstheme="minorBidi"/>
          <w:noProof/>
          <w:color w:val="auto"/>
          <w:kern w:val="2"/>
          <w:lang w:eastAsia="en-GB"/>
          <w14:ligatures w14:val="standardContextual"/>
        </w:rPr>
      </w:pPr>
      <w:hyperlink w:anchor="_Toc231482928" w:history="1">
        <w:r w:rsidRPr="009D18F4">
          <w:rPr>
            <w:rStyle w:val="Hyperlink"/>
            <w:noProof/>
          </w:rPr>
          <w:t>Background and context</w:t>
        </w:r>
        <w:r>
          <w:rPr>
            <w:noProof/>
            <w:webHidden/>
          </w:rPr>
          <w:tab/>
        </w:r>
        <w:r>
          <w:rPr>
            <w:noProof/>
            <w:webHidden/>
          </w:rPr>
          <w:fldChar w:fldCharType="begin"/>
        </w:r>
        <w:r>
          <w:rPr>
            <w:noProof/>
            <w:webHidden/>
          </w:rPr>
          <w:instrText xml:space="preserve"> PAGEREF _Toc231482928 \h </w:instrText>
        </w:r>
        <w:r>
          <w:rPr>
            <w:noProof/>
            <w:webHidden/>
          </w:rPr>
        </w:r>
        <w:r>
          <w:rPr>
            <w:noProof/>
            <w:webHidden/>
          </w:rPr>
          <w:fldChar w:fldCharType="separate"/>
        </w:r>
        <w:r>
          <w:rPr>
            <w:noProof/>
            <w:webHidden/>
          </w:rPr>
          <w:t>5</w:t>
        </w:r>
        <w:r>
          <w:rPr>
            <w:noProof/>
            <w:webHidden/>
          </w:rPr>
          <w:fldChar w:fldCharType="end"/>
        </w:r>
      </w:hyperlink>
    </w:p>
    <w:p w14:paraId="1E612ABE" w14:textId="30B7008A" w:rsidR="008F73BE" w:rsidRDefault="008F73BE">
      <w:pPr>
        <w:pStyle w:val="TOC2"/>
        <w:rPr>
          <w:rFonts w:asciiTheme="minorHAnsi" w:eastAsiaTheme="minorEastAsia" w:hAnsiTheme="minorHAnsi" w:cstheme="minorBidi"/>
          <w:noProof/>
          <w:color w:val="auto"/>
          <w:kern w:val="2"/>
          <w:lang w:eastAsia="en-GB"/>
          <w14:ligatures w14:val="standardContextual"/>
        </w:rPr>
      </w:pPr>
      <w:hyperlink w:anchor="_Toc231482929" w:history="1">
        <w:r w:rsidRPr="009D18F4">
          <w:rPr>
            <w:rStyle w:val="Hyperlink"/>
            <w:noProof/>
          </w:rPr>
          <w:t>Purpose and audience</w:t>
        </w:r>
        <w:r>
          <w:rPr>
            <w:noProof/>
            <w:webHidden/>
          </w:rPr>
          <w:tab/>
        </w:r>
        <w:r>
          <w:rPr>
            <w:noProof/>
            <w:webHidden/>
          </w:rPr>
          <w:fldChar w:fldCharType="begin"/>
        </w:r>
        <w:r>
          <w:rPr>
            <w:noProof/>
            <w:webHidden/>
          </w:rPr>
          <w:instrText xml:space="preserve"> PAGEREF _Toc231482929 \h </w:instrText>
        </w:r>
        <w:r>
          <w:rPr>
            <w:noProof/>
            <w:webHidden/>
          </w:rPr>
        </w:r>
        <w:r>
          <w:rPr>
            <w:noProof/>
            <w:webHidden/>
          </w:rPr>
          <w:fldChar w:fldCharType="separate"/>
        </w:r>
        <w:r>
          <w:rPr>
            <w:noProof/>
            <w:webHidden/>
          </w:rPr>
          <w:t>7</w:t>
        </w:r>
        <w:r>
          <w:rPr>
            <w:noProof/>
            <w:webHidden/>
          </w:rPr>
          <w:fldChar w:fldCharType="end"/>
        </w:r>
      </w:hyperlink>
    </w:p>
    <w:p w14:paraId="10B18235" w14:textId="478FB5DE" w:rsidR="008F73BE" w:rsidRDefault="008F73BE">
      <w:pPr>
        <w:pStyle w:val="TOC2"/>
        <w:rPr>
          <w:rFonts w:asciiTheme="minorHAnsi" w:eastAsiaTheme="minorEastAsia" w:hAnsiTheme="minorHAnsi" w:cstheme="minorBidi"/>
          <w:noProof/>
          <w:color w:val="auto"/>
          <w:kern w:val="2"/>
          <w:lang w:eastAsia="en-GB"/>
          <w14:ligatures w14:val="standardContextual"/>
        </w:rPr>
      </w:pPr>
      <w:hyperlink w:anchor="_Toc231482930" w:history="1">
        <w:r w:rsidRPr="009D18F4">
          <w:rPr>
            <w:rStyle w:val="Hyperlink"/>
            <w:noProof/>
          </w:rPr>
          <w:t>Key points</w:t>
        </w:r>
        <w:r>
          <w:rPr>
            <w:noProof/>
            <w:webHidden/>
          </w:rPr>
          <w:tab/>
        </w:r>
        <w:r>
          <w:rPr>
            <w:noProof/>
            <w:webHidden/>
          </w:rPr>
          <w:fldChar w:fldCharType="begin"/>
        </w:r>
        <w:r>
          <w:rPr>
            <w:noProof/>
            <w:webHidden/>
          </w:rPr>
          <w:instrText xml:space="preserve"> PAGEREF _Toc231482930 \h </w:instrText>
        </w:r>
        <w:r>
          <w:rPr>
            <w:noProof/>
            <w:webHidden/>
          </w:rPr>
        </w:r>
        <w:r>
          <w:rPr>
            <w:noProof/>
            <w:webHidden/>
          </w:rPr>
          <w:fldChar w:fldCharType="separate"/>
        </w:r>
        <w:r>
          <w:rPr>
            <w:noProof/>
            <w:webHidden/>
          </w:rPr>
          <w:t>7</w:t>
        </w:r>
        <w:r>
          <w:rPr>
            <w:noProof/>
            <w:webHidden/>
          </w:rPr>
          <w:fldChar w:fldCharType="end"/>
        </w:r>
      </w:hyperlink>
    </w:p>
    <w:p w14:paraId="04DCF42A" w14:textId="25CD9B77" w:rsidR="008F73BE" w:rsidRDefault="008F73BE">
      <w:pPr>
        <w:pStyle w:val="TOC2"/>
        <w:rPr>
          <w:rFonts w:asciiTheme="minorHAnsi" w:eastAsiaTheme="minorEastAsia" w:hAnsiTheme="minorHAnsi" w:cstheme="minorBidi"/>
          <w:noProof/>
          <w:color w:val="auto"/>
          <w:kern w:val="2"/>
          <w:lang w:eastAsia="en-GB"/>
          <w14:ligatures w14:val="standardContextual"/>
        </w:rPr>
      </w:pPr>
      <w:hyperlink w:anchor="_Toc231482931" w:history="1">
        <w:r w:rsidRPr="009D18F4">
          <w:rPr>
            <w:rStyle w:val="Hyperlink"/>
            <w:noProof/>
          </w:rPr>
          <w:t>Key findings</w:t>
        </w:r>
        <w:r>
          <w:rPr>
            <w:noProof/>
            <w:webHidden/>
          </w:rPr>
          <w:tab/>
        </w:r>
        <w:r>
          <w:rPr>
            <w:noProof/>
            <w:webHidden/>
          </w:rPr>
          <w:fldChar w:fldCharType="begin"/>
        </w:r>
        <w:r>
          <w:rPr>
            <w:noProof/>
            <w:webHidden/>
          </w:rPr>
          <w:instrText xml:space="preserve"> PAGEREF _Toc231482931 \h </w:instrText>
        </w:r>
        <w:r>
          <w:rPr>
            <w:noProof/>
            <w:webHidden/>
          </w:rPr>
        </w:r>
        <w:r>
          <w:rPr>
            <w:noProof/>
            <w:webHidden/>
          </w:rPr>
          <w:fldChar w:fldCharType="separate"/>
        </w:r>
        <w:r>
          <w:rPr>
            <w:noProof/>
            <w:webHidden/>
          </w:rPr>
          <w:t>9</w:t>
        </w:r>
        <w:r>
          <w:rPr>
            <w:noProof/>
            <w:webHidden/>
          </w:rPr>
          <w:fldChar w:fldCharType="end"/>
        </w:r>
      </w:hyperlink>
    </w:p>
    <w:p w14:paraId="2B8F989F" w14:textId="1ED6AF33" w:rsidR="008F73BE" w:rsidRDefault="008F73BE">
      <w:pPr>
        <w:pStyle w:val="TOC3"/>
        <w:rPr>
          <w:rFonts w:asciiTheme="minorHAnsi" w:eastAsiaTheme="minorEastAsia" w:hAnsiTheme="minorHAnsi" w:cstheme="minorBidi"/>
          <w:noProof/>
          <w:color w:val="auto"/>
          <w:kern w:val="2"/>
          <w:lang w:eastAsia="en-GB"/>
          <w14:ligatures w14:val="standardContextual"/>
        </w:rPr>
      </w:pPr>
      <w:hyperlink w:anchor="_Toc231482932" w:history="1">
        <w:r w:rsidRPr="009D18F4">
          <w:rPr>
            <w:rStyle w:val="Hyperlink"/>
            <w:noProof/>
          </w:rPr>
          <w:t>What works</w:t>
        </w:r>
        <w:r>
          <w:rPr>
            <w:noProof/>
            <w:webHidden/>
          </w:rPr>
          <w:tab/>
        </w:r>
        <w:r>
          <w:rPr>
            <w:noProof/>
            <w:webHidden/>
          </w:rPr>
          <w:fldChar w:fldCharType="begin"/>
        </w:r>
        <w:r>
          <w:rPr>
            <w:noProof/>
            <w:webHidden/>
          </w:rPr>
          <w:instrText xml:space="preserve"> PAGEREF _Toc231482932 \h </w:instrText>
        </w:r>
        <w:r>
          <w:rPr>
            <w:noProof/>
            <w:webHidden/>
          </w:rPr>
        </w:r>
        <w:r>
          <w:rPr>
            <w:noProof/>
            <w:webHidden/>
          </w:rPr>
          <w:fldChar w:fldCharType="separate"/>
        </w:r>
        <w:r>
          <w:rPr>
            <w:noProof/>
            <w:webHidden/>
          </w:rPr>
          <w:t>9</w:t>
        </w:r>
        <w:r>
          <w:rPr>
            <w:noProof/>
            <w:webHidden/>
          </w:rPr>
          <w:fldChar w:fldCharType="end"/>
        </w:r>
      </w:hyperlink>
    </w:p>
    <w:p w14:paraId="3EDEC96E" w14:textId="4159A7F6" w:rsidR="008F73BE" w:rsidRDefault="008F73BE">
      <w:pPr>
        <w:pStyle w:val="TOC3"/>
        <w:rPr>
          <w:rFonts w:asciiTheme="minorHAnsi" w:eastAsiaTheme="minorEastAsia" w:hAnsiTheme="minorHAnsi" w:cstheme="minorBidi"/>
          <w:noProof/>
          <w:color w:val="auto"/>
          <w:kern w:val="2"/>
          <w:lang w:eastAsia="en-GB"/>
          <w14:ligatures w14:val="standardContextual"/>
        </w:rPr>
      </w:pPr>
      <w:hyperlink w:anchor="_Toc231482933" w:history="1">
        <w:r w:rsidRPr="009D18F4">
          <w:rPr>
            <w:rStyle w:val="Hyperlink"/>
            <w:noProof/>
          </w:rPr>
          <w:t>What doesn’t work</w:t>
        </w:r>
        <w:r>
          <w:rPr>
            <w:noProof/>
            <w:webHidden/>
          </w:rPr>
          <w:tab/>
        </w:r>
        <w:r>
          <w:rPr>
            <w:noProof/>
            <w:webHidden/>
          </w:rPr>
          <w:fldChar w:fldCharType="begin"/>
        </w:r>
        <w:r>
          <w:rPr>
            <w:noProof/>
            <w:webHidden/>
          </w:rPr>
          <w:instrText xml:space="preserve"> PAGEREF _Toc231482933 \h </w:instrText>
        </w:r>
        <w:r>
          <w:rPr>
            <w:noProof/>
            <w:webHidden/>
          </w:rPr>
        </w:r>
        <w:r>
          <w:rPr>
            <w:noProof/>
            <w:webHidden/>
          </w:rPr>
          <w:fldChar w:fldCharType="separate"/>
        </w:r>
        <w:r>
          <w:rPr>
            <w:noProof/>
            <w:webHidden/>
          </w:rPr>
          <w:t>11</w:t>
        </w:r>
        <w:r>
          <w:rPr>
            <w:noProof/>
            <w:webHidden/>
          </w:rPr>
          <w:fldChar w:fldCharType="end"/>
        </w:r>
      </w:hyperlink>
    </w:p>
    <w:p w14:paraId="03E2473F" w14:textId="7556A46C" w:rsidR="008F73BE" w:rsidRDefault="008F73BE">
      <w:pPr>
        <w:pStyle w:val="TOC3"/>
        <w:rPr>
          <w:rFonts w:asciiTheme="minorHAnsi" w:eastAsiaTheme="minorEastAsia" w:hAnsiTheme="minorHAnsi" w:cstheme="minorBidi"/>
          <w:noProof/>
          <w:color w:val="auto"/>
          <w:kern w:val="2"/>
          <w:lang w:eastAsia="en-GB"/>
          <w14:ligatures w14:val="standardContextual"/>
        </w:rPr>
      </w:pPr>
      <w:hyperlink w:anchor="_Toc231482934" w:history="1">
        <w:r w:rsidRPr="009D18F4">
          <w:rPr>
            <w:rStyle w:val="Hyperlink"/>
            <w:noProof/>
          </w:rPr>
          <w:t>Evidence gaps</w:t>
        </w:r>
        <w:r>
          <w:rPr>
            <w:noProof/>
            <w:webHidden/>
          </w:rPr>
          <w:tab/>
        </w:r>
        <w:r>
          <w:rPr>
            <w:noProof/>
            <w:webHidden/>
          </w:rPr>
          <w:fldChar w:fldCharType="begin"/>
        </w:r>
        <w:r>
          <w:rPr>
            <w:noProof/>
            <w:webHidden/>
          </w:rPr>
          <w:instrText xml:space="preserve"> PAGEREF _Toc231482934 \h </w:instrText>
        </w:r>
        <w:r>
          <w:rPr>
            <w:noProof/>
            <w:webHidden/>
          </w:rPr>
        </w:r>
        <w:r>
          <w:rPr>
            <w:noProof/>
            <w:webHidden/>
          </w:rPr>
          <w:fldChar w:fldCharType="separate"/>
        </w:r>
        <w:r>
          <w:rPr>
            <w:noProof/>
            <w:webHidden/>
          </w:rPr>
          <w:t>12</w:t>
        </w:r>
        <w:r>
          <w:rPr>
            <w:noProof/>
            <w:webHidden/>
          </w:rPr>
          <w:fldChar w:fldCharType="end"/>
        </w:r>
      </w:hyperlink>
    </w:p>
    <w:p w14:paraId="1AD3FDE7" w14:textId="3F0E62F3" w:rsidR="008F73BE" w:rsidRDefault="008F73BE">
      <w:pPr>
        <w:pStyle w:val="TOC1"/>
        <w:rPr>
          <w:rFonts w:asciiTheme="minorHAnsi" w:eastAsiaTheme="minorEastAsia" w:hAnsiTheme="minorHAnsi" w:cstheme="minorBidi"/>
          <w:b w:val="0"/>
          <w:noProof/>
          <w:color w:val="auto"/>
          <w:kern w:val="2"/>
          <w:lang w:eastAsia="en-GB"/>
          <w14:ligatures w14:val="standardContextual"/>
        </w:rPr>
      </w:pPr>
      <w:hyperlink w:anchor="_Toc231482935" w:history="1">
        <w:r w:rsidRPr="009D18F4">
          <w:rPr>
            <w:rStyle w:val="Hyperlink"/>
            <w:noProof/>
          </w:rPr>
          <w:t>Introduction</w:t>
        </w:r>
        <w:r>
          <w:rPr>
            <w:noProof/>
            <w:webHidden/>
          </w:rPr>
          <w:tab/>
        </w:r>
        <w:r>
          <w:rPr>
            <w:noProof/>
            <w:webHidden/>
          </w:rPr>
          <w:fldChar w:fldCharType="begin"/>
        </w:r>
        <w:r>
          <w:rPr>
            <w:noProof/>
            <w:webHidden/>
          </w:rPr>
          <w:instrText xml:space="preserve"> PAGEREF _Toc231482935 \h </w:instrText>
        </w:r>
        <w:r>
          <w:rPr>
            <w:noProof/>
            <w:webHidden/>
          </w:rPr>
        </w:r>
        <w:r>
          <w:rPr>
            <w:noProof/>
            <w:webHidden/>
          </w:rPr>
          <w:fldChar w:fldCharType="separate"/>
        </w:r>
        <w:r>
          <w:rPr>
            <w:noProof/>
            <w:webHidden/>
          </w:rPr>
          <w:t>13</w:t>
        </w:r>
        <w:r>
          <w:rPr>
            <w:noProof/>
            <w:webHidden/>
          </w:rPr>
          <w:fldChar w:fldCharType="end"/>
        </w:r>
      </w:hyperlink>
    </w:p>
    <w:p w14:paraId="51C03B5E" w14:textId="0B800D64" w:rsidR="008F73BE" w:rsidRDefault="008F73BE">
      <w:pPr>
        <w:pStyle w:val="TOC1"/>
        <w:rPr>
          <w:rFonts w:asciiTheme="minorHAnsi" w:eastAsiaTheme="minorEastAsia" w:hAnsiTheme="minorHAnsi" w:cstheme="minorBidi"/>
          <w:b w:val="0"/>
          <w:noProof/>
          <w:color w:val="auto"/>
          <w:kern w:val="2"/>
          <w:lang w:eastAsia="en-GB"/>
          <w14:ligatures w14:val="standardContextual"/>
        </w:rPr>
      </w:pPr>
      <w:hyperlink w:anchor="_Toc231482936" w:history="1">
        <w:r w:rsidRPr="009D18F4">
          <w:rPr>
            <w:rStyle w:val="Hyperlink"/>
            <w:noProof/>
          </w:rPr>
          <w:t>Aims</w:t>
        </w:r>
        <w:r>
          <w:rPr>
            <w:noProof/>
            <w:webHidden/>
          </w:rPr>
          <w:tab/>
        </w:r>
        <w:r>
          <w:rPr>
            <w:noProof/>
            <w:webHidden/>
          </w:rPr>
          <w:fldChar w:fldCharType="begin"/>
        </w:r>
        <w:r>
          <w:rPr>
            <w:noProof/>
            <w:webHidden/>
          </w:rPr>
          <w:instrText xml:space="preserve"> PAGEREF _Toc231482936 \h </w:instrText>
        </w:r>
        <w:r>
          <w:rPr>
            <w:noProof/>
            <w:webHidden/>
          </w:rPr>
        </w:r>
        <w:r>
          <w:rPr>
            <w:noProof/>
            <w:webHidden/>
          </w:rPr>
          <w:fldChar w:fldCharType="separate"/>
        </w:r>
        <w:r>
          <w:rPr>
            <w:noProof/>
            <w:webHidden/>
          </w:rPr>
          <w:t>14</w:t>
        </w:r>
        <w:r>
          <w:rPr>
            <w:noProof/>
            <w:webHidden/>
          </w:rPr>
          <w:fldChar w:fldCharType="end"/>
        </w:r>
      </w:hyperlink>
    </w:p>
    <w:p w14:paraId="56B264AE" w14:textId="566B4095" w:rsidR="008F73BE" w:rsidRDefault="008F73BE">
      <w:pPr>
        <w:pStyle w:val="TOC1"/>
        <w:rPr>
          <w:rFonts w:asciiTheme="minorHAnsi" w:eastAsiaTheme="minorEastAsia" w:hAnsiTheme="minorHAnsi" w:cstheme="minorBidi"/>
          <w:b w:val="0"/>
          <w:noProof/>
          <w:color w:val="auto"/>
          <w:kern w:val="2"/>
          <w:lang w:eastAsia="en-GB"/>
          <w14:ligatures w14:val="standardContextual"/>
        </w:rPr>
      </w:pPr>
      <w:hyperlink w:anchor="_Toc231482937" w:history="1">
        <w:r w:rsidRPr="009D18F4">
          <w:rPr>
            <w:rStyle w:val="Hyperlink"/>
            <w:noProof/>
          </w:rPr>
          <w:t>Methodology</w:t>
        </w:r>
        <w:r>
          <w:rPr>
            <w:noProof/>
            <w:webHidden/>
          </w:rPr>
          <w:tab/>
        </w:r>
        <w:r>
          <w:rPr>
            <w:noProof/>
            <w:webHidden/>
          </w:rPr>
          <w:fldChar w:fldCharType="begin"/>
        </w:r>
        <w:r>
          <w:rPr>
            <w:noProof/>
            <w:webHidden/>
          </w:rPr>
          <w:instrText xml:space="preserve"> PAGEREF _Toc231482937 \h </w:instrText>
        </w:r>
        <w:r>
          <w:rPr>
            <w:noProof/>
            <w:webHidden/>
          </w:rPr>
        </w:r>
        <w:r>
          <w:rPr>
            <w:noProof/>
            <w:webHidden/>
          </w:rPr>
          <w:fldChar w:fldCharType="separate"/>
        </w:r>
        <w:r>
          <w:rPr>
            <w:noProof/>
            <w:webHidden/>
          </w:rPr>
          <w:t>14</w:t>
        </w:r>
        <w:r>
          <w:rPr>
            <w:noProof/>
            <w:webHidden/>
          </w:rPr>
          <w:fldChar w:fldCharType="end"/>
        </w:r>
      </w:hyperlink>
    </w:p>
    <w:p w14:paraId="14CD57C2" w14:textId="78C62D22" w:rsidR="008F73BE" w:rsidRDefault="008F73BE">
      <w:pPr>
        <w:pStyle w:val="TOC1"/>
        <w:rPr>
          <w:rFonts w:asciiTheme="minorHAnsi" w:eastAsiaTheme="minorEastAsia" w:hAnsiTheme="minorHAnsi" w:cstheme="minorBidi"/>
          <w:b w:val="0"/>
          <w:noProof/>
          <w:color w:val="auto"/>
          <w:kern w:val="2"/>
          <w:lang w:eastAsia="en-GB"/>
          <w14:ligatures w14:val="standardContextual"/>
        </w:rPr>
      </w:pPr>
      <w:hyperlink w:anchor="_Toc231482938" w:history="1">
        <w:r w:rsidRPr="009D18F4">
          <w:rPr>
            <w:rStyle w:val="Hyperlink"/>
            <w:noProof/>
          </w:rPr>
          <w:t>Findings</w:t>
        </w:r>
        <w:r>
          <w:rPr>
            <w:noProof/>
            <w:webHidden/>
          </w:rPr>
          <w:tab/>
        </w:r>
        <w:r>
          <w:rPr>
            <w:noProof/>
            <w:webHidden/>
          </w:rPr>
          <w:fldChar w:fldCharType="begin"/>
        </w:r>
        <w:r>
          <w:rPr>
            <w:noProof/>
            <w:webHidden/>
          </w:rPr>
          <w:instrText xml:space="preserve"> PAGEREF _Toc231482938 \h </w:instrText>
        </w:r>
        <w:r>
          <w:rPr>
            <w:noProof/>
            <w:webHidden/>
          </w:rPr>
        </w:r>
        <w:r>
          <w:rPr>
            <w:noProof/>
            <w:webHidden/>
          </w:rPr>
          <w:fldChar w:fldCharType="separate"/>
        </w:r>
        <w:r>
          <w:rPr>
            <w:noProof/>
            <w:webHidden/>
          </w:rPr>
          <w:t>16</w:t>
        </w:r>
        <w:r>
          <w:rPr>
            <w:noProof/>
            <w:webHidden/>
          </w:rPr>
          <w:fldChar w:fldCharType="end"/>
        </w:r>
      </w:hyperlink>
    </w:p>
    <w:p w14:paraId="24AC5A36" w14:textId="54177D5A" w:rsidR="008F73BE" w:rsidRDefault="008F73BE">
      <w:pPr>
        <w:pStyle w:val="TOC2"/>
        <w:rPr>
          <w:rFonts w:asciiTheme="minorHAnsi" w:eastAsiaTheme="minorEastAsia" w:hAnsiTheme="minorHAnsi" w:cstheme="minorBidi"/>
          <w:noProof/>
          <w:color w:val="auto"/>
          <w:kern w:val="2"/>
          <w:lang w:eastAsia="en-GB"/>
          <w14:ligatures w14:val="standardContextual"/>
        </w:rPr>
      </w:pPr>
      <w:hyperlink w:anchor="_Toc231482939" w:history="1">
        <w:r w:rsidRPr="009D18F4">
          <w:rPr>
            <w:rStyle w:val="Hyperlink"/>
            <w:noProof/>
          </w:rPr>
          <w:t>Summary</w:t>
        </w:r>
        <w:r w:rsidRPr="009D18F4">
          <w:rPr>
            <w:rStyle w:val="Hyperlink"/>
            <w:rFonts w:ascii="Verdana" w:hAnsi="Verdana"/>
            <w:noProof/>
          </w:rPr>
          <w:t xml:space="preserve"> </w:t>
        </w:r>
        <w:r w:rsidRPr="009D18F4">
          <w:rPr>
            <w:rStyle w:val="Hyperlink"/>
            <w:noProof/>
          </w:rPr>
          <w:t>of evidence strength</w:t>
        </w:r>
        <w:r>
          <w:rPr>
            <w:noProof/>
            <w:webHidden/>
          </w:rPr>
          <w:tab/>
        </w:r>
        <w:r>
          <w:rPr>
            <w:noProof/>
            <w:webHidden/>
          </w:rPr>
          <w:fldChar w:fldCharType="begin"/>
        </w:r>
        <w:r>
          <w:rPr>
            <w:noProof/>
            <w:webHidden/>
          </w:rPr>
          <w:instrText xml:space="preserve"> PAGEREF _Toc231482939 \h </w:instrText>
        </w:r>
        <w:r>
          <w:rPr>
            <w:noProof/>
            <w:webHidden/>
          </w:rPr>
        </w:r>
        <w:r>
          <w:rPr>
            <w:noProof/>
            <w:webHidden/>
          </w:rPr>
          <w:fldChar w:fldCharType="separate"/>
        </w:r>
        <w:r>
          <w:rPr>
            <w:noProof/>
            <w:webHidden/>
          </w:rPr>
          <w:t>17</w:t>
        </w:r>
        <w:r>
          <w:rPr>
            <w:noProof/>
            <w:webHidden/>
          </w:rPr>
          <w:fldChar w:fldCharType="end"/>
        </w:r>
      </w:hyperlink>
    </w:p>
    <w:p w14:paraId="030D8DF5" w14:textId="7EDD092B" w:rsidR="008F73BE" w:rsidRDefault="008F73BE">
      <w:pPr>
        <w:pStyle w:val="TOC2"/>
        <w:rPr>
          <w:rFonts w:asciiTheme="minorHAnsi" w:eastAsiaTheme="minorEastAsia" w:hAnsiTheme="minorHAnsi" w:cstheme="minorBidi"/>
          <w:noProof/>
          <w:color w:val="auto"/>
          <w:kern w:val="2"/>
          <w:lang w:eastAsia="en-GB"/>
          <w14:ligatures w14:val="standardContextual"/>
        </w:rPr>
      </w:pPr>
      <w:hyperlink w:anchor="_Toc231482940" w:history="1">
        <w:r w:rsidRPr="009D18F4">
          <w:rPr>
            <w:rStyle w:val="Hyperlink"/>
            <w:noProof/>
          </w:rPr>
          <w:t>Overview</w:t>
        </w:r>
        <w:r w:rsidRPr="009D18F4">
          <w:rPr>
            <w:rStyle w:val="Hyperlink"/>
            <w:rFonts w:ascii="Verdana" w:hAnsi="Verdana"/>
            <w:noProof/>
          </w:rPr>
          <w:t xml:space="preserve"> </w:t>
        </w:r>
        <w:r w:rsidRPr="009D18F4">
          <w:rPr>
            <w:rStyle w:val="Hyperlink"/>
            <w:noProof/>
          </w:rPr>
          <w:t>of the evidence</w:t>
        </w:r>
        <w:r>
          <w:rPr>
            <w:noProof/>
            <w:webHidden/>
          </w:rPr>
          <w:tab/>
        </w:r>
        <w:r>
          <w:rPr>
            <w:noProof/>
            <w:webHidden/>
          </w:rPr>
          <w:fldChar w:fldCharType="begin"/>
        </w:r>
        <w:r>
          <w:rPr>
            <w:noProof/>
            <w:webHidden/>
          </w:rPr>
          <w:instrText xml:space="preserve"> PAGEREF _Toc231482940 \h </w:instrText>
        </w:r>
        <w:r>
          <w:rPr>
            <w:noProof/>
            <w:webHidden/>
          </w:rPr>
        </w:r>
        <w:r>
          <w:rPr>
            <w:noProof/>
            <w:webHidden/>
          </w:rPr>
          <w:fldChar w:fldCharType="separate"/>
        </w:r>
        <w:r>
          <w:rPr>
            <w:noProof/>
            <w:webHidden/>
          </w:rPr>
          <w:t>17</w:t>
        </w:r>
        <w:r>
          <w:rPr>
            <w:noProof/>
            <w:webHidden/>
          </w:rPr>
          <w:fldChar w:fldCharType="end"/>
        </w:r>
      </w:hyperlink>
    </w:p>
    <w:p w14:paraId="3A0B964B" w14:textId="5619AF7D" w:rsidR="008F73BE" w:rsidRDefault="008F73BE">
      <w:pPr>
        <w:pStyle w:val="TOC3"/>
        <w:rPr>
          <w:rFonts w:asciiTheme="minorHAnsi" w:eastAsiaTheme="minorEastAsia" w:hAnsiTheme="minorHAnsi" w:cstheme="minorBidi"/>
          <w:noProof/>
          <w:color w:val="auto"/>
          <w:kern w:val="2"/>
          <w:lang w:eastAsia="en-GB"/>
          <w14:ligatures w14:val="standardContextual"/>
        </w:rPr>
      </w:pPr>
      <w:hyperlink w:anchor="_Toc231482941" w:history="1">
        <w:r w:rsidRPr="009D18F4">
          <w:rPr>
            <w:rStyle w:val="Hyperlink"/>
            <w:noProof/>
          </w:rPr>
          <w:t>Indigenous-led and community-controlled approaches</w:t>
        </w:r>
        <w:r>
          <w:rPr>
            <w:noProof/>
            <w:webHidden/>
          </w:rPr>
          <w:tab/>
        </w:r>
        <w:r>
          <w:rPr>
            <w:noProof/>
            <w:webHidden/>
          </w:rPr>
          <w:fldChar w:fldCharType="begin"/>
        </w:r>
        <w:r>
          <w:rPr>
            <w:noProof/>
            <w:webHidden/>
          </w:rPr>
          <w:instrText xml:space="preserve"> PAGEREF _Toc231482941 \h </w:instrText>
        </w:r>
        <w:r>
          <w:rPr>
            <w:noProof/>
            <w:webHidden/>
          </w:rPr>
        </w:r>
        <w:r>
          <w:rPr>
            <w:noProof/>
            <w:webHidden/>
          </w:rPr>
          <w:fldChar w:fldCharType="separate"/>
        </w:r>
        <w:r>
          <w:rPr>
            <w:noProof/>
            <w:webHidden/>
          </w:rPr>
          <w:t>18</w:t>
        </w:r>
        <w:r>
          <w:rPr>
            <w:noProof/>
            <w:webHidden/>
          </w:rPr>
          <w:fldChar w:fldCharType="end"/>
        </w:r>
      </w:hyperlink>
    </w:p>
    <w:p w14:paraId="69918E1E" w14:textId="46C8DF5C" w:rsidR="008F73BE" w:rsidRDefault="008F73BE">
      <w:pPr>
        <w:pStyle w:val="TOC3"/>
        <w:rPr>
          <w:rFonts w:asciiTheme="minorHAnsi" w:eastAsiaTheme="minorEastAsia" w:hAnsiTheme="minorHAnsi" w:cstheme="minorBidi"/>
          <w:noProof/>
          <w:color w:val="auto"/>
          <w:kern w:val="2"/>
          <w:lang w:eastAsia="en-GB"/>
          <w14:ligatures w14:val="standardContextual"/>
        </w:rPr>
      </w:pPr>
      <w:hyperlink w:anchor="_Toc231482942" w:history="1">
        <w:r w:rsidRPr="009D18F4">
          <w:rPr>
            <w:rStyle w:val="Hyperlink"/>
            <w:noProof/>
          </w:rPr>
          <w:t>Cultural safety as a precondition for engagement</w:t>
        </w:r>
        <w:r>
          <w:rPr>
            <w:noProof/>
            <w:webHidden/>
          </w:rPr>
          <w:tab/>
        </w:r>
        <w:r>
          <w:rPr>
            <w:noProof/>
            <w:webHidden/>
          </w:rPr>
          <w:fldChar w:fldCharType="begin"/>
        </w:r>
        <w:r>
          <w:rPr>
            <w:noProof/>
            <w:webHidden/>
          </w:rPr>
          <w:instrText xml:space="preserve"> PAGEREF _Toc231482942 \h </w:instrText>
        </w:r>
        <w:r>
          <w:rPr>
            <w:noProof/>
            <w:webHidden/>
          </w:rPr>
        </w:r>
        <w:r>
          <w:rPr>
            <w:noProof/>
            <w:webHidden/>
          </w:rPr>
          <w:fldChar w:fldCharType="separate"/>
        </w:r>
        <w:r>
          <w:rPr>
            <w:noProof/>
            <w:webHidden/>
          </w:rPr>
          <w:t>19</w:t>
        </w:r>
        <w:r>
          <w:rPr>
            <w:noProof/>
            <w:webHidden/>
          </w:rPr>
          <w:fldChar w:fldCharType="end"/>
        </w:r>
      </w:hyperlink>
    </w:p>
    <w:p w14:paraId="100601B3" w14:textId="2AC01976" w:rsidR="008F73BE" w:rsidRDefault="008F73BE">
      <w:pPr>
        <w:pStyle w:val="TOC3"/>
        <w:rPr>
          <w:rFonts w:asciiTheme="minorHAnsi" w:eastAsiaTheme="minorEastAsia" w:hAnsiTheme="minorHAnsi" w:cstheme="minorBidi"/>
          <w:noProof/>
          <w:color w:val="auto"/>
          <w:kern w:val="2"/>
          <w:lang w:eastAsia="en-GB"/>
          <w14:ligatures w14:val="standardContextual"/>
        </w:rPr>
      </w:pPr>
      <w:hyperlink w:anchor="_Toc231482943" w:history="1">
        <w:r w:rsidRPr="009D18F4">
          <w:rPr>
            <w:rStyle w:val="Hyperlink"/>
            <w:noProof/>
          </w:rPr>
          <w:t>Relational and trust-based service delivery</w:t>
        </w:r>
        <w:r>
          <w:rPr>
            <w:noProof/>
            <w:webHidden/>
          </w:rPr>
          <w:tab/>
        </w:r>
        <w:r>
          <w:rPr>
            <w:noProof/>
            <w:webHidden/>
          </w:rPr>
          <w:fldChar w:fldCharType="begin"/>
        </w:r>
        <w:r>
          <w:rPr>
            <w:noProof/>
            <w:webHidden/>
          </w:rPr>
          <w:instrText xml:space="preserve"> PAGEREF _Toc231482943 \h </w:instrText>
        </w:r>
        <w:r>
          <w:rPr>
            <w:noProof/>
            <w:webHidden/>
          </w:rPr>
        </w:r>
        <w:r>
          <w:rPr>
            <w:noProof/>
            <w:webHidden/>
          </w:rPr>
          <w:fldChar w:fldCharType="separate"/>
        </w:r>
        <w:r>
          <w:rPr>
            <w:noProof/>
            <w:webHidden/>
          </w:rPr>
          <w:t>20</w:t>
        </w:r>
        <w:r>
          <w:rPr>
            <w:noProof/>
            <w:webHidden/>
          </w:rPr>
          <w:fldChar w:fldCharType="end"/>
        </w:r>
      </w:hyperlink>
    </w:p>
    <w:p w14:paraId="517BD99D" w14:textId="0356ECDE" w:rsidR="008F73BE" w:rsidRDefault="008F73BE">
      <w:pPr>
        <w:pStyle w:val="TOC3"/>
        <w:rPr>
          <w:rFonts w:asciiTheme="minorHAnsi" w:eastAsiaTheme="minorEastAsia" w:hAnsiTheme="minorHAnsi" w:cstheme="minorBidi"/>
          <w:noProof/>
          <w:color w:val="auto"/>
          <w:kern w:val="2"/>
          <w:lang w:eastAsia="en-GB"/>
          <w14:ligatures w14:val="standardContextual"/>
        </w:rPr>
      </w:pPr>
      <w:hyperlink w:anchor="_Toc231482944" w:history="1">
        <w:r w:rsidRPr="009D18F4">
          <w:rPr>
            <w:rStyle w:val="Hyperlink"/>
            <w:noProof/>
          </w:rPr>
          <w:t>Flexible and context-responsive service design</w:t>
        </w:r>
        <w:r>
          <w:rPr>
            <w:noProof/>
            <w:webHidden/>
          </w:rPr>
          <w:tab/>
        </w:r>
        <w:r>
          <w:rPr>
            <w:noProof/>
            <w:webHidden/>
          </w:rPr>
          <w:fldChar w:fldCharType="begin"/>
        </w:r>
        <w:r>
          <w:rPr>
            <w:noProof/>
            <w:webHidden/>
          </w:rPr>
          <w:instrText xml:space="preserve"> PAGEREF _Toc231482944 \h </w:instrText>
        </w:r>
        <w:r>
          <w:rPr>
            <w:noProof/>
            <w:webHidden/>
          </w:rPr>
        </w:r>
        <w:r>
          <w:rPr>
            <w:noProof/>
            <w:webHidden/>
          </w:rPr>
          <w:fldChar w:fldCharType="separate"/>
        </w:r>
        <w:r>
          <w:rPr>
            <w:noProof/>
            <w:webHidden/>
          </w:rPr>
          <w:t>21</w:t>
        </w:r>
        <w:r>
          <w:rPr>
            <w:noProof/>
            <w:webHidden/>
          </w:rPr>
          <w:fldChar w:fldCharType="end"/>
        </w:r>
      </w:hyperlink>
    </w:p>
    <w:p w14:paraId="17582E9C" w14:textId="2C63890F" w:rsidR="008F73BE" w:rsidRDefault="008F73BE">
      <w:pPr>
        <w:pStyle w:val="TOC3"/>
        <w:rPr>
          <w:rFonts w:asciiTheme="minorHAnsi" w:eastAsiaTheme="minorEastAsia" w:hAnsiTheme="minorHAnsi" w:cstheme="minorBidi"/>
          <w:noProof/>
          <w:color w:val="auto"/>
          <w:kern w:val="2"/>
          <w:lang w:eastAsia="en-GB"/>
          <w14:ligatures w14:val="standardContextual"/>
        </w:rPr>
      </w:pPr>
      <w:hyperlink w:anchor="_Toc231482945" w:history="1">
        <w:r w:rsidRPr="009D18F4">
          <w:rPr>
            <w:rStyle w:val="Hyperlink"/>
            <w:noProof/>
          </w:rPr>
          <w:t>Co-design and shared decision-making</w:t>
        </w:r>
        <w:r>
          <w:rPr>
            <w:noProof/>
            <w:webHidden/>
          </w:rPr>
          <w:tab/>
        </w:r>
        <w:r>
          <w:rPr>
            <w:noProof/>
            <w:webHidden/>
          </w:rPr>
          <w:fldChar w:fldCharType="begin"/>
        </w:r>
        <w:r>
          <w:rPr>
            <w:noProof/>
            <w:webHidden/>
          </w:rPr>
          <w:instrText xml:space="preserve"> PAGEREF _Toc231482945 \h </w:instrText>
        </w:r>
        <w:r>
          <w:rPr>
            <w:noProof/>
            <w:webHidden/>
          </w:rPr>
        </w:r>
        <w:r>
          <w:rPr>
            <w:noProof/>
            <w:webHidden/>
          </w:rPr>
          <w:fldChar w:fldCharType="separate"/>
        </w:r>
        <w:r>
          <w:rPr>
            <w:noProof/>
            <w:webHidden/>
          </w:rPr>
          <w:t>21</w:t>
        </w:r>
        <w:r>
          <w:rPr>
            <w:noProof/>
            <w:webHidden/>
          </w:rPr>
          <w:fldChar w:fldCharType="end"/>
        </w:r>
      </w:hyperlink>
    </w:p>
    <w:p w14:paraId="2D00D098" w14:textId="3753F40F" w:rsidR="008F73BE" w:rsidRDefault="008F73BE">
      <w:pPr>
        <w:pStyle w:val="TOC3"/>
        <w:rPr>
          <w:rFonts w:asciiTheme="minorHAnsi" w:eastAsiaTheme="minorEastAsia" w:hAnsiTheme="minorHAnsi" w:cstheme="minorBidi"/>
          <w:noProof/>
          <w:color w:val="auto"/>
          <w:kern w:val="2"/>
          <w:lang w:eastAsia="en-GB"/>
          <w14:ligatures w14:val="standardContextual"/>
        </w:rPr>
      </w:pPr>
      <w:hyperlink w:anchor="_Toc231482946" w:history="1">
        <w:r w:rsidRPr="009D18F4">
          <w:rPr>
            <w:rStyle w:val="Hyperlink"/>
            <w:noProof/>
          </w:rPr>
          <w:t>Workforce capability and system conditions</w:t>
        </w:r>
        <w:r>
          <w:rPr>
            <w:noProof/>
            <w:webHidden/>
          </w:rPr>
          <w:tab/>
        </w:r>
        <w:r>
          <w:rPr>
            <w:noProof/>
            <w:webHidden/>
          </w:rPr>
          <w:fldChar w:fldCharType="begin"/>
        </w:r>
        <w:r>
          <w:rPr>
            <w:noProof/>
            <w:webHidden/>
          </w:rPr>
          <w:instrText xml:space="preserve"> PAGEREF _Toc231482946 \h </w:instrText>
        </w:r>
        <w:r>
          <w:rPr>
            <w:noProof/>
            <w:webHidden/>
          </w:rPr>
        </w:r>
        <w:r>
          <w:rPr>
            <w:noProof/>
            <w:webHidden/>
          </w:rPr>
          <w:fldChar w:fldCharType="separate"/>
        </w:r>
        <w:r>
          <w:rPr>
            <w:noProof/>
            <w:webHidden/>
          </w:rPr>
          <w:t>22</w:t>
        </w:r>
        <w:r>
          <w:rPr>
            <w:noProof/>
            <w:webHidden/>
          </w:rPr>
          <w:fldChar w:fldCharType="end"/>
        </w:r>
      </w:hyperlink>
    </w:p>
    <w:p w14:paraId="134F1A5C" w14:textId="262793B6" w:rsidR="008F73BE" w:rsidRDefault="008F73BE">
      <w:pPr>
        <w:pStyle w:val="TOC3"/>
        <w:rPr>
          <w:rFonts w:asciiTheme="minorHAnsi" w:eastAsiaTheme="minorEastAsia" w:hAnsiTheme="minorHAnsi" w:cstheme="minorBidi"/>
          <w:noProof/>
          <w:color w:val="auto"/>
          <w:kern w:val="2"/>
          <w:lang w:eastAsia="en-GB"/>
          <w14:ligatures w14:val="standardContextual"/>
        </w:rPr>
      </w:pPr>
      <w:hyperlink w:anchor="_Toc231482947" w:history="1">
        <w:r w:rsidRPr="009D18F4">
          <w:rPr>
            <w:rStyle w:val="Hyperlink"/>
            <w:noProof/>
          </w:rPr>
          <w:t>Identifying and addressing racism</w:t>
        </w:r>
        <w:r>
          <w:rPr>
            <w:noProof/>
            <w:webHidden/>
          </w:rPr>
          <w:tab/>
        </w:r>
        <w:r>
          <w:rPr>
            <w:noProof/>
            <w:webHidden/>
          </w:rPr>
          <w:fldChar w:fldCharType="begin"/>
        </w:r>
        <w:r>
          <w:rPr>
            <w:noProof/>
            <w:webHidden/>
          </w:rPr>
          <w:instrText xml:space="preserve"> PAGEREF _Toc231482947 \h </w:instrText>
        </w:r>
        <w:r>
          <w:rPr>
            <w:noProof/>
            <w:webHidden/>
          </w:rPr>
        </w:r>
        <w:r>
          <w:rPr>
            <w:noProof/>
            <w:webHidden/>
          </w:rPr>
          <w:fldChar w:fldCharType="separate"/>
        </w:r>
        <w:r>
          <w:rPr>
            <w:noProof/>
            <w:webHidden/>
          </w:rPr>
          <w:t>23</w:t>
        </w:r>
        <w:r>
          <w:rPr>
            <w:noProof/>
            <w:webHidden/>
          </w:rPr>
          <w:fldChar w:fldCharType="end"/>
        </w:r>
      </w:hyperlink>
    </w:p>
    <w:p w14:paraId="5CB2E54E" w14:textId="417A95EB" w:rsidR="008F73BE" w:rsidRDefault="008F73BE">
      <w:pPr>
        <w:pStyle w:val="TOC2"/>
        <w:rPr>
          <w:rFonts w:asciiTheme="minorHAnsi" w:eastAsiaTheme="minorEastAsia" w:hAnsiTheme="minorHAnsi" w:cstheme="minorBidi"/>
          <w:noProof/>
          <w:color w:val="auto"/>
          <w:kern w:val="2"/>
          <w:lang w:eastAsia="en-GB"/>
          <w14:ligatures w14:val="standardContextual"/>
        </w:rPr>
      </w:pPr>
      <w:hyperlink w:anchor="_Toc231482948" w:history="1">
        <w:r w:rsidRPr="009D18F4">
          <w:rPr>
            <w:rStyle w:val="Hyperlink"/>
            <w:noProof/>
          </w:rPr>
          <w:t>Positioning, themes and use of scenarios</w:t>
        </w:r>
        <w:r>
          <w:rPr>
            <w:noProof/>
            <w:webHidden/>
          </w:rPr>
          <w:tab/>
        </w:r>
        <w:r>
          <w:rPr>
            <w:noProof/>
            <w:webHidden/>
          </w:rPr>
          <w:fldChar w:fldCharType="begin"/>
        </w:r>
        <w:r>
          <w:rPr>
            <w:noProof/>
            <w:webHidden/>
          </w:rPr>
          <w:instrText xml:space="preserve"> PAGEREF _Toc231482948 \h </w:instrText>
        </w:r>
        <w:r>
          <w:rPr>
            <w:noProof/>
            <w:webHidden/>
          </w:rPr>
        </w:r>
        <w:r>
          <w:rPr>
            <w:noProof/>
            <w:webHidden/>
          </w:rPr>
          <w:fldChar w:fldCharType="separate"/>
        </w:r>
        <w:r>
          <w:rPr>
            <w:noProof/>
            <w:webHidden/>
          </w:rPr>
          <w:t>23</w:t>
        </w:r>
        <w:r>
          <w:rPr>
            <w:noProof/>
            <w:webHidden/>
          </w:rPr>
          <w:fldChar w:fldCharType="end"/>
        </w:r>
      </w:hyperlink>
    </w:p>
    <w:p w14:paraId="5613CFC7" w14:textId="2F8B133C" w:rsidR="008F73BE" w:rsidRDefault="008F73BE">
      <w:pPr>
        <w:pStyle w:val="TOC3"/>
        <w:rPr>
          <w:rFonts w:asciiTheme="minorHAnsi" w:eastAsiaTheme="minorEastAsia" w:hAnsiTheme="minorHAnsi" w:cstheme="minorBidi"/>
          <w:noProof/>
          <w:color w:val="auto"/>
          <w:kern w:val="2"/>
          <w:lang w:eastAsia="en-GB"/>
          <w14:ligatures w14:val="standardContextual"/>
        </w:rPr>
      </w:pPr>
      <w:hyperlink w:anchor="_Toc231482949" w:history="1">
        <w:r w:rsidRPr="009D18F4">
          <w:rPr>
            <w:rStyle w:val="Hyperlink"/>
            <w:noProof/>
          </w:rPr>
          <w:t>Culturally grounded and Indigenous-led approaches</w:t>
        </w:r>
        <w:r>
          <w:rPr>
            <w:noProof/>
            <w:webHidden/>
          </w:rPr>
          <w:tab/>
        </w:r>
        <w:r>
          <w:rPr>
            <w:noProof/>
            <w:webHidden/>
          </w:rPr>
          <w:fldChar w:fldCharType="begin"/>
        </w:r>
        <w:r>
          <w:rPr>
            <w:noProof/>
            <w:webHidden/>
          </w:rPr>
          <w:instrText xml:space="preserve"> PAGEREF _Toc231482949 \h </w:instrText>
        </w:r>
        <w:r>
          <w:rPr>
            <w:noProof/>
            <w:webHidden/>
          </w:rPr>
        </w:r>
        <w:r>
          <w:rPr>
            <w:noProof/>
            <w:webHidden/>
          </w:rPr>
          <w:fldChar w:fldCharType="separate"/>
        </w:r>
        <w:r>
          <w:rPr>
            <w:noProof/>
            <w:webHidden/>
          </w:rPr>
          <w:t>25</w:t>
        </w:r>
        <w:r>
          <w:rPr>
            <w:noProof/>
            <w:webHidden/>
          </w:rPr>
          <w:fldChar w:fldCharType="end"/>
        </w:r>
      </w:hyperlink>
    </w:p>
    <w:p w14:paraId="5116FB74" w14:textId="5B770492" w:rsidR="008F73BE" w:rsidRDefault="008F73BE">
      <w:pPr>
        <w:pStyle w:val="TOC3"/>
        <w:rPr>
          <w:rFonts w:asciiTheme="minorHAnsi" w:eastAsiaTheme="minorEastAsia" w:hAnsiTheme="minorHAnsi" w:cstheme="minorBidi"/>
          <w:noProof/>
          <w:color w:val="auto"/>
          <w:kern w:val="2"/>
          <w:lang w:eastAsia="en-GB"/>
          <w14:ligatures w14:val="standardContextual"/>
        </w:rPr>
      </w:pPr>
      <w:hyperlink w:anchor="_Toc231482950" w:history="1">
        <w:r w:rsidRPr="009D18F4">
          <w:rPr>
            <w:rStyle w:val="Hyperlink"/>
            <w:noProof/>
          </w:rPr>
          <w:t>Relational and trust-based service</w:t>
        </w:r>
        <w:r w:rsidRPr="009D18F4">
          <w:rPr>
            <w:rStyle w:val="Hyperlink"/>
            <w:rFonts w:ascii="Verdana" w:hAnsi="Verdana"/>
            <w:noProof/>
          </w:rPr>
          <w:t xml:space="preserve"> </w:t>
        </w:r>
        <w:r w:rsidRPr="009D18F4">
          <w:rPr>
            <w:rStyle w:val="Hyperlink"/>
            <w:noProof/>
          </w:rPr>
          <w:t>delivery</w:t>
        </w:r>
        <w:r>
          <w:rPr>
            <w:noProof/>
            <w:webHidden/>
          </w:rPr>
          <w:tab/>
        </w:r>
        <w:r>
          <w:rPr>
            <w:noProof/>
            <w:webHidden/>
          </w:rPr>
          <w:fldChar w:fldCharType="begin"/>
        </w:r>
        <w:r>
          <w:rPr>
            <w:noProof/>
            <w:webHidden/>
          </w:rPr>
          <w:instrText xml:space="preserve"> PAGEREF _Toc231482950 \h </w:instrText>
        </w:r>
        <w:r>
          <w:rPr>
            <w:noProof/>
            <w:webHidden/>
          </w:rPr>
        </w:r>
        <w:r>
          <w:rPr>
            <w:noProof/>
            <w:webHidden/>
          </w:rPr>
          <w:fldChar w:fldCharType="separate"/>
        </w:r>
        <w:r>
          <w:rPr>
            <w:noProof/>
            <w:webHidden/>
          </w:rPr>
          <w:t>27</w:t>
        </w:r>
        <w:r>
          <w:rPr>
            <w:noProof/>
            <w:webHidden/>
          </w:rPr>
          <w:fldChar w:fldCharType="end"/>
        </w:r>
      </w:hyperlink>
    </w:p>
    <w:p w14:paraId="79B97C23" w14:textId="4A918B1B" w:rsidR="008F73BE" w:rsidRDefault="008F73BE">
      <w:pPr>
        <w:pStyle w:val="TOC3"/>
        <w:rPr>
          <w:rFonts w:asciiTheme="minorHAnsi" w:eastAsiaTheme="minorEastAsia" w:hAnsiTheme="minorHAnsi" w:cstheme="minorBidi"/>
          <w:noProof/>
          <w:color w:val="auto"/>
          <w:kern w:val="2"/>
          <w:lang w:eastAsia="en-GB"/>
          <w14:ligatures w14:val="standardContextual"/>
        </w:rPr>
      </w:pPr>
      <w:hyperlink w:anchor="_Toc231482951" w:history="1">
        <w:r w:rsidRPr="009D18F4">
          <w:rPr>
            <w:rStyle w:val="Hyperlink"/>
            <w:noProof/>
          </w:rPr>
          <w:t>Flexible and context-responsive service</w:t>
        </w:r>
        <w:r w:rsidRPr="009D18F4">
          <w:rPr>
            <w:rStyle w:val="Hyperlink"/>
            <w:rFonts w:ascii="Verdana" w:hAnsi="Verdana"/>
            <w:noProof/>
          </w:rPr>
          <w:t xml:space="preserve"> </w:t>
        </w:r>
        <w:r w:rsidRPr="009D18F4">
          <w:rPr>
            <w:rStyle w:val="Hyperlink"/>
            <w:noProof/>
          </w:rPr>
          <w:t>delivery</w:t>
        </w:r>
        <w:r>
          <w:rPr>
            <w:noProof/>
            <w:webHidden/>
          </w:rPr>
          <w:tab/>
        </w:r>
        <w:r>
          <w:rPr>
            <w:noProof/>
            <w:webHidden/>
          </w:rPr>
          <w:fldChar w:fldCharType="begin"/>
        </w:r>
        <w:r>
          <w:rPr>
            <w:noProof/>
            <w:webHidden/>
          </w:rPr>
          <w:instrText xml:space="preserve"> PAGEREF _Toc231482951 \h </w:instrText>
        </w:r>
        <w:r>
          <w:rPr>
            <w:noProof/>
            <w:webHidden/>
          </w:rPr>
        </w:r>
        <w:r>
          <w:rPr>
            <w:noProof/>
            <w:webHidden/>
          </w:rPr>
          <w:fldChar w:fldCharType="separate"/>
        </w:r>
        <w:r>
          <w:rPr>
            <w:noProof/>
            <w:webHidden/>
          </w:rPr>
          <w:t>28</w:t>
        </w:r>
        <w:r>
          <w:rPr>
            <w:noProof/>
            <w:webHidden/>
          </w:rPr>
          <w:fldChar w:fldCharType="end"/>
        </w:r>
      </w:hyperlink>
    </w:p>
    <w:p w14:paraId="5BDC333D" w14:textId="27E3FDB4" w:rsidR="008F73BE" w:rsidRDefault="008F73BE">
      <w:pPr>
        <w:pStyle w:val="TOC3"/>
        <w:rPr>
          <w:rFonts w:asciiTheme="minorHAnsi" w:eastAsiaTheme="minorEastAsia" w:hAnsiTheme="minorHAnsi" w:cstheme="minorBidi"/>
          <w:noProof/>
          <w:color w:val="auto"/>
          <w:kern w:val="2"/>
          <w:lang w:eastAsia="en-GB"/>
          <w14:ligatures w14:val="standardContextual"/>
        </w:rPr>
      </w:pPr>
      <w:hyperlink w:anchor="_Toc231482952" w:history="1">
        <w:r w:rsidRPr="009D18F4">
          <w:rPr>
            <w:rStyle w:val="Hyperlink"/>
            <w:noProof/>
          </w:rPr>
          <w:t>Co-designed and culturally safe services</w:t>
        </w:r>
        <w:r>
          <w:rPr>
            <w:noProof/>
            <w:webHidden/>
          </w:rPr>
          <w:tab/>
        </w:r>
        <w:r>
          <w:rPr>
            <w:noProof/>
            <w:webHidden/>
          </w:rPr>
          <w:fldChar w:fldCharType="begin"/>
        </w:r>
        <w:r>
          <w:rPr>
            <w:noProof/>
            <w:webHidden/>
          </w:rPr>
          <w:instrText xml:space="preserve"> PAGEREF _Toc231482952 \h </w:instrText>
        </w:r>
        <w:r>
          <w:rPr>
            <w:noProof/>
            <w:webHidden/>
          </w:rPr>
        </w:r>
        <w:r>
          <w:rPr>
            <w:noProof/>
            <w:webHidden/>
          </w:rPr>
          <w:fldChar w:fldCharType="separate"/>
        </w:r>
        <w:r>
          <w:rPr>
            <w:noProof/>
            <w:webHidden/>
          </w:rPr>
          <w:t>30</w:t>
        </w:r>
        <w:r>
          <w:rPr>
            <w:noProof/>
            <w:webHidden/>
          </w:rPr>
          <w:fldChar w:fldCharType="end"/>
        </w:r>
      </w:hyperlink>
    </w:p>
    <w:p w14:paraId="29A693FD" w14:textId="4390EFD2" w:rsidR="008F73BE" w:rsidRDefault="008F73BE">
      <w:pPr>
        <w:pStyle w:val="TOC3"/>
        <w:rPr>
          <w:rFonts w:asciiTheme="minorHAnsi" w:eastAsiaTheme="minorEastAsia" w:hAnsiTheme="minorHAnsi" w:cstheme="minorBidi"/>
          <w:noProof/>
          <w:color w:val="auto"/>
          <w:kern w:val="2"/>
          <w:lang w:eastAsia="en-GB"/>
          <w14:ligatures w14:val="standardContextual"/>
        </w:rPr>
      </w:pPr>
      <w:hyperlink w:anchor="_Toc231482953" w:history="1">
        <w:r w:rsidRPr="009D18F4">
          <w:rPr>
            <w:rStyle w:val="Hyperlink"/>
            <w:noProof/>
          </w:rPr>
          <w:t>Workforce capability and culturally appropriate support</w:t>
        </w:r>
        <w:r>
          <w:rPr>
            <w:noProof/>
            <w:webHidden/>
          </w:rPr>
          <w:tab/>
        </w:r>
        <w:r>
          <w:rPr>
            <w:noProof/>
            <w:webHidden/>
          </w:rPr>
          <w:fldChar w:fldCharType="begin"/>
        </w:r>
        <w:r>
          <w:rPr>
            <w:noProof/>
            <w:webHidden/>
          </w:rPr>
          <w:instrText xml:space="preserve"> PAGEREF _Toc231482953 \h </w:instrText>
        </w:r>
        <w:r>
          <w:rPr>
            <w:noProof/>
            <w:webHidden/>
          </w:rPr>
        </w:r>
        <w:r>
          <w:rPr>
            <w:noProof/>
            <w:webHidden/>
          </w:rPr>
          <w:fldChar w:fldCharType="separate"/>
        </w:r>
        <w:r>
          <w:rPr>
            <w:noProof/>
            <w:webHidden/>
          </w:rPr>
          <w:t>32</w:t>
        </w:r>
        <w:r>
          <w:rPr>
            <w:noProof/>
            <w:webHidden/>
          </w:rPr>
          <w:fldChar w:fldCharType="end"/>
        </w:r>
      </w:hyperlink>
    </w:p>
    <w:p w14:paraId="768808CE" w14:textId="6B31C4B2" w:rsidR="008F73BE" w:rsidRDefault="008F73BE">
      <w:pPr>
        <w:pStyle w:val="TOC3"/>
        <w:rPr>
          <w:rFonts w:asciiTheme="minorHAnsi" w:eastAsiaTheme="minorEastAsia" w:hAnsiTheme="minorHAnsi" w:cstheme="minorBidi"/>
          <w:noProof/>
          <w:color w:val="auto"/>
          <w:kern w:val="2"/>
          <w:lang w:eastAsia="en-GB"/>
          <w14:ligatures w14:val="standardContextual"/>
        </w:rPr>
      </w:pPr>
      <w:hyperlink w:anchor="_Toc231482954" w:history="1">
        <w:r w:rsidRPr="009D18F4">
          <w:rPr>
            <w:rStyle w:val="Hyperlink"/>
            <w:noProof/>
          </w:rPr>
          <w:t>Identifying and addressing racism</w:t>
        </w:r>
        <w:r>
          <w:rPr>
            <w:noProof/>
            <w:webHidden/>
          </w:rPr>
          <w:tab/>
        </w:r>
        <w:r>
          <w:rPr>
            <w:noProof/>
            <w:webHidden/>
          </w:rPr>
          <w:fldChar w:fldCharType="begin"/>
        </w:r>
        <w:r>
          <w:rPr>
            <w:noProof/>
            <w:webHidden/>
          </w:rPr>
          <w:instrText xml:space="preserve"> PAGEREF _Toc231482954 \h </w:instrText>
        </w:r>
        <w:r>
          <w:rPr>
            <w:noProof/>
            <w:webHidden/>
          </w:rPr>
        </w:r>
        <w:r>
          <w:rPr>
            <w:noProof/>
            <w:webHidden/>
          </w:rPr>
          <w:fldChar w:fldCharType="separate"/>
        </w:r>
        <w:r>
          <w:rPr>
            <w:noProof/>
            <w:webHidden/>
          </w:rPr>
          <w:t>34</w:t>
        </w:r>
        <w:r>
          <w:rPr>
            <w:noProof/>
            <w:webHidden/>
          </w:rPr>
          <w:fldChar w:fldCharType="end"/>
        </w:r>
      </w:hyperlink>
    </w:p>
    <w:p w14:paraId="5BC6B401" w14:textId="7BECE42C" w:rsidR="008F73BE" w:rsidRDefault="008F73BE">
      <w:pPr>
        <w:pStyle w:val="TOC1"/>
        <w:rPr>
          <w:rFonts w:asciiTheme="minorHAnsi" w:eastAsiaTheme="minorEastAsia" w:hAnsiTheme="minorHAnsi" w:cstheme="minorBidi"/>
          <w:b w:val="0"/>
          <w:noProof/>
          <w:color w:val="auto"/>
          <w:kern w:val="2"/>
          <w:lang w:eastAsia="en-GB"/>
          <w14:ligatures w14:val="standardContextual"/>
        </w:rPr>
      </w:pPr>
      <w:hyperlink w:anchor="_Toc231482955" w:history="1">
        <w:r w:rsidRPr="009D18F4">
          <w:rPr>
            <w:rStyle w:val="Hyperlink"/>
            <w:noProof/>
          </w:rPr>
          <w:t>Discussion</w:t>
        </w:r>
        <w:r>
          <w:rPr>
            <w:noProof/>
            <w:webHidden/>
          </w:rPr>
          <w:tab/>
        </w:r>
        <w:r>
          <w:rPr>
            <w:noProof/>
            <w:webHidden/>
          </w:rPr>
          <w:fldChar w:fldCharType="begin"/>
        </w:r>
        <w:r>
          <w:rPr>
            <w:noProof/>
            <w:webHidden/>
          </w:rPr>
          <w:instrText xml:space="preserve"> PAGEREF _Toc231482955 \h </w:instrText>
        </w:r>
        <w:r>
          <w:rPr>
            <w:noProof/>
            <w:webHidden/>
          </w:rPr>
        </w:r>
        <w:r>
          <w:rPr>
            <w:noProof/>
            <w:webHidden/>
          </w:rPr>
          <w:fldChar w:fldCharType="separate"/>
        </w:r>
        <w:r>
          <w:rPr>
            <w:noProof/>
            <w:webHidden/>
          </w:rPr>
          <w:t>36</w:t>
        </w:r>
        <w:r>
          <w:rPr>
            <w:noProof/>
            <w:webHidden/>
          </w:rPr>
          <w:fldChar w:fldCharType="end"/>
        </w:r>
      </w:hyperlink>
    </w:p>
    <w:p w14:paraId="70F47D3A" w14:textId="283A71FF" w:rsidR="008F73BE" w:rsidRDefault="008F73BE">
      <w:pPr>
        <w:pStyle w:val="TOC2"/>
        <w:rPr>
          <w:rFonts w:asciiTheme="minorHAnsi" w:eastAsiaTheme="minorEastAsia" w:hAnsiTheme="minorHAnsi" w:cstheme="minorBidi"/>
          <w:noProof/>
          <w:color w:val="auto"/>
          <w:kern w:val="2"/>
          <w:lang w:eastAsia="en-GB"/>
          <w14:ligatures w14:val="standardContextual"/>
        </w:rPr>
      </w:pPr>
      <w:hyperlink w:anchor="_Toc231482956" w:history="1">
        <w:r w:rsidRPr="009D18F4">
          <w:rPr>
            <w:rStyle w:val="Hyperlink"/>
            <w:noProof/>
          </w:rPr>
          <w:t>Steps, elements and ingredients of effective practice</w:t>
        </w:r>
        <w:r>
          <w:rPr>
            <w:noProof/>
            <w:webHidden/>
          </w:rPr>
          <w:tab/>
        </w:r>
        <w:r>
          <w:rPr>
            <w:noProof/>
            <w:webHidden/>
          </w:rPr>
          <w:fldChar w:fldCharType="begin"/>
        </w:r>
        <w:r>
          <w:rPr>
            <w:noProof/>
            <w:webHidden/>
          </w:rPr>
          <w:instrText xml:space="preserve"> PAGEREF _Toc231482956 \h </w:instrText>
        </w:r>
        <w:r>
          <w:rPr>
            <w:noProof/>
            <w:webHidden/>
          </w:rPr>
        </w:r>
        <w:r>
          <w:rPr>
            <w:noProof/>
            <w:webHidden/>
          </w:rPr>
          <w:fldChar w:fldCharType="separate"/>
        </w:r>
        <w:r>
          <w:rPr>
            <w:noProof/>
            <w:webHidden/>
          </w:rPr>
          <w:t>36</w:t>
        </w:r>
        <w:r>
          <w:rPr>
            <w:noProof/>
            <w:webHidden/>
          </w:rPr>
          <w:fldChar w:fldCharType="end"/>
        </w:r>
      </w:hyperlink>
    </w:p>
    <w:p w14:paraId="6E75055D" w14:textId="16D5371D" w:rsidR="008F73BE" w:rsidRDefault="008F73BE">
      <w:pPr>
        <w:pStyle w:val="TOC3"/>
        <w:rPr>
          <w:rFonts w:asciiTheme="minorHAnsi" w:eastAsiaTheme="minorEastAsia" w:hAnsiTheme="minorHAnsi" w:cstheme="minorBidi"/>
          <w:noProof/>
          <w:color w:val="auto"/>
          <w:kern w:val="2"/>
          <w:lang w:eastAsia="en-GB"/>
          <w14:ligatures w14:val="standardContextual"/>
        </w:rPr>
      </w:pPr>
      <w:hyperlink w:anchor="_Toc231482957" w:history="1">
        <w:r w:rsidRPr="009D18F4">
          <w:rPr>
            <w:rStyle w:val="Hyperlink"/>
            <w:noProof/>
          </w:rPr>
          <w:t>Establishing Indigenous-led authority and governance</w:t>
        </w:r>
        <w:r>
          <w:rPr>
            <w:noProof/>
            <w:webHidden/>
          </w:rPr>
          <w:tab/>
        </w:r>
        <w:r>
          <w:rPr>
            <w:noProof/>
            <w:webHidden/>
          </w:rPr>
          <w:fldChar w:fldCharType="begin"/>
        </w:r>
        <w:r>
          <w:rPr>
            <w:noProof/>
            <w:webHidden/>
          </w:rPr>
          <w:instrText xml:space="preserve"> PAGEREF _Toc231482957 \h </w:instrText>
        </w:r>
        <w:r>
          <w:rPr>
            <w:noProof/>
            <w:webHidden/>
          </w:rPr>
        </w:r>
        <w:r>
          <w:rPr>
            <w:noProof/>
            <w:webHidden/>
          </w:rPr>
          <w:fldChar w:fldCharType="separate"/>
        </w:r>
        <w:r>
          <w:rPr>
            <w:noProof/>
            <w:webHidden/>
          </w:rPr>
          <w:t>36</w:t>
        </w:r>
        <w:r>
          <w:rPr>
            <w:noProof/>
            <w:webHidden/>
          </w:rPr>
          <w:fldChar w:fldCharType="end"/>
        </w:r>
      </w:hyperlink>
    </w:p>
    <w:p w14:paraId="1A5BC530" w14:textId="59A4DD44" w:rsidR="008F73BE" w:rsidRDefault="008F73BE">
      <w:pPr>
        <w:pStyle w:val="TOC3"/>
        <w:rPr>
          <w:rFonts w:asciiTheme="minorHAnsi" w:eastAsiaTheme="minorEastAsia" w:hAnsiTheme="minorHAnsi" w:cstheme="minorBidi"/>
          <w:noProof/>
          <w:color w:val="auto"/>
          <w:kern w:val="2"/>
          <w:lang w:eastAsia="en-GB"/>
          <w14:ligatures w14:val="standardContextual"/>
        </w:rPr>
      </w:pPr>
      <w:hyperlink w:anchor="_Toc231482958" w:history="1">
        <w:r w:rsidRPr="009D18F4">
          <w:rPr>
            <w:rStyle w:val="Hyperlink"/>
            <w:noProof/>
          </w:rPr>
          <w:t>Embedding cultural safety as a precondition</w:t>
        </w:r>
        <w:r>
          <w:rPr>
            <w:noProof/>
            <w:webHidden/>
          </w:rPr>
          <w:tab/>
        </w:r>
        <w:r>
          <w:rPr>
            <w:noProof/>
            <w:webHidden/>
          </w:rPr>
          <w:fldChar w:fldCharType="begin"/>
        </w:r>
        <w:r>
          <w:rPr>
            <w:noProof/>
            <w:webHidden/>
          </w:rPr>
          <w:instrText xml:space="preserve"> PAGEREF _Toc231482958 \h </w:instrText>
        </w:r>
        <w:r>
          <w:rPr>
            <w:noProof/>
            <w:webHidden/>
          </w:rPr>
        </w:r>
        <w:r>
          <w:rPr>
            <w:noProof/>
            <w:webHidden/>
          </w:rPr>
          <w:fldChar w:fldCharType="separate"/>
        </w:r>
        <w:r>
          <w:rPr>
            <w:noProof/>
            <w:webHidden/>
          </w:rPr>
          <w:t>37</w:t>
        </w:r>
        <w:r>
          <w:rPr>
            <w:noProof/>
            <w:webHidden/>
          </w:rPr>
          <w:fldChar w:fldCharType="end"/>
        </w:r>
      </w:hyperlink>
    </w:p>
    <w:p w14:paraId="4DA8746A" w14:textId="5E3183A7" w:rsidR="008F73BE" w:rsidRDefault="008F73BE">
      <w:pPr>
        <w:pStyle w:val="TOC3"/>
        <w:rPr>
          <w:rFonts w:asciiTheme="minorHAnsi" w:eastAsiaTheme="minorEastAsia" w:hAnsiTheme="minorHAnsi" w:cstheme="minorBidi"/>
          <w:noProof/>
          <w:color w:val="auto"/>
          <w:kern w:val="2"/>
          <w:lang w:eastAsia="en-GB"/>
          <w14:ligatures w14:val="standardContextual"/>
        </w:rPr>
      </w:pPr>
      <w:hyperlink w:anchor="_Toc231482959" w:history="1">
        <w:r w:rsidRPr="009D18F4">
          <w:rPr>
            <w:rStyle w:val="Hyperlink"/>
            <w:noProof/>
          </w:rPr>
          <w:t>Building and sustaining relational, trust-based engagement</w:t>
        </w:r>
        <w:r>
          <w:rPr>
            <w:noProof/>
            <w:webHidden/>
          </w:rPr>
          <w:tab/>
        </w:r>
        <w:r>
          <w:rPr>
            <w:noProof/>
            <w:webHidden/>
          </w:rPr>
          <w:fldChar w:fldCharType="begin"/>
        </w:r>
        <w:r>
          <w:rPr>
            <w:noProof/>
            <w:webHidden/>
          </w:rPr>
          <w:instrText xml:space="preserve"> PAGEREF _Toc231482959 \h </w:instrText>
        </w:r>
        <w:r>
          <w:rPr>
            <w:noProof/>
            <w:webHidden/>
          </w:rPr>
        </w:r>
        <w:r>
          <w:rPr>
            <w:noProof/>
            <w:webHidden/>
          </w:rPr>
          <w:fldChar w:fldCharType="separate"/>
        </w:r>
        <w:r>
          <w:rPr>
            <w:noProof/>
            <w:webHidden/>
          </w:rPr>
          <w:t>37</w:t>
        </w:r>
        <w:r>
          <w:rPr>
            <w:noProof/>
            <w:webHidden/>
          </w:rPr>
          <w:fldChar w:fldCharType="end"/>
        </w:r>
      </w:hyperlink>
    </w:p>
    <w:p w14:paraId="5286E644" w14:textId="59A20667" w:rsidR="008F73BE" w:rsidRDefault="008F73BE">
      <w:pPr>
        <w:pStyle w:val="TOC3"/>
        <w:rPr>
          <w:rFonts w:asciiTheme="minorHAnsi" w:eastAsiaTheme="minorEastAsia" w:hAnsiTheme="minorHAnsi" w:cstheme="minorBidi"/>
          <w:noProof/>
          <w:color w:val="auto"/>
          <w:kern w:val="2"/>
          <w:lang w:eastAsia="en-GB"/>
          <w14:ligatures w14:val="standardContextual"/>
        </w:rPr>
      </w:pPr>
      <w:hyperlink w:anchor="_Toc231482960" w:history="1">
        <w:r w:rsidRPr="009D18F4">
          <w:rPr>
            <w:rStyle w:val="Hyperlink"/>
            <w:noProof/>
          </w:rPr>
          <w:t>Enabling flexibility and context-responsive delivery</w:t>
        </w:r>
        <w:r>
          <w:rPr>
            <w:noProof/>
            <w:webHidden/>
          </w:rPr>
          <w:tab/>
        </w:r>
        <w:r>
          <w:rPr>
            <w:noProof/>
            <w:webHidden/>
          </w:rPr>
          <w:fldChar w:fldCharType="begin"/>
        </w:r>
        <w:r>
          <w:rPr>
            <w:noProof/>
            <w:webHidden/>
          </w:rPr>
          <w:instrText xml:space="preserve"> PAGEREF _Toc231482960 \h </w:instrText>
        </w:r>
        <w:r>
          <w:rPr>
            <w:noProof/>
            <w:webHidden/>
          </w:rPr>
        </w:r>
        <w:r>
          <w:rPr>
            <w:noProof/>
            <w:webHidden/>
          </w:rPr>
          <w:fldChar w:fldCharType="separate"/>
        </w:r>
        <w:r>
          <w:rPr>
            <w:noProof/>
            <w:webHidden/>
          </w:rPr>
          <w:t>38</w:t>
        </w:r>
        <w:r>
          <w:rPr>
            <w:noProof/>
            <w:webHidden/>
          </w:rPr>
          <w:fldChar w:fldCharType="end"/>
        </w:r>
      </w:hyperlink>
    </w:p>
    <w:p w14:paraId="1C3C9DCA" w14:textId="20CC45A8" w:rsidR="008F73BE" w:rsidRDefault="008F73BE">
      <w:pPr>
        <w:pStyle w:val="TOC3"/>
        <w:rPr>
          <w:rFonts w:asciiTheme="minorHAnsi" w:eastAsiaTheme="minorEastAsia" w:hAnsiTheme="minorHAnsi" w:cstheme="minorBidi"/>
          <w:noProof/>
          <w:color w:val="auto"/>
          <w:kern w:val="2"/>
          <w:lang w:eastAsia="en-GB"/>
          <w14:ligatures w14:val="standardContextual"/>
        </w:rPr>
      </w:pPr>
      <w:hyperlink w:anchor="_Toc231482961" w:history="1">
        <w:r w:rsidRPr="009D18F4">
          <w:rPr>
            <w:rStyle w:val="Hyperlink"/>
            <w:noProof/>
          </w:rPr>
          <w:t>Supporting co-design and shared decision-making</w:t>
        </w:r>
        <w:r>
          <w:rPr>
            <w:noProof/>
            <w:webHidden/>
          </w:rPr>
          <w:tab/>
        </w:r>
        <w:r>
          <w:rPr>
            <w:noProof/>
            <w:webHidden/>
          </w:rPr>
          <w:fldChar w:fldCharType="begin"/>
        </w:r>
        <w:r>
          <w:rPr>
            <w:noProof/>
            <w:webHidden/>
          </w:rPr>
          <w:instrText xml:space="preserve"> PAGEREF _Toc231482961 \h </w:instrText>
        </w:r>
        <w:r>
          <w:rPr>
            <w:noProof/>
            <w:webHidden/>
          </w:rPr>
        </w:r>
        <w:r>
          <w:rPr>
            <w:noProof/>
            <w:webHidden/>
          </w:rPr>
          <w:fldChar w:fldCharType="separate"/>
        </w:r>
        <w:r>
          <w:rPr>
            <w:noProof/>
            <w:webHidden/>
          </w:rPr>
          <w:t>38</w:t>
        </w:r>
        <w:r>
          <w:rPr>
            <w:noProof/>
            <w:webHidden/>
          </w:rPr>
          <w:fldChar w:fldCharType="end"/>
        </w:r>
      </w:hyperlink>
    </w:p>
    <w:p w14:paraId="5C7E151D" w14:textId="2663C120" w:rsidR="008F73BE" w:rsidRDefault="008F73BE">
      <w:pPr>
        <w:pStyle w:val="TOC3"/>
        <w:rPr>
          <w:rFonts w:asciiTheme="minorHAnsi" w:eastAsiaTheme="minorEastAsia" w:hAnsiTheme="minorHAnsi" w:cstheme="minorBidi"/>
          <w:noProof/>
          <w:color w:val="auto"/>
          <w:kern w:val="2"/>
          <w:lang w:eastAsia="en-GB"/>
          <w14:ligatures w14:val="standardContextual"/>
        </w:rPr>
      </w:pPr>
      <w:hyperlink w:anchor="_Toc231482962" w:history="1">
        <w:r w:rsidRPr="009D18F4">
          <w:rPr>
            <w:rStyle w:val="Hyperlink"/>
            <w:noProof/>
          </w:rPr>
          <w:t>Strengthening workforce capability and organisational conditions</w:t>
        </w:r>
        <w:r>
          <w:rPr>
            <w:noProof/>
            <w:webHidden/>
          </w:rPr>
          <w:tab/>
        </w:r>
        <w:r>
          <w:rPr>
            <w:noProof/>
            <w:webHidden/>
          </w:rPr>
          <w:fldChar w:fldCharType="begin"/>
        </w:r>
        <w:r>
          <w:rPr>
            <w:noProof/>
            <w:webHidden/>
          </w:rPr>
          <w:instrText xml:space="preserve"> PAGEREF _Toc231482962 \h </w:instrText>
        </w:r>
        <w:r>
          <w:rPr>
            <w:noProof/>
            <w:webHidden/>
          </w:rPr>
        </w:r>
        <w:r>
          <w:rPr>
            <w:noProof/>
            <w:webHidden/>
          </w:rPr>
          <w:fldChar w:fldCharType="separate"/>
        </w:r>
        <w:r>
          <w:rPr>
            <w:noProof/>
            <w:webHidden/>
          </w:rPr>
          <w:t>39</w:t>
        </w:r>
        <w:r>
          <w:rPr>
            <w:noProof/>
            <w:webHidden/>
          </w:rPr>
          <w:fldChar w:fldCharType="end"/>
        </w:r>
      </w:hyperlink>
    </w:p>
    <w:p w14:paraId="6BFCE55B" w14:textId="56DB0C27" w:rsidR="008F73BE" w:rsidRDefault="008F73BE">
      <w:pPr>
        <w:pStyle w:val="TOC3"/>
        <w:rPr>
          <w:rFonts w:asciiTheme="minorHAnsi" w:eastAsiaTheme="minorEastAsia" w:hAnsiTheme="minorHAnsi" w:cstheme="minorBidi"/>
          <w:noProof/>
          <w:color w:val="auto"/>
          <w:kern w:val="2"/>
          <w:lang w:eastAsia="en-GB"/>
          <w14:ligatures w14:val="standardContextual"/>
        </w:rPr>
      </w:pPr>
      <w:hyperlink w:anchor="_Toc231482963" w:history="1">
        <w:r w:rsidRPr="009D18F4">
          <w:rPr>
            <w:rStyle w:val="Hyperlink"/>
            <w:noProof/>
          </w:rPr>
          <w:t>Recognising and addressing racism</w:t>
        </w:r>
        <w:r>
          <w:rPr>
            <w:noProof/>
            <w:webHidden/>
          </w:rPr>
          <w:tab/>
        </w:r>
        <w:r>
          <w:rPr>
            <w:noProof/>
            <w:webHidden/>
          </w:rPr>
          <w:fldChar w:fldCharType="begin"/>
        </w:r>
        <w:r>
          <w:rPr>
            <w:noProof/>
            <w:webHidden/>
          </w:rPr>
          <w:instrText xml:space="preserve"> PAGEREF _Toc231482963 \h </w:instrText>
        </w:r>
        <w:r>
          <w:rPr>
            <w:noProof/>
            <w:webHidden/>
          </w:rPr>
        </w:r>
        <w:r>
          <w:rPr>
            <w:noProof/>
            <w:webHidden/>
          </w:rPr>
          <w:fldChar w:fldCharType="separate"/>
        </w:r>
        <w:r>
          <w:rPr>
            <w:noProof/>
            <w:webHidden/>
          </w:rPr>
          <w:t>39</w:t>
        </w:r>
        <w:r>
          <w:rPr>
            <w:noProof/>
            <w:webHidden/>
          </w:rPr>
          <w:fldChar w:fldCharType="end"/>
        </w:r>
      </w:hyperlink>
    </w:p>
    <w:p w14:paraId="5FF7BC82" w14:textId="1707BE49" w:rsidR="008F73BE" w:rsidRDefault="008F73BE">
      <w:pPr>
        <w:pStyle w:val="TOC3"/>
        <w:rPr>
          <w:rFonts w:asciiTheme="minorHAnsi" w:eastAsiaTheme="minorEastAsia" w:hAnsiTheme="minorHAnsi" w:cstheme="minorBidi"/>
          <w:noProof/>
          <w:color w:val="auto"/>
          <w:kern w:val="2"/>
          <w:lang w:eastAsia="en-GB"/>
          <w14:ligatures w14:val="standardContextual"/>
        </w:rPr>
      </w:pPr>
      <w:hyperlink w:anchor="_Toc231482964" w:history="1">
        <w:r w:rsidRPr="009D18F4">
          <w:rPr>
            <w:rStyle w:val="Hyperlink"/>
            <w:noProof/>
          </w:rPr>
          <w:t>What the solution looks like in practice</w:t>
        </w:r>
        <w:r>
          <w:rPr>
            <w:noProof/>
            <w:webHidden/>
          </w:rPr>
          <w:tab/>
        </w:r>
        <w:r>
          <w:rPr>
            <w:noProof/>
            <w:webHidden/>
          </w:rPr>
          <w:fldChar w:fldCharType="begin"/>
        </w:r>
        <w:r>
          <w:rPr>
            <w:noProof/>
            <w:webHidden/>
          </w:rPr>
          <w:instrText xml:space="preserve"> PAGEREF _Toc231482964 \h </w:instrText>
        </w:r>
        <w:r>
          <w:rPr>
            <w:noProof/>
            <w:webHidden/>
          </w:rPr>
        </w:r>
        <w:r>
          <w:rPr>
            <w:noProof/>
            <w:webHidden/>
          </w:rPr>
          <w:fldChar w:fldCharType="separate"/>
        </w:r>
        <w:r>
          <w:rPr>
            <w:noProof/>
            <w:webHidden/>
          </w:rPr>
          <w:t>40</w:t>
        </w:r>
        <w:r>
          <w:rPr>
            <w:noProof/>
            <w:webHidden/>
          </w:rPr>
          <w:fldChar w:fldCharType="end"/>
        </w:r>
      </w:hyperlink>
    </w:p>
    <w:p w14:paraId="3E07A902" w14:textId="06E4A451" w:rsidR="008F73BE" w:rsidRDefault="008F73BE">
      <w:pPr>
        <w:pStyle w:val="TOC1"/>
        <w:rPr>
          <w:rFonts w:asciiTheme="minorHAnsi" w:eastAsiaTheme="minorEastAsia" w:hAnsiTheme="minorHAnsi" w:cstheme="minorBidi"/>
          <w:b w:val="0"/>
          <w:noProof/>
          <w:color w:val="auto"/>
          <w:kern w:val="2"/>
          <w:lang w:eastAsia="en-GB"/>
          <w14:ligatures w14:val="standardContextual"/>
        </w:rPr>
      </w:pPr>
      <w:hyperlink w:anchor="_Toc231482965" w:history="1">
        <w:r w:rsidRPr="009D18F4">
          <w:rPr>
            <w:rStyle w:val="Hyperlink"/>
            <w:noProof/>
          </w:rPr>
          <w:t>Conclusion</w:t>
        </w:r>
        <w:r>
          <w:rPr>
            <w:noProof/>
            <w:webHidden/>
          </w:rPr>
          <w:tab/>
        </w:r>
        <w:r>
          <w:rPr>
            <w:noProof/>
            <w:webHidden/>
          </w:rPr>
          <w:fldChar w:fldCharType="begin"/>
        </w:r>
        <w:r>
          <w:rPr>
            <w:noProof/>
            <w:webHidden/>
          </w:rPr>
          <w:instrText xml:space="preserve"> PAGEREF _Toc231482965 \h </w:instrText>
        </w:r>
        <w:r>
          <w:rPr>
            <w:noProof/>
            <w:webHidden/>
          </w:rPr>
        </w:r>
        <w:r>
          <w:rPr>
            <w:noProof/>
            <w:webHidden/>
          </w:rPr>
          <w:fldChar w:fldCharType="separate"/>
        </w:r>
        <w:r>
          <w:rPr>
            <w:noProof/>
            <w:webHidden/>
          </w:rPr>
          <w:t>42</w:t>
        </w:r>
        <w:r>
          <w:rPr>
            <w:noProof/>
            <w:webHidden/>
          </w:rPr>
          <w:fldChar w:fldCharType="end"/>
        </w:r>
      </w:hyperlink>
    </w:p>
    <w:p w14:paraId="46EB8D24" w14:textId="353315DC" w:rsidR="008F73BE" w:rsidRDefault="008F73BE">
      <w:pPr>
        <w:pStyle w:val="TOC1"/>
        <w:rPr>
          <w:rFonts w:asciiTheme="minorHAnsi" w:eastAsiaTheme="minorEastAsia" w:hAnsiTheme="minorHAnsi" w:cstheme="minorBidi"/>
          <w:b w:val="0"/>
          <w:noProof/>
          <w:color w:val="auto"/>
          <w:kern w:val="2"/>
          <w:lang w:eastAsia="en-GB"/>
          <w14:ligatures w14:val="standardContextual"/>
        </w:rPr>
      </w:pPr>
      <w:hyperlink w:anchor="_Toc231482966" w:history="1">
        <w:r w:rsidRPr="009D18F4">
          <w:rPr>
            <w:rStyle w:val="Hyperlink"/>
            <w:noProof/>
          </w:rPr>
          <w:t>References</w:t>
        </w:r>
        <w:r>
          <w:rPr>
            <w:noProof/>
            <w:webHidden/>
          </w:rPr>
          <w:tab/>
        </w:r>
        <w:r>
          <w:rPr>
            <w:noProof/>
            <w:webHidden/>
          </w:rPr>
          <w:fldChar w:fldCharType="begin"/>
        </w:r>
        <w:r>
          <w:rPr>
            <w:noProof/>
            <w:webHidden/>
          </w:rPr>
          <w:instrText xml:space="preserve"> PAGEREF _Toc231482966 \h </w:instrText>
        </w:r>
        <w:r>
          <w:rPr>
            <w:noProof/>
            <w:webHidden/>
          </w:rPr>
        </w:r>
        <w:r>
          <w:rPr>
            <w:noProof/>
            <w:webHidden/>
          </w:rPr>
          <w:fldChar w:fldCharType="separate"/>
        </w:r>
        <w:r>
          <w:rPr>
            <w:noProof/>
            <w:webHidden/>
          </w:rPr>
          <w:t>44</w:t>
        </w:r>
        <w:r>
          <w:rPr>
            <w:noProof/>
            <w:webHidden/>
          </w:rPr>
          <w:fldChar w:fldCharType="end"/>
        </w:r>
      </w:hyperlink>
    </w:p>
    <w:p w14:paraId="21B5EA0A" w14:textId="559268A1" w:rsidR="006F22A6" w:rsidRDefault="008F73BE" w:rsidP="00423EB2">
      <w:r>
        <w:rPr>
          <w:b/>
        </w:rPr>
        <w:fldChar w:fldCharType="end"/>
      </w:r>
    </w:p>
    <w:p w14:paraId="17069849" w14:textId="77777777" w:rsidR="006F22A6" w:rsidRDefault="006F22A6" w:rsidP="00423EB2">
      <w:r>
        <w:br w:type="page"/>
      </w:r>
    </w:p>
    <w:p w14:paraId="040F2A2A" w14:textId="2A405C74" w:rsidR="0004015B" w:rsidRDefault="00E42730" w:rsidP="00423EB2">
      <w:pPr>
        <w:pStyle w:val="Heading1"/>
        <w:spacing w:line="360" w:lineRule="atLeast"/>
        <w:jc w:val="left"/>
      </w:pPr>
      <w:bookmarkStart w:id="3" w:name="_Toc228284890"/>
      <w:bookmarkStart w:id="4" w:name="_Toc231482927"/>
      <w:r>
        <w:lastRenderedPageBreak/>
        <w:t>Executive s</w:t>
      </w:r>
      <w:r w:rsidR="0004015B">
        <w:t>ummary</w:t>
      </w:r>
      <w:bookmarkEnd w:id="3"/>
      <w:bookmarkEnd w:id="4"/>
    </w:p>
    <w:p w14:paraId="50639230" w14:textId="70AB6EB5" w:rsidR="00C91857" w:rsidRPr="005E4476" w:rsidRDefault="2736E3FF" w:rsidP="00423EB2">
      <w:pPr>
        <w:widowControl/>
      </w:pPr>
      <w:r>
        <w:t>This report</w:t>
      </w:r>
      <w:r w:rsidR="00C91857">
        <w:t xml:space="preserve"> examine</w:t>
      </w:r>
      <w:r w:rsidR="3A261220">
        <w:t>s</w:t>
      </w:r>
      <w:r w:rsidR="00C91857">
        <w:t xml:space="preserve"> what works in employment services and supports for Aboriginal and Torres Strait Islander peoples with disability. </w:t>
      </w:r>
      <w:r w:rsidRPr="006F22A6">
        <w:t>The synthesis interprets lower</w:t>
      </w:r>
      <w:r w:rsidR="00C91857">
        <w:t xml:space="preserve"> employment rates </w:t>
      </w:r>
      <w:r w:rsidRPr="006F22A6">
        <w:t>as evidence of</w:t>
      </w:r>
      <w:r w:rsidR="00C91857">
        <w:t xml:space="preserve"> structural </w:t>
      </w:r>
      <w:r w:rsidRPr="006F22A6">
        <w:t>exclusion rather than</w:t>
      </w:r>
      <w:r w:rsidR="00C91857">
        <w:t xml:space="preserve"> individual </w:t>
      </w:r>
      <w:r w:rsidRPr="006F22A6">
        <w:t>deficit, with barriers produced through</w:t>
      </w:r>
      <w:r w:rsidR="00C91857">
        <w:t xml:space="preserve"> culturally unsafe systems, racism, inaccessible services and limited opportunities</w:t>
      </w:r>
      <w:r w:rsidRPr="006F22A6">
        <w:t xml:space="preserve"> (Avery, 2018; Cooms et al., 2022; Temple et al., 2020). For government policy,</w:t>
      </w:r>
      <w:r w:rsidR="00C91857">
        <w:t xml:space="preserve"> the </w:t>
      </w:r>
      <w:r w:rsidRPr="006F22A6">
        <w:t>central finding is that employment, education and training pathways need to be treated as connected service systems: they work when</w:t>
      </w:r>
      <w:r w:rsidR="00C91857">
        <w:t xml:space="preserve"> Indigenous-led, culturally grounded and community-controlled approaches centre culture, community </w:t>
      </w:r>
      <w:r w:rsidRPr="006F22A6">
        <w:t xml:space="preserve">authority </w:t>
      </w:r>
      <w:r w:rsidR="00C91857">
        <w:t>and self-determination in participation</w:t>
      </w:r>
      <w:r w:rsidRPr="006F22A6">
        <w:t xml:space="preserve"> (AIATSIS, 2020; FPDNA, 2016; </w:t>
      </w:r>
      <w:proofErr w:type="spellStart"/>
      <w:r w:rsidRPr="006F22A6">
        <w:t>Lowitja</w:t>
      </w:r>
      <w:proofErr w:type="spellEnd"/>
      <w:r w:rsidRPr="006F22A6">
        <w:t xml:space="preserve"> Institute, 2020; NACCHO, 2021)</w:t>
      </w:r>
      <w:r w:rsidR="00C91857">
        <w:t>.</w:t>
      </w:r>
    </w:p>
    <w:p w14:paraId="54A1C6F1" w14:textId="590787F6" w:rsidR="0010791B" w:rsidRPr="00216AA4" w:rsidRDefault="0010791B" w:rsidP="00423EB2">
      <w:pPr>
        <w:pStyle w:val="Heading2"/>
        <w:spacing w:line="360" w:lineRule="atLeast"/>
        <w:jc w:val="left"/>
      </w:pPr>
      <w:bookmarkStart w:id="5" w:name="_Toc228284891"/>
      <w:bookmarkStart w:id="6" w:name="_Toc231482928"/>
      <w:r>
        <w:t>Background and context</w:t>
      </w:r>
      <w:bookmarkEnd w:id="5"/>
      <w:bookmarkEnd w:id="6"/>
    </w:p>
    <w:p w14:paraId="239C0DD2" w14:textId="390A9A3F" w:rsidR="25D18003" w:rsidRDefault="7BF27540" w:rsidP="00423EB2">
      <w:pPr>
        <w:widowControl/>
      </w:pPr>
      <w:bookmarkStart w:id="7" w:name="_Toc228284892"/>
      <w:r>
        <w:t>This report examines</w:t>
      </w:r>
      <w:r w:rsidR="003B5E15">
        <w:t xml:space="preserve"> what works in employment services and supports for Aboriginal and Torres Strait Islander peoples with disability</w:t>
      </w:r>
      <w:r w:rsidRPr="006F22A6">
        <w:t>, with direct relevance to education and training services that shape employment readiness, transition, participation and retention (Hunter &amp; Biddle, 2012; Leroy-Dyer, 2022).</w:t>
      </w:r>
      <w:r w:rsidR="001D4274">
        <w:t xml:space="preserve"> </w:t>
      </w:r>
      <w:r w:rsidR="25D18003" w:rsidRPr="5C99C6EE">
        <w:rPr>
          <w:rFonts w:eastAsia="Montserrat" w:cs="Montserrat"/>
        </w:rPr>
        <w:t xml:space="preserve">Here, employment services and supports include programs and systems that assist peoples with disability to prepare for, access and sustain employment, </w:t>
      </w:r>
      <w:r w:rsidR="25D18003" w:rsidRPr="006F22A6">
        <w:t>including</w:t>
      </w:r>
      <w:r w:rsidR="25D18003" w:rsidRPr="5C99C6EE">
        <w:rPr>
          <w:rFonts w:eastAsia="Montserrat" w:cs="Montserrat"/>
        </w:rPr>
        <w:t xml:space="preserve"> job readiness programs, </w:t>
      </w:r>
      <w:r w:rsidR="25D18003" w:rsidRPr="006F22A6">
        <w:t xml:space="preserve">education and training pathways, </w:t>
      </w:r>
      <w:r w:rsidR="25D18003" w:rsidRPr="5C99C6EE">
        <w:rPr>
          <w:rFonts w:eastAsia="Montserrat" w:cs="Montserrat"/>
        </w:rPr>
        <w:t>case management</w:t>
      </w:r>
      <w:r w:rsidR="25D18003" w:rsidRPr="006F22A6">
        <w:t>, NDIS-related supports</w:t>
      </w:r>
      <w:r w:rsidR="25D18003" w:rsidRPr="5C99C6EE">
        <w:rPr>
          <w:rFonts w:eastAsia="Montserrat" w:cs="Montserrat"/>
        </w:rPr>
        <w:t xml:space="preserve"> and workplace supports </w:t>
      </w:r>
      <w:r w:rsidR="25D18003" w:rsidRPr="006F22A6">
        <w:t>(AIHW, 2023; Productivity Commission, 2018).</w:t>
      </w:r>
    </w:p>
    <w:p w14:paraId="2A60DC33" w14:textId="4CA27084" w:rsidR="25D18003" w:rsidRDefault="25D18003" w:rsidP="00423EB2">
      <w:pPr>
        <w:widowControl/>
      </w:pPr>
      <w:r w:rsidRPr="5836A914">
        <w:rPr>
          <w:rFonts w:eastAsia="Montserrat" w:cs="Montserrat"/>
        </w:rPr>
        <w:t>Employment rates for Aboriginal and Torres Strait Islander peoples with disability are significantly lower than for other groups. The evidence attributes these disparities to intersectional disadvantage shaped by systemic discrimination, including culturally unsafe services, racism, inaccessible systems and limited employment opportunities, rather than individual capability (Cooms et al., 2022; Cooms et al., 2024; NIAA, 2020). This pattern is consistent with broader accounts of repeated disadvantage across justice, homelessness, child protection</w:t>
      </w:r>
      <w:r w:rsidRPr="006F22A6">
        <w:t>,</w:t>
      </w:r>
      <w:r w:rsidRPr="5836A914">
        <w:rPr>
          <w:rFonts w:eastAsia="Montserrat" w:cs="Montserrat"/>
        </w:rPr>
        <w:t xml:space="preserve"> education</w:t>
      </w:r>
      <w:r w:rsidRPr="006F22A6">
        <w:t xml:space="preserve"> and disability systems</w:t>
      </w:r>
      <w:r w:rsidRPr="5836A914">
        <w:rPr>
          <w:rFonts w:eastAsia="Montserrat" w:cs="Montserrat"/>
        </w:rPr>
        <w:t>, particularly for Aboriginal and Torres Strait Islander peoples living with disability (Cooms et</w:t>
      </w:r>
      <w:r w:rsidR="4D3F8E5F" w:rsidRPr="5836A914">
        <w:rPr>
          <w:rFonts w:eastAsia="Montserrat" w:cs="Montserrat"/>
        </w:rPr>
        <w:t xml:space="preserve"> </w:t>
      </w:r>
      <w:r w:rsidRPr="5836A914">
        <w:rPr>
          <w:rFonts w:eastAsia="Montserrat" w:cs="Montserrat"/>
        </w:rPr>
        <w:t xml:space="preserve">al., 2022; Cooms et al., 2024; </w:t>
      </w:r>
      <w:r w:rsidRPr="006F22A6">
        <w:t xml:space="preserve">FPDNA, 2016; </w:t>
      </w:r>
      <w:r w:rsidRPr="5836A914">
        <w:rPr>
          <w:rFonts w:eastAsia="Montserrat" w:cs="Montserrat"/>
        </w:rPr>
        <w:t>NIAA, 2020). Avery (2018) explains how repeated exclusion can produce apprehended discrimination</w:t>
      </w:r>
      <w:r w:rsidRPr="006F22A6">
        <w:t>,</w:t>
      </w:r>
      <w:r w:rsidRPr="5836A914">
        <w:rPr>
          <w:rFonts w:eastAsia="Montserrat" w:cs="Montserrat"/>
        </w:rPr>
        <w:t xml:space="preserve"> where expectations of further discrimination become a rational basis for disengaging from services and employment systems. </w:t>
      </w:r>
      <w:r w:rsidR="000E6A6D" w:rsidRPr="000E6A6D">
        <w:rPr>
          <w:rFonts w:eastAsia="Montserrat" w:cs="Montserrat"/>
        </w:rPr>
        <w:t>This is interpreted</w:t>
      </w:r>
      <w:r w:rsidR="00243D00" w:rsidRPr="00243D00">
        <w:rPr>
          <w:rFonts w:eastAsia="Montserrat" w:cs="Montserrat"/>
        </w:rPr>
        <w:t xml:space="preserve"> </w:t>
      </w:r>
      <w:r w:rsidR="00B81A1A" w:rsidRPr="00B81A1A">
        <w:rPr>
          <w:rFonts w:eastAsia="Montserrat" w:cs="Montserrat"/>
        </w:rPr>
        <w:t>as a signal of</w:t>
      </w:r>
      <w:r w:rsidRPr="00B81A1A">
        <w:rPr>
          <w:rFonts w:eastAsia="Montserrat" w:cs="Montserrat"/>
        </w:rPr>
        <w:t xml:space="preserve"> service design and policy settings</w:t>
      </w:r>
      <w:r w:rsidR="00B81A1A" w:rsidRPr="00B81A1A">
        <w:rPr>
          <w:rFonts w:eastAsia="Montserrat" w:cs="Montserrat"/>
        </w:rPr>
        <w:t xml:space="preserve"> that have not yet earned trust or demonstrated cultural safety, rather than as client failure</w:t>
      </w:r>
      <w:r w:rsidR="00B81A1A">
        <w:rPr>
          <w:rFonts w:eastAsia="Montserrat" w:cs="Montserrat"/>
        </w:rPr>
        <w:t xml:space="preserve"> </w:t>
      </w:r>
      <w:r w:rsidR="006F747C" w:rsidRPr="000E6A6D">
        <w:rPr>
          <w:rFonts w:eastAsia="Montserrat" w:cs="Montserrat"/>
        </w:rPr>
        <w:t>(Avery, 2018; Temple</w:t>
      </w:r>
      <w:r w:rsidR="006F747C" w:rsidRPr="5836A914">
        <w:rPr>
          <w:rFonts w:eastAsia="Montserrat" w:cs="Montserrat"/>
        </w:rPr>
        <w:t xml:space="preserve"> et al., </w:t>
      </w:r>
      <w:r w:rsidR="006F747C" w:rsidRPr="000E6A6D">
        <w:rPr>
          <w:rFonts w:eastAsia="Montserrat" w:cs="Montserrat"/>
        </w:rPr>
        <w:t>2020</w:t>
      </w:r>
      <w:r w:rsidR="006F747C" w:rsidRPr="5836A914">
        <w:rPr>
          <w:rFonts w:eastAsia="Montserrat" w:cs="Montserrat"/>
        </w:rPr>
        <w:t>).</w:t>
      </w:r>
      <w:r w:rsidR="000E6A6D" w:rsidRPr="000E6A6D">
        <w:rPr>
          <w:rFonts w:eastAsia="Montserrat" w:cs="Montserrat"/>
        </w:rPr>
        <w:t xml:space="preserve"> </w:t>
      </w:r>
    </w:p>
    <w:p w14:paraId="5660BE62" w14:textId="4AA1064B" w:rsidR="25D18003" w:rsidRDefault="25D18003" w:rsidP="00423EB2">
      <w:pPr>
        <w:widowControl/>
      </w:pPr>
      <w:r w:rsidRPr="5C99C6EE">
        <w:rPr>
          <w:rFonts w:eastAsia="Montserrat" w:cs="Montserrat"/>
        </w:rPr>
        <w:lastRenderedPageBreak/>
        <w:t xml:space="preserve">In </w:t>
      </w:r>
      <w:r w:rsidRPr="006F22A6">
        <w:t>this</w:t>
      </w:r>
      <w:r w:rsidRPr="5C99C6EE">
        <w:rPr>
          <w:rFonts w:eastAsia="Montserrat" w:cs="Montserrat"/>
        </w:rPr>
        <w:t xml:space="preserve"> synthesis, employment outcomes are defined as multi-dimensional rather than limited to employment status. Employment is framed broadly to include paid and unpaid work, recognising contributions to kin, community and Country as central to participation; this aligns with Indigenous perspectives that understand work as relational and context-dependent (</w:t>
      </w:r>
      <w:r w:rsidRPr="006F22A6">
        <w:t>Leroy-Dyer, 2022</w:t>
      </w:r>
      <w:r w:rsidRPr="5C99C6EE">
        <w:rPr>
          <w:rFonts w:eastAsia="Montserrat" w:cs="Montserrat"/>
        </w:rPr>
        <w:t xml:space="preserve">; </w:t>
      </w:r>
      <w:proofErr w:type="spellStart"/>
      <w:r w:rsidRPr="5C99C6EE">
        <w:rPr>
          <w:rFonts w:eastAsia="Montserrat" w:cs="Montserrat"/>
        </w:rPr>
        <w:t>Lowitja</w:t>
      </w:r>
      <w:proofErr w:type="spellEnd"/>
      <w:r w:rsidRPr="5C99C6EE">
        <w:rPr>
          <w:rFonts w:eastAsia="Montserrat" w:cs="Montserrat"/>
        </w:rPr>
        <w:t xml:space="preserve"> Institute, 2020; </w:t>
      </w:r>
      <w:r w:rsidRPr="006F22A6">
        <w:t>Walter &amp; Andersen, 2013). Dominant</w:t>
      </w:r>
      <w:r w:rsidRPr="5C99C6EE">
        <w:rPr>
          <w:rFonts w:eastAsia="Montserrat" w:cs="Montserrat"/>
        </w:rPr>
        <w:t xml:space="preserve"> organisational systems tend to privilege economically measurable outputs, leaving relational and cultural labour largely unrecognised. This misalignment contributes to cultural load</w:t>
      </w:r>
      <w:r w:rsidRPr="006F22A6">
        <w:t>,</w:t>
      </w:r>
      <w:r w:rsidRPr="5C99C6EE">
        <w:rPr>
          <w:rFonts w:eastAsia="Montserrat" w:cs="Montserrat"/>
        </w:rPr>
        <w:t xml:space="preserve"> where First Nations employees undertake additional, often unacknowledged work to sustain cultural safety, navigate institutional systems and maintain relationships across community and workplace contexts (Avery, 2016, 2018; </w:t>
      </w:r>
      <w:proofErr w:type="spellStart"/>
      <w:r w:rsidRPr="006F22A6">
        <w:t>D’Aprano</w:t>
      </w:r>
      <w:proofErr w:type="spellEnd"/>
      <w:r w:rsidRPr="006F22A6">
        <w:t xml:space="preserve"> et al., 2024; Gilroy et al., 2023; </w:t>
      </w:r>
      <w:r w:rsidRPr="5C99C6EE">
        <w:rPr>
          <w:rFonts w:eastAsia="Montserrat" w:cs="Montserrat"/>
        </w:rPr>
        <w:t xml:space="preserve">Leroy-Dyer &amp; Olssen, 2026; Paradies, 2016). </w:t>
      </w:r>
      <w:r w:rsidRPr="006F22A6">
        <w:t>For policy, recognising</w:t>
      </w:r>
      <w:r w:rsidRPr="5C99C6EE">
        <w:rPr>
          <w:rFonts w:eastAsia="Montserrat" w:cs="Montserrat"/>
        </w:rPr>
        <w:t xml:space="preserve"> these broader forms of work is necessary </w:t>
      </w:r>
      <w:r w:rsidRPr="006F22A6">
        <w:t>because narrow labour-market measures risk undervaluing the very forms of relational contribution</w:t>
      </w:r>
      <w:r w:rsidRPr="5C99C6EE">
        <w:rPr>
          <w:rFonts w:eastAsia="Montserrat" w:cs="Montserrat"/>
        </w:rPr>
        <w:t xml:space="preserve"> that </w:t>
      </w:r>
      <w:r w:rsidRPr="006F22A6">
        <w:t>make services usable and trusted</w:t>
      </w:r>
      <w:r w:rsidRPr="5C99C6EE">
        <w:rPr>
          <w:rFonts w:eastAsia="Montserrat" w:cs="Montserrat"/>
        </w:rPr>
        <w:t>.</w:t>
      </w:r>
    </w:p>
    <w:p w14:paraId="411779C1" w14:textId="686B6315" w:rsidR="25D18003" w:rsidRDefault="25D18003" w:rsidP="00423EB2">
      <w:pPr>
        <w:widowControl/>
      </w:pPr>
      <w:r w:rsidRPr="5C99C6EE">
        <w:rPr>
          <w:rFonts w:eastAsia="Montserrat" w:cs="Montserrat"/>
        </w:rPr>
        <w:t>Standard indicators such as employment rates, job entry and retention remain important</w:t>
      </w:r>
      <w:r w:rsidRPr="006F22A6">
        <w:t>,</w:t>
      </w:r>
      <w:r w:rsidRPr="5C99C6EE">
        <w:rPr>
          <w:rFonts w:eastAsia="Montserrat" w:cs="Montserrat"/>
        </w:rPr>
        <w:t xml:space="preserve"> but the evidence indicates they are insufficient on their own to capture meaningful participation for Aboriginal and Torres Strait Islander peoples with disability</w:t>
      </w:r>
      <w:r w:rsidRPr="006F22A6">
        <w:t xml:space="preserve"> (AIHW, 2023; Productivity Commission, 2018).</w:t>
      </w:r>
      <w:r w:rsidRPr="5C99C6EE">
        <w:rPr>
          <w:rFonts w:eastAsia="Montserrat" w:cs="Montserrat"/>
        </w:rPr>
        <w:t xml:space="preserve"> Across the literature, outcomes also include sustained engagement over time, the quality and cultural safety of employment environments, and the extent to which employment aligns with individual, family and community contexts (</w:t>
      </w:r>
      <w:r w:rsidRPr="006F22A6">
        <w:t>Leroy-Dyer, 2022</w:t>
      </w:r>
      <w:r w:rsidRPr="5C99C6EE">
        <w:rPr>
          <w:rFonts w:eastAsia="Montserrat" w:cs="Montserrat"/>
        </w:rPr>
        <w:t xml:space="preserve">; </w:t>
      </w:r>
      <w:proofErr w:type="spellStart"/>
      <w:r w:rsidRPr="5C99C6EE">
        <w:rPr>
          <w:rFonts w:eastAsia="Montserrat" w:cs="Montserrat"/>
        </w:rPr>
        <w:t>Lowitja</w:t>
      </w:r>
      <w:proofErr w:type="spellEnd"/>
      <w:r w:rsidRPr="5C99C6EE">
        <w:rPr>
          <w:rFonts w:eastAsia="Montserrat" w:cs="Montserrat"/>
        </w:rPr>
        <w:t xml:space="preserve"> Institute, 2020; </w:t>
      </w:r>
      <w:r w:rsidRPr="006F22A6">
        <w:t>Walter &amp; Andersen, 2013</w:t>
      </w:r>
      <w:r w:rsidRPr="5C99C6EE">
        <w:rPr>
          <w:rFonts w:eastAsia="Montserrat" w:cs="Montserrat"/>
        </w:rPr>
        <w:t xml:space="preserve">). This includes non-linear and intermittent pathways into and through employment, shaped by changing health, cultural obligations and community responsibilities. Taken together, these measures position employment participation as social, cultural and economic contribution, </w:t>
      </w:r>
      <w:r w:rsidRPr="006F22A6">
        <w:t>clarifying why policy assessment needs to look</w:t>
      </w:r>
      <w:r w:rsidRPr="5C99C6EE">
        <w:rPr>
          <w:rFonts w:eastAsia="Montserrat" w:cs="Montserrat"/>
        </w:rPr>
        <w:t xml:space="preserve"> beyond short-term labour market status.</w:t>
      </w:r>
    </w:p>
    <w:p w14:paraId="19CA3015" w14:textId="3221AA22" w:rsidR="0A8C9376" w:rsidRDefault="0A8C9376" w:rsidP="00423EB2">
      <w:pPr>
        <w:widowControl/>
      </w:pPr>
      <w:r w:rsidRPr="5C99C6EE">
        <w:rPr>
          <w:rFonts w:eastAsia="Montserrat" w:cs="Montserrat"/>
        </w:rPr>
        <w:t>Mainstream, standardised employment service models are widely described as ineffective in this context because they often fail to account for relational, cultural and community-based factors shaping participation (Leroy-Dyer, 2026a). In contrast, Indigenous-led and self-determined approaches are consistently associated with stronger and more sustainable outcomes, particularly where Indigenous-owned and community-controlled organisations embed cultural values, relationality and collective responsibility into practice (</w:t>
      </w:r>
      <w:r w:rsidR="00103B12" w:rsidRPr="00103B12">
        <w:rPr>
          <w:rFonts w:eastAsia="Montserrat" w:cs="Montserrat"/>
        </w:rPr>
        <w:t>Bennett et al., 2026</w:t>
      </w:r>
      <w:r w:rsidR="00103B12">
        <w:rPr>
          <w:rFonts w:eastAsia="Montserrat" w:cs="Montserrat"/>
        </w:rPr>
        <w:t xml:space="preserve">; </w:t>
      </w:r>
      <w:r w:rsidRPr="5C99C6EE">
        <w:rPr>
          <w:rFonts w:eastAsia="Montserrat" w:cs="Montserrat"/>
        </w:rPr>
        <w:t>Cooms et al., 2025; Eva et al., 2023; Leroy-Dyer</w:t>
      </w:r>
      <w:r w:rsidRPr="006F22A6">
        <w:t>, 2022; Leroy-Dyer</w:t>
      </w:r>
      <w:r w:rsidRPr="5C99C6EE">
        <w:rPr>
          <w:rFonts w:eastAsia="Montserrat" w:cs="Montserrat"/>
        </w:rPr>
        <w:t xml:space="preserve"> &amp; Olssen, 2026</w:t>
      </w:r>
      <w:r w:rsidRPr="006F22A6">
        <w:t>; NACCHO, 2021</w:t>
      </w:r>
      <w:r w:rsidRPr="5C99C6EE">
        <w:rPr>
          <w:rFonts w:eastAsia="Montserrat" w:cs="Montserrat"/>
        </w:rPr>
        <w:t xml:space="preserve">). The evidence base is also dispersed: critical knowledge sits across grey literature, community-led research and Indigenous-authored scholarship, not only in academic evaluations. Indigenous </w:t>
      </w:r>
      <w:r w:rsidRPr="006F22A6">
        <w:t>K</w:t>
      </w:r>
      <w:r w:rsidRPr="5C99C6EE">
        <w:rPr>
          <w:rFonts w:eastAsia="Montserrat" w:cs="Montserrat"/>
        </w:rPr>
        <w:t xml:space="preserve">nowledge </w:t>
      </w:r>
      <w:r w:rsidRPr="5C99C6EE">
        <w:rPr>
          <w:rFonts w:eastAsia="Montserrat" w:cs="Montserrat"/>
        </w:rPr>
        <w:lastRenderedPageBreak/>
        <w:t xml:space="preserve">systems foreground cultural continuity, relational accountability and collective agency as central to understanding barriers and enablers of employment (Leroy-Dyer, 2026a; Leroy-Dyer, 2026b; Martin, 2008; Moreton-Robinson, 2015; Williams, 2023). Overall, the evidence supports a shift away from compliance-driven models toward Indigenous-led, culturally grounded and </w:t>
      </w:r>
      <w:r w:rsidRPr="006F22A6">
        <w:t>locally accountable approaches</w:t>
      </w:r>
      <w:r w:rsidRPr="5C99C6EE">
        <w:rPr>
          <w:rFonts w:eastAsia="Montserrat" w:cs="Montserrat"/>
        </w:rPr>
        <w:t>.</w:t>
      </w:r>
    </w:p>
    <w:p w14:paraId="5F5A0120" w14:textId="77777777" w:rsidR="0010791B" w:rsidRPr="008924E0" w:rsidRDefault="0010791B" w:rsidP="00423EB2">
      <w:pPr>
        <w:pStyle w:val="Heading2"/>
        <w:spacing w:line="360" w:lineRule="atLeast"/>
        <w:jc w:val="left"/>
      </w:pPr>
      <w:bookmarkStart w:id="8" w:name="_Toc231482929"/>
      <w:r>
        <w:t>Purpose and audience</w:t>
      </w:r>
      <w:bookmarkEnd w:id="7"/>
      <w:bookmarkEnd w:id="8"/>
    </w:p>
    <w:p w14:paraId="0B0EAF4E" w14:textId="77777777" w:rsidR="007B2E5A" w:rsidRDefault="6F224D7E" w:rsidP="00423EB2">
      <w:pPr>
        <w:widowControl/>
      </w:pPr>
      <w:r>
        <w:t xml:space="preserve">The report </w:t>
      </w:r>
      <w:bookmarkStart w:id="9" w:name="_Toc228284893"/>
      <w:r w:rsidR="00116A97">
        <w:t>address</w:t>
      </w:r>
      <w:r w:rsidR="53217B35">
        <w:t>es</w:t>
      </w:r>
      <w:r w:rsidR="00116A97">
        <w:t xml:space="preserve"> ongoing inequity in paid employment outcomes for Aboriginal and Torres Strait Islander peoples with disability. Despite the availability of employment services and supports, many peoples experience barriers to accessing, engaging with and sustaining employment, driven largely by culturally unsafe systems, limited flexibility and approaches that do not reflect Indigenous ways of knowing, being and doing.</w:t>
      </w:r>
      <w:r w:rsidR="00116A97" w:rsidRPr="5C99C6EE">
        <w:rPr>
          <w:lang w:eastAsia="en-AU"/>
        </w:rPr>
        <w:t xml:space="preserve"> </w:t>
      </w:r>
      <w:r w:rsidR="00116A97">
        <w:t xml:space="preserve">Consistent with Gilroy et al. (2017) and </w:t>
      </w:r>
      <w:proofErr w:type="spellStart"/>
      <w:r w:rsidR="00116A97">
        <w:t>Soldatic</w:t>
      </w:r>
      <w:proofErr w:type="spellEnd"/>
      <w:r w:rsidR="00116A97">
        <w:t xml:space="preserve"> (2018), </w:t>
      </w:r>
      <w:r w:rsidR="007B2E5A">
        <w:t>Programs</w:t>
      </w:r>
      <w:r w:rsidR="00116A97">
        <w:t xml:space="preserve"> that </w:t>
      </w:r>
      <w:r w:rsidR="007B2E5A">
        <w:t>prioritise</w:t>
      </w:r>
      <w:r w:rsidR="00116A97">
        <w:t xml:space="preserve"> standardised compliance over relationships can reduce engagement</w:t>
      </w:r>
      <w:r w:rsidR="007B2E5A">
        <w:t>. By</w:t>
      </w:r>
      <w:r w:rsidR="00116A97">
        <w:t xml:space="preserve"> contrast, Indigenous-led and culturally grounded practice </w:t>
      </w:r>
      <w:r w:rsidR="007B2E5A">
        <w:t>places</w:t>
      </w:r>
      <w:r w:rsidR="00116A97">
        <w:t xml:space="preserve"> trust, community accountability</w:t>
      </w:r>
      <w:r w:rsidR="007B2E5A">
        <w:t>,</w:t>
      </w:r>
      <w:r w:rsidR="00116A97">
        <w:t xml:space="preserve"> and </w:t>
      </w:r>
      <w:r w:rsidR="007B2E5A">
        <w:t xml:space="preserve">local </w:t>
      </w:r>
      <w:r w:rsidR="00116A97">
        <w:t xml:space="preserve">context </w:t>
      </w:r>
      <w:r w:rsidR="007B2E5A">
        <w:t>at the centre of service delivery</w:t>
      </w:r>
      <w:r w:rsidR="00116A97">
        <w:t xml:space="preserve"> (</w:t>
      </w:r>
      <w:r w:rsidRPr="006F22A6">
        <w:t xml:space="preserve">Avery, 2018; </w:t>
      </w:r>
      <w:proofErr w:type="spellStart"/>
      <w:r w:rsidR="00116A97">
        <w:t>Lowitja</w:t>
      </w:r>
      <w:proofErr w:type="spellEnd"/>
      <w:r w:rsidR="00116A97">
        <w:t xml:space="preserve"> Institute, </w:t>
      </w:r>
      <w:r w:rsidRPr="006F22A6">
        <w:t>2017</w:t>
      </w:r>
      <w:r w:rsidR="00966E4F">
        <w:t xml:space="preserve">). </w:t>
      </w:r>
    </w:p>
    <w:p w14:paraId="3214E3CD" w14:textId="521F2929" w:rsidR="00116A97" w:rsidRPr="005E4476" w:rsidRDefault="007B2E5A" w:rsidP="00423EB2">
      <w:pPr>
        <w:widowControl/>
      </w:pPr>
      <w:r>
        <w:t>This</w:t>
      </w:r>
      <w:r w:rsidR="6F224D7E" w:rsidRPr="006F22A6">
        <w:t xml:space="preserve"> evidence synthesis identifies</w:t>
      </w:r>
      <w:r w:rsidR="00116A97" w:rsidRPr="5C99C6EE">
        <w:rPr>
          <w:lang w:eastAsia="en-AU"/>
        </w:rPr>
        <w:t xml:space="preserve"> </w:t>
      </w:r>
      <w:r w:rsidR="00116A97">
        <w:t>what works, what does not work and where gaps</w:t>
      </w:r>
      <w:r w:rsidR="00116A97" w:rsidRPr="5C99C6EE">
        <w:rPr>
          <w:lang w:eastAsia="en-AU"/>
        </w:rPr>
        <w:t xml:space="preserve"> </w:t>
      </w:r>
      <w:r w:rsidR="00116A97">
        <w:t xml:space="preserve">remain, to inform </w:t>
      </w:r>
      <w:r w:rsidR="6F224D7E" w:rsidRPr="006F22A6">
        <w:t xml:space="preserve">government policy, </w:t>
      </w:r>
      <w:r w:rsidR="00116A97">
        <w:t xml:space="preserve">service design </w:t>
      </w:r>
      <w:r w:rsidR="6F224D7E" w:rsidRPr="006F22A6">
        <w:t xml:space="preserve">and education-to-employment pathways </w:t>
      </w:r>
      <w:r w:rsidR="00116A97">
        <w:t xml:space="preserve">that </w:t>
      </w:r>
      <w:r w:rsidR="6F224D7E" w:rsidRPr="006F22A6">
        <w:t>are</w:t>
      </w:r>
      <w:r w:rsidR="00116A97">
        <w:t xml:space="preserve"> culturally safe</w:t>
      </w:r>
      <w:r w:rsidR="6F224D7E" w:rsidRPr="006F22A6">
        <w:t>, strengths-based</w:t>
      </w:r>
      <w:r w:rsidR="00116A97">
        <w:t xml:space="preserve"> and responsive to lived </w:t>
      </w:r>
      <w:r w:rsidR="6F224D7E" w:rsidRPr="006F22A6">
        <w:t>realities. The audience includes</w:t>
      </w:r>
      <w:r w:rsidR="00116A97">
        <w:t xml:space="preserve"> policymakers, </w:t>
      </w:r>
      <w:r w:rsidR="6F224D7E" w:rsidRPr="006F22A6">
        <w:t xml:space="preserve">education, </w:t>
      </w:r>
      <w:r w:rsidR="00116A97">
        <w:t>employment and disability service providers, employers, Aboriginal and Torres Strait Islander organisations</w:t>
      </w:r>
      <w:r w:rsidR="6F224D7E" w:rsidRPr="006F22A6">
        <w:t>,</w:t>
      </w:r>
      <w:r w:rsidR="00116A97">
        <w:t xml:space="preserve"> researchers and practitioners</w:t>
      </w:r>
      <w:r w:rsidR="00116A97" w:rsidRPr="5C99C6EE">
        <w:rPr>
          <w:lang w:eastAsia="en-AU"/>
        </w:rPr>
        <w:t xml:space="preserve"> </w:t>
      </w:r>
      <w:r w:rsidR="6F224D7E" w:rsidRPr="006F22A6">
        <w:t>applying</w:t>
      </w:r>
      <w:r w:rsidR="00116A97">
        <w:t xml:space="preserve"> Indigenous</w:t>
      </w:r>
      <w:r w:rsidR="00116A97" w:rsidRPr="5C99C6EE">
        <w:rPr>
          <w:lang w:eastAsia="en-AU"/>
        </w:rPr>
        <w:t>-</w:t>
      </w:r>
      <w:r w:rsidR="00116A97">
        <w:t>led evidence in practice.</w:t>
      </w:r>
    </w:p>
    <w:p w14:paraId="2CD5C642" w14:textId="2E2C9A40" w:rsidR="00DD0681" w:rsidRPr="005435A6" w:rsidRDefault="00695153" w:rsidP="00423EB2">
      <w:pPr>
        <w:pStyle w:val="Heading2"/>
        <w:spacing w:line="360" w:lineRule="atLeast"/>
        <w:jc w:val="left"/>
      </w:pPr>
      <w:bookmarkStart w:id="10" w:name="_Toc231482930"/>
      <w:r>
        <w:t>Key points</w:t>
      </w:r>
      <w:bookmarkEnd w:id="9"/>
      <w:bookmarkEnd w:id="10"/>
    </w:p>
    <w:p w14:paraId="318A40EA" w14:textId="5C3FB690" w:rsidR="002825BB" w:rsidRPr="005E4476" w:rsidRDefault="002825BB" w:rsidP="003D0DFD">
      <w:pPr>
        <w:pStyle w:val="ListBullet"/>
      </w:pPr>
      <w:r>
        <w:t>Employment outcomes for Aboriginal and Torres Strait Islander peoples with disability remain significantly lower than for other groups</w:t>
      </w:r>
      <w:r w:rsidR="00423EB2">
        <w:t>.</w:t>
      </w:r>
    </w:p>
    <w:p w14:paraId="1FE92095" w14:textId="134BA713" w:rsidR="002825BB" w:rsidRPr="005E4476" w:rsidRDefault="002825BB" w:rsidP="003D0DFD">
      <w:pPr>
        <w:pStyle w:val="ListBullet"/>
      </w:pPr>
      <w:r>
        <w:t>These disparities are driven by structural barriers, including culturally unsafe services, racism, inaccessible systems, and limited employment opportunities</w:t>
      </w:r>
      <w:r w:rsidR="00423EB2">
        <w:t>.</w:t>
      </w:r>
    </w:p>
    <w:p w14:paraId="4D93CA39" w14:textId="58552F5C" w:rsidR="002825BB" w:rsidRPr="005E4476" w:rsidRDefault="002825BB" w:rsidP="003D0DFD">
      <w:pPr>
        <w:pStyle w:val="ListBullet"/>
      </w:pPr>
      <w:r>
        <w:t>Mainstream employment service models are typically standardised, compliance-driven, and misaligned with Indigenous social, cultural, and community contexts</w:t>
      </w:r>
      <w:r w:rsidR="00423EB2">
        <w:t>.</w:t>
      </w:r>
    </w:p>
    <w:p w14:paraId="39C1BB3C" w14:textId="5706C3BF" w:rsidR="002825BB" w:rsidRPr="005E4476" w:rsidRDefault="002825BB" w:rsidP="003D0DFD">
      <w:pPr>
        <w:pStyle w:val="ListBullet"/>
      </w:pPr>
      <w:r>
        <w:t xml:space="preserve">Indigenous-led and community-controlled approaches consistently demonstrate stronger, more sustainable outcomes by embedding cultural </w:t>
      </w:r>
      <w:r>
        <w:lastRenderedPageBreak/>
        <w:t>authority, trauma</w:t>
      </w:r>
      <w:r w:rsidR="00FD1154" w:rsidRPr="006F22A6">
        <w:noBreakHyphen/>
      </w:r>
      <w:r>
        <w:t>informed practice, relational accountability and local knowledge</w:t>
      </w:r>
      <w:r w:rsidR="00423EB2">
        <w:t>.</w:t>
      </w:r>
    </w:p>
    <w:p w14:paraId="5838AE0F" w14:textId="399062BC" w:rsidR="002825BB" w:rsidRPr="005E4476" w:rsidRDefault="002825BB" w:rsidP="003D0DFD">
      <w:pPr>
        <w:pStyle w:val="ListBullet"/>
      </w:pPr>
      <w:r>
        <w:t>Cultural safety, relational approaches, and trust are foundational conditions for engagement, not supplementary service features</w:t>
      </w:r>
      <w:r w:rsidR="00423EB2">
        <w:t>.</w:t>
      </w:r>
    </w:p>
    <w:p w14:paraId="117A574F" w14:textId="732892CC" w:rsidR="002825BB" w:rsidRPr="005E4476" w:rsidRDefault="002825BB" w:rsidP="003D0DFD">
      <w:pPr>
        <w:pStyle w:val="ListBullet"/>
      </w:pPr>
      <w:r>
        <w:t>Racism often operates through everyday assumptions and interactions, with outcomes shaped by how these moments are recognised and responded to in practice</w:t>
      </w:r>
      <w:r w:rsidR="00423EB2">
        <w:t>.</w:t>
      </w:r>
    </w:p>
    <w:p w14:paraId="1D742DB8" w14:textId="76948767" w:rsidR="002825BB" w:rsidRPr="005E4476" w:rsidRDefault="002825BB" w:rsidP="003D0DFD">
      <w:pPr>
        <w:pStyle w:val="ListBullet"/>
      </w:pPr>
      <w:r>
        <w:t>Flexible, context-responsive service delivery improves accessibility and enables ongoing participation by aligning services with lived realities</w:t>
      </w:r>
      <w:r w:rsidR="00423EB2">
        <w:t>.</w:t>
      </w:r>
    </w:p>
    <w:p w14:paraId="0D0AB248" w14:textId="3B1B7ED1" w:rsidR="002825BB" w:rsidRPr="005E4476" w:rsidRDefault="002825BB" w:rsidP="003D0DFD">
      <w:pPr>
        <w:pStyle w:val="ListBullet"/>
      </w:pPr>
      <w:r>
        <w:t>Employment</w:t>
      </w:r>
      <w:r w:rsidRPr="006F22A6">
        <w:t>, education and training</w:t>
      </w:r>
      <w:r>
        <w:t xml:space="preserve"> outcomes are strengthened where services recognise kinship systems, cultural obligations, community contexts and connection to Country</w:t>
      </w:r>
      <w:r w:rsidR="00423EB2">
        <w:t>.</w:t>
      </w:r>
    </w:p>
    <w:p w14:paraId="6E661DBD" w14:textId="28DCF045" w:rsidR="002825BB" w:rsidRPr="005E4476" w:rsidRDefault="002825BB" w:rsidP="003D0DFD">
      <w:pPr>
        <w:pStyle w:val="ListBullet"/>
      </w:pPr>
      <w:r>
        <w:t>Co-designed approaches are more relevant, accessible, and effective than externally imposed program models, particularly where decision-making authority is shared and ongoing</w:t>
      </w:r>
      <w:r w:rsidR="00423EB2">
        <w:t>.</w:t>
      </w:r>
    </w:p>
    <w:p w14:paraId="5E8FD498" w14:textId="3EFA4076" w:rsidR="002825BB" w:rsidRPr="005E4476" w:rsidRDefault="002825BB" w:rsidP="003D0DFD">
      <w:pPr>
        <w:pStyle w:val="ListBullet"/>
      </w:pPr>
      <w:r>
        <w:t>Indigenous-owned and community-controlled organisations provide culturally grounded environments that support both engagement and retention</w:t>
      </w:r>
      <w:r w:rsidR="00423EB2">
        <w:t>.</w:t>
      </w:r>
    </w:p>
    <w:p w14:paraId="4EDBABA7" w14:textId="6282411B" w:rsidR="002825BB" w:rsidRPr="005E4476" w:rsidRDefault="002825BB" w:rsidP="003D0DFD">
      <w:pPr>
        <w:pStyle w:val="ListBullet"/>
      </w:pPr>
      <w:r>
        <w:t xml:space="preserve">Workforce capability remains a key system constraint, with gaps in cultural understanding, continuity, and the application of </w:t>
      </w:r>
      <w:r w:rsidR="00423EB2">
        <w:t>culturally-informed</w:t>
      </w:r>
      <w:r>
        <w:t xml:space="preserve"> practice</w:t>
      </w:r>
      <w:r w:rsidR="00423EB2">
        <w:t>.</w:t>
      </w:r>
    </w:p>
    <w:p w14:paraId="5C54F6BD" w14:textId="77777777" w:rsidR="002825BB" w:rsidRPr="005E4476" w:rsidRDefault="002825BB" w:rsidP="003D0DFD">
      <w:pPr>
        <w:pStyle w:val="ListBullet"/>
      </w:pPr>
      <w:r>
        <w:t>Current</w:t>
      </w:r>
      <w:r w:rsidRPr="006F22A6">
        <w:t xml:space="preserve"> workforce</w:t>
      </w:r>
      <w:r>
        <w:t xml:space="preserve"> training approaches are often episodic and compliance-driven, with limited evidence and resourcing for sustained, practice-based workforce development</w:t>
      </w:r>
    </w:p>
    <w:p w14:paraId="229A310C" w14:textId="759A8CD2" w:rsidR="00C86236" w:rsidRDefault="002825BB" w:rsidP="003D0DFD">
      <w:pPr>
        <w:pStyle w:val="ListBullet"/>
      </w:pPr>
      <w:r>
        <w:t>The evidence base is fragmented, with critical insights located across grey literature, community-led research, and Indigenous-authored scholarship rather than formal evaluation studies</w:t>
      </w:r>
      <w:r w:rsidR="00AE4B11">
        <w:t>.</w:t>
      </w:r>
    </w:p>
    <w:p w14:paraId="3D0D00E4" w14:textId="54AF9CAE" w:rsidR="001656B2" w:rsidRPr="005435A6" w:rsidRDefault="00C86236" w:rsidP="00423EB2">
      <w:pPr>
        <w:widowControl/>
      </w:pPr>
      <w:r>
        <w:t>Employment includes both paid and unpaid contributions, with care for kin, community and Country central to participation</w:t>
      </w:r>
      <w:r w:rsidRPr="006F22A6">
        <w:t xml:space="preserve"> (Leroy-Dyer, 2022; Walter &amp; Andersen, 2013)</w:t>
      </w:r>
      <w:r>
        <w:t>. However, organisational systems prioritise economically measurable outputs, leaving relational and cultural labour undervalued. This contributes to cultural load, where Aboriginal and Torres Strait Islander employees undertake additional, often unrecognised work to sustain culturally safe and effective service environments</w:t>
      </w:r>
      <w:r w:rsidRPr="006F22A6">
        <w:t xml:space="preserve"> (Avery, 2018; Brown et al., 2020; Leroy-Dyer &amp; Olssen, 2026)</w:t>
      </w:r>
      <w:r>
        <w:t>. There is limited evidence on how Indigenous leadership operates within employment systems, particularly in relation to Indigenous disability leadership and its impact on outcomes</w:t>
      </w:r>
      <w:r w:rsidRPr="006F22A6">
        <w:t xml:space="preserve">; this gap has direct </w:t>
      </w:r>
      <w:r w:rsidRPr="006F22A6">
        <w:lastRenderedPageBreak/>
        <w:t>implications for education, training and workforce policy because leadership pathways are part of the service infrastructure, not an optional workforce add-on (FPDNA, 2016; Gilroy et al., 2013)</w:t>
      </w:r>
      <w:r w:rsidR="1EC46114">
        <w:t>.</w:t>
      </w:r>
    </w:p>
    <w:p w14:paraId="1C40D16D" w14:textId="59FE083F" w:rsidR="002B2CD8" w:rsidRPr="005435A6" w:rsidRDefault="00D36213" w:rsidP="00423EB2">
      <w:pPr>
        <w:pStyle w:val="Heading2"/>
        <w:spacing w:line="360" w:lineRule="atLeast"/>
        <w:jc w:val="left"/>
      </w:pPr>
      <w:bookmarkStart w:id="11" w:name="_Toc228284894"/>
      <w:bookmarkStart w:id="12" w:name="_Toc231482931"/>
      <w:r>
        <w:t>Key findings</w:t>
      </w:r>
      <w:bookmarkEnd w:id="11"/>
      <w:bookmarkEnd w:id="12"/>
    </w:p>
    <w:p w14:paraId="208C0881" w14:textId="363A32F5" w:rsidR="00976D3F" w:rsidRDefault="00976D3F" w:rsidP="00423EB2">
      <w:pPr>
        <w:widowControl/>
      </w:pPr>
      <w:r>
        <w:t xml:space="preserve">Sources were prioritised using </w:t>
      </w:r>
      <w:r w:rsidR="00A56FF6" w:rsidRPr="00A56FF6">
        <w:t xml:space="preserve">The Australian Education Research Organisation’s Standards of Evidence framework </w:t>
      </w:r>
      <w:r w:rsidR="002A44B6">
        <w:t>(</w:t>
      </w:r>
      <w:r>
        <w:t>AERO</w:t>
      </w:r>
      <w:r w:rsidR="002A44B6">
        <w:t xml:space="preserve">) </w:t>
      </w:r>
      <w:r w:rsidR="00A56FF6" w:rsidRPr="00A56FF6">
        <w:t>for assessing the strength of education evidence through rigour and relevance. The framework supports transparent judgements about whether a policy, practice or program is likely to be effective in a particular context, while recognising that research design needs to follow the research question, context and form of knowledge being generated. However, for research involving Indigenous peoples, AERO’s evidence framework needs to be applied alongside Indigenous-led research principles, cultural authority, community accountability and Indigenous Data Sovereignty, so that evidence is not judged only through conventional causal evaluation hierarchies.</w:t>
      </w:r>
      <w:r w:rsidR="00132481">
        <w:t xml:space="preserve"> </w:t>
      </w:r>
      <w:r w:rsidR="003516D0">
        <w:t xml:space="preserve">The </w:t>
      </w:r>
      <w:r w:rsidR="00546FBB">
        <w:t xml:space="preserve">AERO framework </w:t>
      </w:r>
      <w:r w:rsidR="003516D0">
        <w:t xml:space="preserve">was applied </w:t>
      </w:r>
      <w:r w:rsidR="00546FBB">
        <w:t xml:space="preserve">through </w:t>
      </w:r>
      <w:r w:rsidR="003516D0">
        <w:t xml:space="preserve">an </w:t>
      </w:r>
      <w:r w:rsidR="00546FBB">
        <w:t>Indigenist research</w:t>
      </w:r>
      <w:r>
        <w:t xml:space="preserve"> </w:t>
      </w:r>
      <w:r w:rsidR="003516D0">
        <w:t xml:space="preserve">lens </w:t>
      </w:r>
      <w:r>
        <w:t xml:space="preserve">to </w:t>
      </w:r>
      <w:r w:rsidR="003516D0">
        <w:t>prioritise</w:t>
      </w:r>
      <w:r>
        <w:t xml:space="preserve"> Indigenous-led and community-controlled evidence</w:t>
      </w:r>
      <w:r w:rsidR="003516D0">
        <w:t>. Remaining</w:t>
      </w:r>
      <w:r>
        <w:t xml:space="preserve"> materials </w:t>
      </w:r>
      <w:r w:rsidR="003516D0">
        <w:t>were then assessed based on their</w:t>
      </w:r>
      <w:r>
        <w:t xml:space="preserve"> relevance to the review question and </w:t>
      </w:r>
      <w:r w:rsidR="003516D0">
        <w:t xml:space="preserve">their </w:t>
      </w:r>
      <w:r>
        <w:t xml:space="preserve">usefulness for informing </w:t>
      </w:r>
      <w:r w:rsidR="003516D0">
        <w:t xml:space="preserve">policy and </w:t>
      </w:r>
      <w:r>
        <w:t>practice</w:t>
      </w:r>
      <w:r w:rsidR="003516D0">
        <w:t>.</w:t>
      </w:r>
      <w:r>
        <w:t xml:space="preserve"> Findings were generated through relational thematic analysis: evidence was immersed in, patterns were noticed and mapped across sources, then clustered into themes and grounded through Indigenous Storywork and yarning so meanings stayed connected to context and cultural accountability</w:t>
      </w:r>
      <w:r w:rsidRPr="006F22A6">
        <w:t xml:space="preserve"> (AIATSIS, 2020; Martin, 2008; Smith, 2021).</w:t>
      </w:r>
      <w:r>
        <w:t xml:space="preserve"> Themes were then evaluated by considering both methodological strength and cultural </w:t>
      </w:r>
      <w:proofErr w:type="gramStart"/>
      <w:r w:rsidR="6F9FADF5">
        <w:t>authority</w:t>
      </w:r>
      <w:r w:rsidRPr="006F22A6">
        <w:t>,</w:t>
      </w:r>
      <w:r w:rsidR="6F9FADF5">
        <w:t xml:space="preserve"> and</w:t>
      </w:r>
      <w:proofErr w:type="gramEnd"/>
      <w:r>
        <w:t xml:space="preserve"> synthesised as convergent mechanisms and enabling conditions rather than as a hierarchy of study designs or isolated intervention effects.</w:t>
      </w:r>
      <w:r w:rsidRPr="006F22A6">
        <w:t xml:space="preserve"> This gives government policy a defensible basis for acting on Indigenous-led evidence even where conventional outcome evaluations remain limited (</w:t>
      </w:r>
      <w:proofErr w:type="spellStart"/>
      <w:r w:rsidRPr="006F22A6">
        <w:t>Lowitja</w:t>
      </w:r>
      <w:proofErr w:type="spellEnd"/>
      <w:r w:rsidRPr="006F22A6">
        <w:t xml:space="preserve"> Institute, 2020; Productivity Commission, 2020).</w:t>
      </w:r>
    </w:p>
    <w:p w14:paraId="43268DA1" w14:textId="47518BDB" w:rsidR="00FC298D" w:rsidRPr="00FC298D" w:rsidRDefault="00FC298D" w:rsidP="00423EB2">
      <w:pPr>
        <w:pStyle w:val="Heading3"/>
        <w:spacing w:line="360" w:lineRule="atLeast"/>
      </w:pPr>
      <w:bookmarkStart w:id="13" w:name="_Toc231482932"/>
      <w:r>
        <w:t>What works</w:t>
      </w:r>
      <w:bookmarkEnd w:id="13"/>
    </w:p>
    <w:p w14:paraId="7A03A107" w14:textId="77777777" w:rsidR="00A83D6C" w:rsidRDefault="00827AF8" w:rsidP="00423EB2">
      <w:pPr>
        <w:widowControl/>
      </w:pPr>
      <w:r>
        <w:t>Across both grey and academic literature, employment services and supports are more effective when they are Indigenous-led, community-controlled and culturally grounded (Cooms &amp; Muurlink, 2025; NACCHO, 2021). Where authority, governance and decision-making sit with Aboriginal and Torres Strait Islander peoples, services are more accessible, more trusted and more likely to sustain engagement over time. The evidence attributes this to practice that embeds cultural Knowledges, recognises collective responsibility and prioritises relationships and accountability to community over transactional delivery (</w:t>
      </w:r>
      <w:r w:rsidR="001F29EF">
        <w:t xml:space="preserve">Cooms &amp; </w:t>
      </w:r>
      <w:proofErr w:type="spellStart"/>
      <w:r w:rsidR="001F29EF">
        <w:t>Muurlink</w:t>
      </w:r>
      <w:proofErr w:type="spellEnd"/>
      <w:r w:rsidR="001F29EF">
        <w:t xml:space="preserve">, 2025; </w:t>
      </w:r>
      <w:proofErr w:type="spellStart"/>
      <w:r w:rsidRPr="006F22A6">
        <w:t>D’Aprano</w:t>
      </w:r>
      <w:proofErr w:type="spellEnd"/>
      <w:r w:rsidRPr="006F22A6">
        <w:t xml:space="preserve"> et al., 2024; Gilroy et al., 2023; </w:t>
      </w:r>
      <w:proofErr w:type="spellStart"/>
      <w:r>
        <w:t>Lowitja</w:t>
      </w:r>
      <w:proofErr w:type="spellEnd"/>
      <w:r>
        <w:t xml:space="preserve"> </w:t>
      </w:r>
      <w:r>
        <w:lastRenderedPageBreak/>
        <w:t xml:space="preserve">Institute, 2020; NACCHO, 2021; Talbot et al., 2025). </w:t>
      </w:r>
      <w:r w:rsidR="00A83D6C">
        <w:t>Effective practice is characterised by shifts in governance and accountability that reshape how services operate, rather than by the implementation of discrete program components.</w:t>
      </w:r>
    </w:p>
    <w:p w14:paraId="39A5374C" w14:textId="7FB45EE8" w:rsidR="00827AF8" w:rsidRPr="005E4476" w:rsidRDefault="00827AF8" w:rsidP="00423EB2">
      <w:pPr>
        <w:widowControl/>
      </w:pPr>
      <w:r>
        <w:t xml:space="preserve">Cultural safety is a foundational condition for engagement. Services that acknowledge history, address racism and respect diverse understandings of disability create environments where participation becomes possible; without this, peoples may reasonably disengage (Cooms &amp; </w:t>
      </w:r>
      <w:proofErr w:type="spellStart"/>
      <w:r>
        <w:t>Muurlink</w:t>
      </w:r>
      <w:proofErr w:type="spellEnd"/>
      <w:r>
        <w:t xml:space="preserve">, 2025; </w:t>
      </w:r>
      <w:proofErr w:type="spellStart"/>
      <w:r w:rsidRPr="006F22A6">
        <w:t>D’Aprano</w:t>
      </w:r>
      <w:proofErr w:type="spellEnd"/>
      <w:r w:rsidRPr="006F22A6">
        <w:t xml:space="preserve"> et al., 2024; </w:t>
      </w:r>
      <w:r>
        <w:t>Talbot et al., 2025</w:t>
      </w:r>
      <w:r w:rsidRPr="006F22A6">
        <w:t>; Temple et al., 2020</w:t>
      </w:r>
      <w:r>
        <w:t>). Across the evidence, culturally safe services are those where peoples feel respected and believed, rather than judged or managed, and where safety is maintained in everyday interactions rather than asserted through policy statements</w:t>
      </w:r>
      <w:r w:rsidRPr="006F22A6">
        <w:t xml:space="preserve"> (Avery, 2018; </w:t>
      </w:r>
      <w:proofErr w:type="spellStart"/>
      <w:r w:rsidRPr="006F22A6">
        <w:t>Lowitja</w:t>
      </w:r>
      <w:proofErr w:type="spellEnd"/>
      <w:r w:rsidRPr="006F22A6">
        <w:t xml:space="preserve"> Institute, 2017).</w:t>
      </w:r>
      <w:r>
        <w:t xml:space="preserve"> This positions cultural safety as a precondition</w:t>
      </w:r>
      <w:r w:rsidR="0D743C1E">
        <w:t xml:space="preserve">, </w:t>
      </w:r>
      <w:r>
        <w:t>not an add-o</w:t>
      </w:r>
      <w:r w:rsidR="33988098">
        <w:t xml:space="preserve">n, </w:t>
      </w:r>
      <w:r>
        <w:t xml:space="preserve">shaping whether peoples will engage with </w:t>
      </w:r>
      <w:r w:rsidRPr="006F22A6">
        <w:t xml:space="preserve">education, </w:t>
      </w:r>
      <w:r>
        <w:t xml:space="preserve">employment </w:t>
      </w:r>
      <w:r w:rsidRPr="006F22A6">
        <w:t>and disability</w:t>
      </w:r>
      <w:r>
        <w:t xml:space="preserve"> pathways at all.</w:t>
      </w:r>
    </w:p>
    <w:p w14:paraId="105CE859" w14:textId="77777777" w:rsidR="00D53351" w:rsidRDefault="00827AF8" w:rsidP="00423EB2">
      <w:pPr>
        <w:widowControl/>
      </w:pPr>
      <w:r>
        <w:t xml:space="preserve">Relational and trust-based practice is a key mechanism through which services support participation. </w:t>
      </w:r>
      <w:r w:rsidR="00B30EB7" w:rsidRPr="00B30EB7">
        <w:t xml:space="preserve">Continuity of staff, local presence, time invested in relationships, and respectful communication are consistently linked to stronger engagement (Cooms &amp; </w:t>
      </w:r>
      <w:proofErr w:type="spellStart"/>
      <w:r w:rsidR="00B30EB7" w:rsidRPr="00B30EB7">
        <w:t>Muurlink</w:t>
      </w:r>
      <w:proofErr w:type="spellEnd"/>
      <w:r w:rsidR="00B30EB7" w:rsidRPr="00B30EB7">
        <w:t xml:space="preserve">, 2025; </w:t>
      </w:r>
      <w:proofErr w:type="spellStart"/>
      <w:r w:rsidR="00B30EB7" w:rsidRPr="00B30EB7">
        <w:t>D’Aprano</w:t>
      </w:r>
      <w:proofErr w:type="spellEnd"/>
      <w:r w:rsidR="00B30EB7" w:rsidRPr="00B30EB7">
        <w:t xml:space="preserve"> et al., 2024; Gilroy et al., 2023; Talbot et al., 2025).</w:t>
      </w:r>
      <w:r>
        <w:t xml:space="preserve"> Trust is built over time and shaped by historical and institutional experiences, so services </w:t>
      </w:r>
      <w:r w:rsidRPr="006F22A6">
        <w:t>need to</w:t>
      </w:r>
      <w:r>
        <w:t xml:space="preserve"> demonstrate consistency, credibility and relational accountability rather than relying on episodic contact</w:t>
      </w:r>
      <w:r w:rsidRPr="006F22A6">
        <w:t xml:space="preserve"> (Avery, 2018; Walter &amp; Andersen, 2013).</w:t>
      </w:r>
      <w:r>
        <w:t xml:space="preserve"> This includes how moments of misunderstanding or bias are handled, with trust strengthened through recognition, accountability and repair</w:t>
      </w:r>
      <w:r w:rsidRPr="318FC13B">
        <w:rPr>
          <w:rFonts w:eastAsiaTheme="minorEastAsia"/>
        </w:rPr>
        <w:t xml:space="preserve"> </w:t>
      </w:r>
      <w:r>
        <w:t xml:space="preserve">rather than the assumption that good intent is sufficient. </w:t>
      </w:r>
      <w:r w:rsidR="00D53351" w:rsidRPr="00D53351">
        <w:t>Overall, relational practice is understood as a core requirement for engagement, rather than an optional interpersonal approach.</w:t>
      </w:r>
    </w:p>
    <w:p w14:paraId="4FD1F685" w14:textId="7581D1DC" w:rsidR="00827AF8" w:rsidRPr="005E4476" w:rsidRDefault="00827AF8" w:rsidP="00423EB2">
      <w:pPr>
        <w:widowControl/>
      </w:pPr>
      <w:r>
        <w:t>Flexible and context-responsive service design supports engagement because it aligns service delivery with local realities, family and cultural obligations, health fluctuations and community contexts. The evidence shows flexibility enables pathways to shift over time, rather than constraining participation through rigid rules, fixed timelines or linear program models</w:t>
      </w:r>
      <w:r w:rsidRPr="5C99C6EE">
        <w:rPr>
          <w:rFonts w:eastAsiaTheme="minorEastAsia"/>
        </w:rPr>
        <w:t xml:space="preserve"> </w:t>
      </w:r>
      <w:r>
        <w:t>(</w:t>
      </w:r>
      <w:r w:rsidRPr="006F22A6">
        <w:t xml:space="preserve">Cooms &amp; </w:t>
      </w:r>
      <w:proofErr w:type="spellStart"/>
      <w:r w:rsidRPr="006F22A6">
        <w:t>Muurlink</w:t>
      </w:r>
      <w:proofErr w:type="spellEnd"/>
      <w:r w:rsidRPr="006F22A6">
        <w:t xml:space="preserve">, 2025; </w:t>
      </w:r>
      <w:proofErr w:type="spellStart"/>
      <w:r w:rsidRPr="5C99C6EE">
        <w:rPr>
          <w:rFonts w:eastAsiaTheme="minorEastAsia"/>
        </w:rPr>
        <w:t>D’Aprano</w:t>
      </w:r>
      <w:proofErr w:type="spellEnd"/>
      <w:r w:rsidRPr="5C99C6EE">
        <w:rPr>
          <w:rFonts w:eastAsiaTheme="minorEastAsia"/>
        </w:rPr>
        <w:t xml:space="preserve"> et al., 2024; </w:t>
      </w:r>
      <w:r w:rsidRPr="006F22A6">
        <w:t xml:space="preserve">FPDNA, 2016; </w:t>
      </w:r>
      <w:r w:rsidRPr="5C99C6EE">
        <w:rPr>
          <w:rFonts w:eastAsiaTheme="minorEastAsia"/>
        </w:rPr>
        <w:t>Veli-Gold et al., 2023</w:t>
      </w:r>
      <w:r w:rsidRPr="006F22A6">
        <w:t>).</w:t>
      </w:r>
      <w:r>
        <w:t xml:space="preserve"> </w:t>
      </w:r>
      <w:r w:rsidR="008E424F">
        <w:t>Flexibility is not simply a ‘nice to have’. It is a core part of whether education, training, and employment services remain accessible and work well over time.</w:t>
      </w:r>
    </w:p>
    <w:p w14:paraId="44EB2C99" w14:textId="01058DF1" w:rsidR="00827AF8" w:rsidRPr="005E4476" w:rsidRDefault="00827AF8" w:rsidP="00423EB2">
      <w:pPr>
        <w:widowControl/>
      </w:pPr>
      <w:r>
        <w:t xml:space="preserve">These findings are reflected in emerging policy initiatives such as the NIAA’s remote employment reforms and the Department of Employment and Workplace Relations’ </w:t>
      </w:r>
      <w:r w:rsidR="280964E5" w:rsidRPr="00A517DB">
        <w:t xml:space="preserve">Reconnection, Employment and Learning (REAL) </w:t>
      </w:r>
      <w:r>
        <w:t>pre-</w:t>
      </w:r>
      <w:r>
        <w:lastRenderedPageBreak/>
        <w:t>release employment program, which emphasise community-controlled delivery, early engagement and relational support</w:t>
      </w:r>
      <w:r w:rsidRPr="006F22A6">
        <w:t xml:space="preserve"> (DEWR, 2025; NIAA, 2021b, 2025a, 2025b).</w:t>
      </w:r>
      <w:r>
        <w:t xml:space="preserve"> While outcome evidence remains limited, these examples illustrate how policy is beginning to align with the conditions identified in the evidence base</w:t>
      </w:r>
      <w:r w:rsidRPr="006F22A6">
        <w:t xml:space="preserve">. The key evaluative point is that policy movement is promising only when implementation resourcing, governance and accountability match the relational and community-controlled conditions identified by Indigenous organisations and Indigenous-authored scholarship (AIATSIS, 2020; </w:t>
      </w:r>
      <w:proofErr w:type="spellStart"/>
      <w:r w:rsidRPr="006F22A6">
        <w:t>Lowitja</w:t>
      </w:r>
      <w:proofErr w:type="spellEnd"/>
      <w:r w:rsidRPr="006F22A6">
        <w:t xml:space="preserve"> Institute, 2020; NACCHO, 2021</w:t>
      </w:r>
      <w:r>
        <w:t>).</w:t>
      </w:r>
    </w:p>
    <w:p w14:paraId="0D1EE2DE" w14:textId="24175BC5" w:rsidR="00976D3F" w:rsidRDefault="002869F1" w:rsidP="00423EB2">
      <w:pPr>
        <w:pStyle w:val="Heading3"/>
        <w:spacing w:line="360" w:lineRule="atLeast"/>
      </w:pPr>
      <w:bookmarkStart w:id="14" w:name="_Toc231482933"/>
      <w:r>
        <w:t>What doesn’t work</w:t>
      </w:r>
      <w:bookmarkEnd w:id="14"/>
    </w:p>
    <w:p w14:paraId="5D7E037C" w14:textId="3153911A" w:rsidR="00393BF6" w:rsidRPr="005E4476" w:rsidRDefault="428707FE" w:rsidP="00423EB2">
      <w:pPr>
        <w:widowControl/>
      </w:pPr>
      <w:r>
        <w:t>S</w:t>
      </w:r>
      <w:r w:rsidR="00393BF6">
        <w:t xml:space="preserve">tandardised, compliance-driven and one-size-fits-all models are poorly aligned with Indigenous contexts. These approaches tend to prioritise administrative efficiency over relationships, restrict flexibility, and fail to recognise cultural obligations and collective ways of participating in work, which can intensify cultural load for First Nations </w:t>
      </w:r>
      <w:r w:rsidR="00334292">
        <w:t>employees</w:t>
      </w:r>
      <w:r w:rsidR="00393BF6">
        <w:t xml:space="preserve"> expected to bridge system and cultural gaps without formal recognition (Cooms &amp; </w:t>
      </w:r>
      <w:proofErr w:type="spellStart"/>
      <w:r w:rsidR="00393BF6">
        <w:t>Muurlink</w:t>
      </w:r>
      <w:proofErr w:type="spellEnd"/>
      <w:r w:rsidR="00393BF6">
        <w:t xml:space="preserve">, 2025; </w:t>
      </w:r>
      <w:proofErr w:type="spellStart"/>
      <w:r w:rsidRPr="006F22A6">
        <w:t>D’Aprano</w:t>
      </w:r>
      <w:proofErr w:type="spellEnd"/>
      <w:r w:rsidRPr="006F22A6">
        <w:t xml:space="preserve"> et al., 2024; </w:t>
      </w:r>
      <w:r w:rsidR="00393BF6">
        <w:t>Gilroy et al., 2023; Veli-Gold et al., 2023). As a result, services are frequently experienced as inaccessible, unsafe or irrelevant by Aboriginal and Torres Strait Islander peoples with disability. Overall,</w:t>
      </w:r>
      <w:r w:rsidR="00D87B98">
        <w:t xml:space="preserve"> </w:t>
      </w:r>
      <w:r w:rsidR="00393BF6">
        <w:t xml:space="preserve">these models </w:t>
      </w:r>
      <w:r w:rsidR="005E27C7">
        <w:t>undermine</w:t>
      </w:r>
      <w:r w:rsidR="00393BF6">
        <w:t xml:space="preserve"> the </w:t>
      </w:r>
      <w:r w:rsidR="005E27C7">
        <w:t>conditions needed</w:t>
      </w:r>
      <w:r w:rsidR="00393BF6">
        <w:t xml:space="preserve"> for engagement</w:t>
      </w:r>
      <w:r w:rsidR="1CB79573">
        <w:t xml:space="preserve">, </w:t>
      </w:r>
      <w:r w:rsidR="00393BF6">
        <w:t>trust, safety</w:t>
      </w:r>
      <w:r w:rsidR="005E27C7">
        <w:t>,</w:t>
      </w:r>
      <w:r w:rsidR="00393BF6">
        <w:t xml:space="preserve"> and local accountability</w:t>
      </w:r>
      <w:r w:rsidR="5E21BD3A">
        <w:t xml:space="preserve"> </w:t>
      </w:r>
      <w:r w:rsidR="005E27C7">
        <w:t>that support</w:t>
      </w:r>
      <w:r w:rsidR="00393BF6">
        <w:t xml:space="preserve"> effective employment </w:t>
      </w:r>
      <w:r w:rsidRPr="006F22A6">
        <w:t>and education</w:t>
      </w:r>
      <w:r w:rsidR="00393BF6">
        <w:t xml:space="preserve"> pathways.</w:t>
      </w:r>
    </w:p>
    <w:p w14:paraId="4658867C" w14:textId="1957AFEA" w:rsidR="00393BF6" w:rsidRPr="005E4476" w:rsidRDefault="00393BF6" w:rsidP="00423EB2">
      <w:pPr>
        <w:widowControl/>
      </w:pPr>
      <w:r>
        <w:t>Culturally unsafe environments, including experiences of racism, judgement and deficit framing, undermine trust and contribute to disengagement and service avoidance, including employment-related settings (Avery, 2018</w:t>
      </w:r>
      <w:r w:rsidRPr="006F22A6">
        <w:t>; Paradies, 2016; Temple et al., 2020</w:t>
      </w:r>
      <w:r>
        <w:t xml:space="preserve">). Unexamined assumptions within service interactions can reinforce disengagement, particularly where cultural responsibilities are misinterpreted or reframed as barriers. </w:t>
      </w:r>
      <w:r w:rsidRPr="006F22A6">
        <w:t>Where</w:t>
      </w:r>
      <w:r>
        <w:t xml:space="preserve"> services ignore cultural context or treat disability solely through western administrative frameworks, peoples are more likely to disengage entirely (</w:t>
      </w:r>
      <w:r w:rsidRPr="006F22A6">
        <w:t xml:space="preserve">Cooms &amp; </w:t>
      </w:r>
      <w:proofErr w:type="spellStart"/>
      <w:r w:rsidRPr="006F22A6">
        <w:t>Muurlink</w:t>
      </w:r>
      <w:proofErr w:type="spellEnd"/>
      <w:r w:rsidRPr="006F22A6">
        <w:t>, 2025</w:t>
      </w:r>
      <w:r>
        <w:t xml:space="preserve">; </w:t>
      </w:r>
      <w:proofErr w:type="spellStart"/>
      <w:r>
        <w:t>D’Aprano</w:t>
      </w:r>
      <w:proofErr w:type="spellEnd"/>
      <w:r>
        <w:t xml:space="preserve"> et al., 2024</w:t>
      </w:r>
      <w:r w:rsidRPr="006F22A6">
        <w:t>). This makes cultural safety an evaluative test of service quality, not a general statement of good intent.</w:t>
      </w:r>
    </w:p>
    <w:p w14:paraId="4D2C261A" w14:textId="79AB58EA" w:rsidR="00393BF6" w:rsidRDefault="00393BF6" w:rsidP="00423EB2">
      <w:pPr>
        <w:widowControl/>
      </w:pPr>
      <w:r>
        <w:t xml:space="preserve">Short-term, fragmented and throughput-focused arrangements further weaken engagement. The evidence shows frequent staff turnover, inconsistent contact and externally imposed requirements disrupt relationships and break trust, reinforcing perceptions that services are unaccountable to community (Gilroy et al., 2023; </w:t>
      </w:r>
      <w:r w:rsidRPr="006F22A6">
        <w:t>Talbot et al., 2025</w:t>
      </w:r>
      <w:r>
        <w:t xml:space="preserve">; Veli-Gold et al., 2023). In practice, these conditions make it difficult to sustain the continuity and relational accountability identified elsewhere in the evidence as necessary for </w:t>
      </w:r>
      <w:r>
        <w:lastRenderedPageBreak/>
        <w:t>participation.</w:t>
      </w:r>
      <w:r w:rsidRPr="006F22A6">
        <w:t xml:space="preserve"> For policy, this indicates that short funding cycles and narrow output measures can actively work against the conditions that produce engagement.</w:t>
      </w:r>
    </w:p>
    <w:p w14:paraId="084069AF" w14:textId="2379E53E" w:rsidR="00976D3F" w:rsidRDefault="00393BF6" w:rsidP="00423EB2">
      <w:pPr>
        <w:pStyle w:val="Heading3"/>
        <w:spacing w:line="360" w:lineRule="atLeast"/>
      </w:pPr>
      <w:bookmarkStart w:id="15" w:name="_Toc231482934"/>
      <w:r>
        <w:t>Evidence gaps</w:t>
      </w:r>
      <w:bookmarkEnd w:id="15"/>
    </w:p>
    <w:p w14:paraId="24F6319D" w14:textId="2D29023E" w:rsidR="005E3045" w:rsidRPr="005E4476" w:rsidRDefault="005E3045" w:rsidP="00423EB2">
      <w:pPr>
        <w:widowControl/>
        <w:spacing w:before="0" w:after="0"/>
        <w:rPr>
          <w:rFonts w:eastAsia="Times New Roman" w:cs="Segoe UI"/>
          <w:color w:val="auto"/>
          <w:lang w:eastAsia="en-AU"/>
        </w:rPr>
      </w:pPr>
      <w:r w:rsidRPr="00A517DB">
        <w:t>While there is strong and consistent evidence on barriers and enabling conditions, direct evaluations of employment outcomes for Aboriginal and Torres Strait Islander peoples with disability remain limited. Much of the strongest knowledge is qualitative, context-specific and located in Indigenous-authored research, community-led practice and grey literature, rather than outcome-focused evaluations</w:t>
      </w:r>
      <w:r w:rsidRPr="006F22A6">
        <w:t xml:space="preserve"> (AIHW, 2023; </w:t>
      </w:r>
      <w:proofErr w:type="spellStart"/>
      <w:r w:rsidRPr="006F22A6">
        <w:t>Lowitja</w:t>
      </w:r>
      <w:proofErr w:type="spellEnd"/>
      <w:r w:rsidRPr="006F22A6">
        <w:t xml:space="preserve"> Institute, 2020; Productivity Commission, 2020).</w:t>
      </w:r>
      <w:r w:rsidRPr="00A517DB">
        <w:t xml:space="preserve"> There is emerging but less developed evidence on the operation and outcomes of Indigenous-led and community-controlled employment models, including how these approaches sustain participation over time (</w:t>
      </w:r>
      <w:r w:rsidRPr="006F22A6">
        <w:t>Cooms &amp; Muurlink, 2025; Gilroy et al., 2023; Talbot et al., 2025). A significant gap remains in evidence on Indigenous disability leadership, cultural load, and the mechanisms through which effective practices translate into long-term employment, education and training outcomes (AHRC, 2019; FPDNA, 2016; Langton et al., 2012; NIAA, 2020). Addressing these gaps requires Indigenous-led research, evaluation and data sovereignty approaches aligned</w:t>
      </w:r>
      <w:r w:rsidRPr="00A517DB">
        <w:t xml:space="preserve"> with Aboriginal and Torres Strait Islander priorities and ways of understanding work, inclusion and </w:t>
      </w:r>
      <w:r w:rsidRPr="006F22A6">
        <w:t>participation</w:t>
      </w:r>
      <w:r w:rsidRPr="00A517DB">
        <w:t xml:space="preserve"> (AIATSIS, 2020; </w:t>
      </w:r>
      <w:r w:rsidR="00985439" w:rsidRPr="00A517DB">
        <w:t>Lovett</w:t>
      </w:r>
      <w:r w:rsidRPr="00A517DB">
        <w:t>, 2016; M</w:t>
      </w:r>
      <w:r w:rsidR="6AFBC495" w:rsidRPr="00A517DB">
        <w:t>NWIDSC</w:t>
      </w:r>
      <w:r w:rsidRPr="00A517DB">
        <w:t>, 2018</w:t>
      </w:r>
      <w:r w:rsidRPr="5C99C6EE">
        <w:rPr>
          <w:rFonts w:eastAsia="Times New Roman" w:cs="Segoe UI"/>
          <w:color w:val="auto"/>
          <w:lang w:eastAsia="en-AU"/>
        </w:rPr>
        <w:t>).</w:t>
      </w:r>
    </w:p>
    <w:p w14:paraId="20770961" w14:textId="77777777" w:rsidR="005E3045" w:rsidRPr="005E3045" w:rsidRDefault="005E3045" w:rsidP="00423EB2">
      <w:pPr>
        <w:widowControl/>
      </w:pPr>
    </w:p>
    <w:p w14:paraId="50AEE860" w14:textId="74F22348" w:rsidR="00BD2C0A" w:rsidRPr="000277F1" w:rsidRDefault="00FC0A6F" w:rsidP="00423EB2">
      <w:pPr>
        <w:widowControl/>
        <w:rPr>
          <w:rFonts w:cs="Times New Roman"/>
        </w:rPr>
      </w:pPr>
      <w:r>
        <w:t>[</w:t>
      </w:r>
      <w:r w:rsidR="003E7E0A" w:rsidRPr="005435A6">
        <w:t>Long form report (max 30 pages)</w:t>
      </w:r>
      <w:r>
        <w:t xml:space="preserve"> starts here</w:t>
      </w:r>
      <w:r w:rsidR="000277F1">
        <w:t>:</w:t>
      </w:r>
      <w:r>
        <w:t>]</w:t>
      </w:r>
    </w:p>
    <w:p w14:paraId="68E0BCE8" w14:textId="77777777" w:rsidR="00884AD9" w:rsidRDefault="00884AD9" w:rsidP="00423EB2">
      <w:bookmarkStart w:id="16" w:name="_Toc228284895"/>
      <w:r>
        <w:br w:type="page"/>
      </w:r>
    </w:p>
    <w:p w14:paraId="294F6818" w14:textId="225A7FB5" w:rsidR="00086269" w:rsidRPr="005435A6" w:rsidRDefault="67B76358" w:rsidP="00423EB2">
      <w:pPr>
        <w:pStyle w:val="Heading1"/>
        <w:spacing w:line="360" w:lineRule="atLeast"/>
        <w:jc w:val="left"/>
      </w:pPr>
      <w:bookmarkStart w:id="17" w:name="_Toc231482935"/>
      <w:r>
        <w:lastRenderedPageBreak/>
        <w:t>Introduction</w:t>
      </w:r>
      <w:bookmarkEnd w:id="16"/>
      <w:bookmarkEnd w:id="17"/>
    </w:p>
    <w:p w14:paraId="47BB8CAD" w14:textId="18A1B9A4" w:rsidR="5647C80A" w:rsidRDefault="5647C80A" w:rsidP="00423EB2">
      <w:pPr>
        <w:widowControl/>
        <w:rPr>
          <w:lang w:val="fr-FR" w:eastAsia="en-AU"/>
        </w:rPr>
      </w:pPr>
      <w:bookmarkStart w:id="18" w:name="_Toc228284896"/>
      <w:proofErr w:type="spellStart"/>
      <w:r w:rsidRPr="622535D5">
        <w:rPr>
          <w:lang w:val="fr-FR"/>
        </w:rPr>
        <w:t>Employment</w:t>
      </w:r>
      <w:proofErr w:type="spellEnd"/>
      <w:r w:rsidRPr="622535D5">
        <w:rPr>
          <w:lang w:val="fr-FR"/>
        </w:rPr>
        <w:t xml:space="preserve"> </w:t>
      </w:r>
      <w:proofErr w:type="spellStart"/>
      <w:r w:rsidRPr="622535D5">
        <w:rPr>
          <w:lang w:val="fr-FR"/>
        </w:rPr>
        <w:t>outcomes</w:t>
      </w:r>
      <w:proofErr w:type="spellEnd"/>
      <w:r w:rsidRPr="622535D5">
        <w:rPr>
          <w:lang w:val="fr-FR"/>
        </w:rPr>
        <w:t xml:space="preserve"> for </w:t>
      </w:r>
      <w:proofErr w:type="spellStart"/>
      <w:r w:rsidRPr="622535D5">
        <w:rPr>
          <w:lang w:val="fr-FR"/>
        </w:rPr>
        <w:t>Aboriginal</w:t>
      </w:r>
      <w:proofErr w:type="spellEnd"/>
      <w:r w:rsidRPr="622535D5">
        <w:rPr>
          <w:lang w:val="fr-FR"/>
        </w:rPr>
        <w:t xml:space="preserve"> and Torres Strait </w:t>
      </w:r>
      <w:proofErr w:type="spellStart"/>
      <w:r w:rsidRPr="622535D5">
        <w:rPr>
          <w:lang w:val="fr-FR"/>
        </w:rPr>
        <w:t>Islander</w:t>
      </w:r>
      <w:proofErr w:type="spellEnd"/>
      <w:r w:rsidRPr="622535D5">
        <w:rPr>
          <w:lang w:val="fr-FR"/>
        </w:rPr>
        <w:t xml:space="preserve"> peoples </w:t>
      </w:r>
      <w:proofErr w:type="spellStart"/>
      <w:r w:rsidRPr="622535D5">
        <w:rPr>
          <w:lang w:val="fr-FR"/>
        </w:rPr>
        <w:t>with</w:t>
      </w:r>
      <w:proofErr w:type="spellEnd"/>
      <w:r w:rsidRPr="622535D5">
        <w:rPr>
          <w:lang w:val="fr-FR"/>
        </w:rPr>
        <w:t xml:space="preserve"> </w:t>
      </w:r>
      <w:proofErr w:type="spellStart"/>
      <w:r w:rsidRPr="622535D5">
        <w:rPr>
          <w:lang w:val="fr-FR"/>
        </w:rPr>
        <w:t>disability</w:t>
      </w:r>
      <w:proofErr w:type="spellEnd"/>
      <w:r w:rsidRPr="622535D5">
        <w:rPr>
          <w:lang w:val="fr-FR"/>
        </w:rPr>
        <w:t xml:space="preserve"> </w:t>
      </w:r>
      <w:proofErr w:type="spellStart"/>
      <w:r w:rsidRPr="622535D5">
        <w:rPr>
          <w:lang w:val="fr-FR"/>
        </w:rPr>
        <w:t>remain</w:t>
      </w:r>
      <w:proofErr w:type="spellEnd"/>
      <w:r w:rsidRPr="622535D5">
        <w:rPr>
          <w:lang w:val="fr-FR"/>
        </w:rPr>
        <w:t xml:space="preserve"> </w:t>
      </w:r>
      <w:proofErr w:type="spellStart"/>
      <w:r w:rsidRPr="622535D5">
        <w:rPr>
          <w:lang w:val="fr-FR"/>
        </w:rPr>
        <w:t>significantly</w:t>
      </w:r>
      <w:proofErr w:type="spellEnd"/>
      <w:r w:rsidRPr="622535D5">
        <w:rPr>
          <w:lang w:val="fr-FR"/>
        </w:rPr>
        <w:t xml:space="preserve"> </w:t>
      </w:r>
      <w:proofErr w:type="spellStart"/>
      <w:r w:rsidRPr="622535D5">
        <w:rPr>
          <w:lang w:val="fr-FR"/>
        </w:rPr>
        <w:t>unequal</w:t>
      </w:r>
      <w:proofErr w:type="spellEnd"/>
      <w:r w:rsidRPr="622535D5">
        <w:rPr>
          <w:lang w:val="fr-FR"/>
        </w:rPr>
        <w:t xml:space="preserve">. While </w:t>
      </w:r>
      <w:proofErr w:type="spellStart"/>
      <w:r w:rsidRPr="622535D5">
        <w:rPr>
          <w:lang w:val="fr-FR"/>
        </w:rPr>
        <w:t>employment</w:t>
      </w:r>
      <w:proofErr w:type="spellEnd"/>
      <w:r w:rsidRPr="622535D5">
        <w:rPr>
          <w:lang w:val="fr-FR"/>
        </w:rPr>
        <w:t xml:space="preserve"> </w:t>
      </w:r>
      <w:proofErr w:type="spellStart"/>
      <w:r w:rsidRPr="622535D5">
        <w:rPr>
          <w:lang w:val="fr-FR"/>
        </w:rPr>
        <w:t>is</w:t>
      </w:r>
      <w:proofErr w:type="spellEnd"/>
      <w:r w:rsidRPr="622535D5">
        <w:rPr>
          <w:lang w:val="fr-FR"/>
        </w:rPr>
        <w:t xml:space="preserve"> </w:t>
      </w:r>
      <w:proofErr w:type="spellStart"/>
      <w:r w:rsidRPr="622535D5">
        <w:rPr>
          <w:lang w:val="fr-FR"/>
        </w:rPr>
        <w:t>widely</w:t>
      </w:r>
      <w:proofErr w:type="spellEnd"/>
      <w:r w:rsidRPr="622535D5">
        <w:rPr>
          <w:lang w:val="fr-FR"/>
        </w:rPr>
        <w:t xml:space="preserve"> recognised as a </w:t>
      </w:r>
      <w:proofErr w:type="spellStart"/>
      <w:r w:rsidRPr="622535D5">
        <w:rPr>
          <w:lang w:val="fr-FR"/>
        </w:rPr>
        <w:t>pathway</w:t>
      </w:r>
      <w:proofErr w:type="spellEnd"/>
      <w:r w:rsidRPr="622535D5">
        <w:rPr>
          <w:lang w:val="fr-FR"/>
        </w:rPr>
        <w:t xml:space="preserve"> to </w:t>
      </w:r>
      <w:proofErr w:type="spellStart"/>
      <w:r w:rsidRPr="622535D5">
        <w:rPr>
          <w:lang w:val="fr-FR"/>
        </w:rPr>
        <w:t>economic</w:t>
      </w:r>
      <w:proofErr w:type="spellEnd"/>
      <w:r w:rsidRPr="622535D5">
        <w:rPr>
          <w:lang w:val="fr-FR"/>
        </w:rPr>
        <w:t xml:space="preserve"> </w:t>
      </w:r>
      <w:proofErr w:type="spellStart"/>
      <w:r w:rsidRPr="622535D5">
        <w:rPr>
          <w:lang w:val="fr-FR"/>
        </w:rPr>
        <w:t>security</w:t>
      </w:r>
      <w:proofErr w:type="spellEnd"/>
      <w:r w:rsidRPr="622535D5">
        <w:rPr>
          <w:lang w:val="fr-FR"/>
        </w:rPr>
        <w:t xml:space="preserve">, </w:t>
      </w:r>
      <w:proofErr w:type="spellStart"/>
      <w:r w:rsidRPr="622535D5">
        <w:rPr>
          <w:lang w:val="fr-FR"/>
        </w:rPr>
        <w:t>wellbeing</w:t>
      </w:r>
      <w:proofErr w:type="spellEnd"/>
      <w:r w:rsidRPr="622535D5">
        <w:rPr>
          <w:lang w:val="fr-FR"/>
        </w:rPr>
        <w:t xml:space="preserve"> and self-</w:t>
      </w:r>
      <w:proofErr w:type="spellStart"/>
      <w:r w:rsidRPr="622535D5">
        <w:rPr>
          <w:lang w:val="fr-FR"/>
        </w:rPr>
        <w:t>determination</w:t>
      </w:r>
      <w:proofErr w:type="spellEnd"/>
      <w:r w:rsidRPr="622535D5">
        <w:rPr>
          <w:lang w:val="fr-FR"/>
        </w:rPr>
        <w:t>,</w:t>
      </w:r>
      <w:r w:rsidRPr="622535D5">
        <w:rPr>
          <w:lang w:val="fr-FR" w:eastAsia="en-AU"/>
        </w:rPr>
        <w:t xml:space="preserve"> </w:t>
      </w:r>
      <w:proofErr w:type="spellStart"/>
      <w:r w:rsidRPr="622535D5">
        <w:rPr>
          <w:lang w:val="fr-FR"/>
        </w:rPr>
        <w:t>many</w:t>
      </w:r>
      <w:proofErr w:type="spellEnd"/>
      <w:r w:rsidRPr="622535D5">
        <w:rPr>
          <w:lang w:val="fr-FR"/>
        </w:rPr>
        <w:t xml:space="preserve"> Aboriginal and Torres Strait </w:t>
      </w:r>
      <w:proofErr w:type="spellStart"/>
      <w:r w:rsidRPr="622535D5">
        <w:rPr>
          <w:lang w:val="fr-FR"/>
        </w:rPr>
        <w:t>Islander</w:t>
      </w:r>
      <w:proofErr w:type="spellEnd"/>
      <w:r w:rsidRPr="622535D5">
        <w:rPr>
          <w:lang w:val="fr-FR"/>
        </w:rPr>
        <w:t xml:space="preserve"> peoples </w:t>
      </w:r>
      <w:proofErr w:type="spellStart"/>
      <w:r w:rsidRPr="622535D5">
        <w:rPr>
          <w:lang w:val="fr-FR"/>
        </w:rPr>
        <w:t>with</w:t>
      </w:r>
      <w:proofErr w:type="spellEnd"/>
      <w:r w:rsidRPr="622535D5">
        <w:rPr>
          <w:lang w:val="fr-FR"/>
        </w:rPr>
        <w:t xml:space="preserve"> </w:t>
      </w:r>
      <w:proofErr w:type="spellStart"/>
      <w:r w:rsidRPr="622535D5">
        <w:rPr>
          <w:lang w:val="fr-FR"/>
        </w:rPr>
        <w:t>disability</w:t>
      </w:r>
      <w:proofErr w:type="spellEnd"/>
      <w:r w:rsidRPr="622535D5">
        <w:rPr>
          <w:lang w:val="fr-FR"/>
        </w:rPr>
        <w:t xml:space="preserve"> continue to face </w:t>
      </w:r>
      <w:proofErr w:type="spellStart"/>
      <w:r w:rsidRPr="622535D5">
        <w:rPr>
          <w:lang w:val="fr-FR"/>
        </w:rPr>
        <w:t>barriers</w:t>
      </w:r>
      <w:proofErr w:type="spellEnd"/>
      <w:r w:rsidRPr="622535D5">
        <w:rPr>
          <w:lang w:val="fr-FR"/>
        </w:rPr>
        <w:t xml:space="preserve"> to </w:t>
      </w:r>
      <w:proofErr w:type="spellStart"/>
      <w:r w:rsidRPr="622535D5">
        <w:rPr>
          <w:lang w:val="fr-FR"/>
        </w:rPr>
        <w:t>accessing</w:t>
      </w:r>
      <w:proofErr w:type="spellEnd"/>
      <w:r w:rsidRPr="622535D5">
        <w:rPr>
          <w:lang w:val="fr-FR"/>
        </w:rPr>
        <w:t xml:space="preserve">, </w:t>
      </w:r>
      <w:proofErr w:type="spellStart"/>
      <w:r w:rsidRPr="622535D5">
        <w:rPr>
          <w:lang w:val="fr-FR"/>
        </w:rPr>
        <w:t>engaging</w:t>
      </w:r>
      <w:proofErr w:type="spellEnd"/>
      <w:r w:rsidRPr="622535D5">
        <w:rPr>
          <w:lang w:val="fr-FR"/>
        </w:rPr>
        <w:t xml:space="preserve"> </w:t>
      </w:r>
      <w:proofErr w:type="spellStart"/>
      <w:r w:rsidRPr="622535D5">
        <w:rPr>
          <w:lang w:val="fr-FR"/>
        </w:rPr>
        <w:t>with</w:t>
      </w:r>
      <w:proofErr w:type="spellEnd"/>
      <w:r w:rsidRPr="622535D5">
        <w:rPr>
          <w:lang w:val="fr-FR"/>
        </w:rPr>
        <w:t xml:space="preserve"> and </w:t>
      </w:r>
      <w:proofErr w:type="spellStart"/>
      <w:r w:rsidRPr="622535D5">
        <w:rPr>
          <w:lang w:val="fr-FR"/>
        </w:rPr>
        <w:t>sustaining</w:t>
      </w:r>
      <w:proofErr w:type="spellEnd"/>
      <w:r w:rsidRPr="622535D5">
        <w:rPr>
          <w:lang w:val="fr-FR"/>
        </w:rPr>
        <w:t xml:space="preserve"> </w:t>
      </w:r>
      <w:proofErr w:type="spellStart"/>
      <w:r w:rsidRPr="622535D5">
        <w:rPr>
          <w:lang w:val="fr-FR"/>
        </w:rPr>
        <w:t>employment</w:t>
      </w:r>
      <w:proofErr w:type="spellEnd"/>
      <w:r w:rsidRPr="622535D5">
        <w:rPr>
          <w:lang w:val="fr-FR"/>
        </w:rPr>
        <w:t xml:space="preserve"> (Leroy-Dyer, 2016, 2022). </w:t>
      </w:r>
      <w:r w:rsidR="00890469">
        <w:t>These</w:t>
      </w:r>
      <w:r>
        <w:t xml:space="preserve"> barriers </w:t>
      </w:r>
      <w:r w:rsidR="00890469">
        <w:t xml:space="preserve">are understood </w:t>
      </w:r>
      <w:r>
        <w:t>not as the result of individual capability</w:t>
      </w:r>
      <w:r w:rsidR="00890469">
        <w:t>,</w:t>
      </w:r>
      <w:r>
        <w:t xml:space="preserve"> but as shaped by broader structural factors, including culturally unsafe services, racism, inaccessible systems, and limited opportunities </w:t>
      </w:r>
      <w:r w:rsidR="00890469">
        <w:t>in</w:t>
      </w:r>
      <w:r>
        <w:t xml:space="preserve"> labour markets</w:t>
      </w:r>
      <w:r w:rsidRPr="622535D5">
        <w:rPr>
          <w:lang w:val="fr-FR"/>
        </w:rPr>
        <w:t xml:space="preserve"> (</w:t>
      </w:r>
      <w:r w:rsidR="4DB1B712" w:rsidRPr="622535D5">
        <w:rPr>
          <w:lang w:val="fr-FR"/>
        </w:rPr>
        <w:t xml:space="preserve">Cooms et al., 2025; Gilroy et al., 2013, 2016, 2023; </w:t>
      </w:r>
      <w:proofErr w:type="spellStart"/>
      <w:r w:rsidR="4DB1B712" w:rsidRPr="622535D5">
        <w:rPr>
          <w:lang w:val="fr-FR"/>
        </w:rPr>
        <w:t>Productivity</w:t>
      </w:r>
      <w:proofErr w:type="spellEnd"/>
      <w:r w:rsidR="4DB1B712" w:rsidRPr="622535D5">
        <w:rPr>
          <w:lang w:val="fr-FR"/>
        </w:rPr>
        <w:t xml:space="preserve"> Commission, 2020).</w:t>
      </w:r>
      <w:r w:rsidRPr="622535D5">
        <w:rPr>
          <w:lang w:val="fr-FR"/>
        </w:rPr>
        <w:t xml:space="preserve"> This framing </w:t>
      </w:r>
      <w:proofErr w:type="spellStart"/>
      <w:r w:rsidRPr="622535D5">
        <w:rPr>
          <w:lang w:val="fr-FR"/>
        </w:rPr>
        <w:t>matters</w:t>
      </w:r>
      <w:proofErr w:type="spellEnd"/>
      <w:r w:rsidRPr="622535D5">
        <w:rPr>
          <w:lang w:val="fr-FR"/>
        </w:rPr>
        <w:t xml:space="preserve"> for </w:t>
      </w:r>
      <w:proofErr w:type="spellStart"/>
      <w:r w:rsidRPr="622535D5">
        <w:rPr>
          <w:lang w:val="fr-FR"/>
        </w:rPr>
        <w:t>government</w:t>
      </w:r>
      <w:proofErr w:type="spellEnd"/>
      <w:r w:rsidRPr="622535D5">
        <w:rPr>
          <w:lang w:val="fr-FR"/>
        </w:rPr>
        <w:t xml:space="preserve"> </w:t>
      </w:r>
      <w:proofErr w:type="spellStart"/>
      <w:r w:rsidRPr="622535D5">
        <w:rPr>
          <w:lang w:val="fr-FR"/>
        </w:rPr>
        <w:t>policy</w:t>
      </w:r>
      <w:proofErr w:type="spellEnd"/>
      <w:r w:rsidRPr="622535D5">
        <w:rPr>
          <w:lang w:val="fr-FR"/>
        </w:rPr>
        <w:t xml:space="preserve"> </w:t>
      </w:r>
      <w:proofErr w:type="spellStart"/>
      <w:r w:rsidRPr="622535D5">
        <w:rPr>
          <w:lang w:val="fr-FR"/>
        </w:rPr>
        <w:t>because</w:t>
      </w:r>
      <w:proofErr w:type="spellEnd"/>
      <w:r w:rsidRPr="622535D5">
        <w:rPr>
          <w:lang w:val="fr-FR"/>
        </w:rPr>
        <w:t xml:space="preserve"> </w:t>
      </w:r>
      <w:proofErr w:type="spellStart"/>
      <w:r w:rsidRPr="622535D5">
        <w:rPr>
          <w:lang w:val="fr-FR"/>
        </w:rPr>
        <w:t>it</w:t>
      </w:r>
      <w:proofErr w:type="spellEnd"/>
      <w:r w:rsidRPr="622535D5">
        <w:rPr>
          <w:lang w:val="fr-FR"/>
        </w:rPr>
        <w:t xml:space="preserve"> directs attention </w:t>
      </w:r>
      <w:proofErr w:type="spellStart"/>
      <w:r w:rsidRPr="622535D5">
        <w:rPr>
          <w:lang w:val="fr-FR"/>
        </w:rPr>
        <w:t>from</w:t>
      </w:r>
      <w:proofErr w:type="spellEnd"/>
      <w:r w:rsidRPr="622535D5">
        <w:rPr>
          <w:lang w:val="fr-FR"/>
        </w:rPr>
        <w:t xml:space="preserve"> </w:t>
      </w:r>
      <w:proofErr w:type="spellStart"/>
      <w:r w:rsidRPr="622535D5">
        <w:rPr>
          <w:lang w:val="fr-FR"/>
        </w:rPr>
        <w:t>individual</w:t>
      </w:r>
      <w:proofErr w:type="spellEnd"/>
      <w:r w:rsidRPr="622535D5">
        <w:rPr>
          <w:lang w:val="fr-FR"/>
        </w:rPr>
        <w:t xml:space="preserve"> </w:t>
      </w:r>
      <w:proofErr w:type="spellStart"/>
      <w:r w:rsidRPr="622535D5">
        <w:rPr>
          <w:lang w:val="fr-FR"/>
        </w:rPr>
        <w:t>remediation</w:t>
      </w:r>
      <w:proofErr w:type="spellEnd"/>
      <w:r w:rsidRPr="622535D5">
        <w:rPr>
          <w:lang w:val="fr-FR"/>
        </w:rPr>
        <w:t xml:space="preserve"> </w:t>
      </w:r>
      <w:proofErr w:type="spellStart"/>
      <w:r w:rsidRPr="622535D5">
        <w:rPr>
          <w:lang w:val="fr-FR"/>
        </w:rPr>
        <w:t>toward</w:t>
      </w:r>
      <w:proofErr w:type="spellEnd"/>
      <w:r w:rsidRPr="622535D5">
        <w:rPr>
          <w:lang w:val="fr-FR"/>
        </w:rPr>
        <w:t xml:space="preserve"> system design, </w:t>
      </w:r>
      <w:proofErr w:type="spellStart"/>
      <w:r w:rsidRPr="622535D5">
        <w:rPr>
          <w:lang w:val="fr-FR"/>
        </w:rPr>
        <w:t>governance</w:t>
      </w:r>
      <w:proofErr w:type="spellEnd"/>
      <w:r w:rsidRPr="622535D5">
        <w:rPr>
          <w:lang w:val="fr-FR"/>
        </w:rPr>
        <w:t xml:space="preserve"> and </w:t>
      </w:r>
      <w:proofErr w:type="spellStart"/>
      <w:r w:rsidRPr="622535D5">
        <w:rPr>
          <w:lang w:val="fr-FR"/>
        </w:rPr>
        <w:t>accountability</w:t>
      </w:r>
      <w:proofErr w:type="spellEnd"/>
      <w:r w:rsidRPr="622535D5">
        <w:rPr>
          <w:lang w:val="fr-FR"/>
        </w:rPr>
        <w:t>.</w:t>
      </w:r>
    </w:p>
    <w:p w14:paraId="52D69D0C" w14:textId="77777777" w:rsidR="00FF67D9" w:rsidRDefault="00FC59C9" w:rsidP="00423EB2">
      <w:pPr>
        <w:widowControl/>
      </w:pPr>
      <w:r>
        <w:t>This review addresses</w:t>
      </w:r>
      <w:r w:rsidR="5647C80A">
        <w:t xml:space="preserve"> the limited effectiveness of existing employment services and supports for Aboriginal and Torres Strait Islander peoples with disability (Gilroy et al., 2017; Productivity Commission, 2018</w:t>
      </w:r>
      <w:r w:rsidR="5647C80A" w:rsidRPr="006F22A6">
        <w:t xml:space="preserve">; </w:t>
      </w:r>
      <w:proofErr w:type="spellStart"/>
      <w:r w:rsidR="5647C80A" w:rsidRPr="006F22A6">
        <w:t>Soldatic</w:t>
      </w:r>
      <w:proofErr w:type="spellEnd"/>
      <w:r w:rsidR="5647C80A" w:rsidRPr="006F22A6">
        <w:t>, 2018</w:t>
      </w:r>
      <w:r w:rsidR="5647C80A">
        <w:t>). Many current models are standardised and compliance-driven and do not reflect Indigenous ways of knowing, being</w:t>
      </w:r>
      <w:r>
        <w:t>,</w:t>
      </w:r>
      <w:r w:rsidR="5647C80A">
        <w:t xml:space="preserve"> and doing. As a result, services are often difficult to access, poorly aligned with community contexts, and less effective in supporting long-term employment outcomes (Hunter &amp; Biddle, 2012; Jordan, 2016). </w:t>
      </w:r>
      <w:r>
        <w:t>The review is</w:t>
      </w:r>
      <w:r w:rsidR="5647C80A">
        <w:t xml:space="preserve"> guided by the </w:t>
      </w:r>
      <w:r>
        <w:t xml:space="preserve">following </w:t>
      </w:r>
      <w:r w:rsidR="5647C80A">
        <w:t>question:</w:t>
      </w:r>
    </w:p>
    <w:p w14:paraId="49BF9E82" w14:textId="3614B0FD" w:rsidR="009C1C72" w:rsidRPr="005E4476" w:rsidRDefault="5647C80A" w:rsidP="00423EB2">
      <w:pPr>
        <w:widowControl/>
        <w:rPr>
          <w:rFonts w:ascii="Verdana" w:eastAsiaTheme="minorEastAsia" w:hAnsi="Verdana"/>
        </w:rPr>
      </w:pPr>
      <w:r w:rsidRPr="435BEB47">
        <w:rPr>
          <w:b/>
          <w:bCs/>
          <w:i/>
          <w:iCs/>
        </w:rPr>
        <w:t>What works in employment services and supports for Aboriginal and Torres Strait Islander peoples with disability?</w:t>
      </w:r>
    </w:p>
    <w:p w14:paraId="5730C7CD" w14:textId="7BF1E7FF" w:rsidR="009C1C72" w:rsidRPr="005E4476" w:rsidRDefault="5647C80A" w:rsidP="00423EB2">
      <w:pPr>
        <w:widowControl/>
      </w:pPr>
      <w:r>
        <w:t>To address this question, our Indigenous research team draws on a structured synthesis of academic literature alongside targeted analysis of grey literature, policy documents and Indigenous-authored sources</w:t>
      </w:r>
      <w:r w:rsidRPr="5C99C6EE">
        <w:rPr>
          <w:lang w:eastAsia="en-AU"/>
        </w:rPr>
        <w:t xml:space="preserve"> (Adams et al., 2017; Paez, 2017).</w:t>
      </w:r>
      <w:r>
        <w:t xml:space="preserve"> </w:t>
      </w:r>
      <w:r w:rsidR="00C95A17" w:rsidRPr="00C95A17">
        <w:t>Consistent</w:t>
      </w:r>
      <w:r>
        <w:t xml:space="preserve"> with the project approach, Indigenous Knowledges and lived experience </w:t>
      </w:r>
      <w:r w:rsidR="00C95A17" w:rsidRPr="00C95A17">
        <w:t xml:space="preserve">are treated </w:t>
      </w:r>
      <w:r>
        <w:t xml:space="preserve">as central to defining and interpreting evidence, rather than </w:t>
      </w:r>
      <w:r w:rsidR="00C95A17" w:rsidRPr="00C95A17">
        <w:t xml:space="preserve">as </w:t>
      </w:r>
      <w:r>
        <w:t xml:space="preserve">supplementary </w:t>
      </w:r>
      <w:r w:rsidRPr="006F22A6">
        <w:t xml:space="preserve">to conventional evidence hierarchies (AIATSIS, 2020; </w:t>
      </w:r>
      <w:r w:rsidRPr="00C95A17">
        <w:t xml:space="preserve">Rigney, 1999; Smith, 2021). </w:t>
      </w:r>
      <w:r>
        <w:t xml:space="preserve">The service context </w:t>
      </w:r>
      <w:r w:rsidR="00C95A17" w:rsidRPr="00C95A17">
        <w:t>examined</w:t>
      </w:r>
      <w:r>
        <w:t xml:space="preserve"> includes employment services, disability supports, </w:t>
      </w:r>
      <w:r w:rsidRPr="006F22A6">
        <w:t xml:space="preserve">education and training pathways, </w:t>
      </w:r>
      <w:r>
        <w:t xml:space="preserve">and related programs designed to </w:t>
      </w:r>
      <w:r w:rsidR="00C95A17" w:rsidRPr="00C95A17">
        <w:t>support Aboriginal and Torres Strait Islander</w:t>
      </w:r>
      <w:r>
        <w:t xml:space="preserve"> peoples with disability to prepare for, access</w:t>
      </w:r>
      <w:r w:rsidR="00C95A17" w:rsidRPr="00C95A17">
        <w:t>,</w:t>
      </w:r>
      <w:r>
        <w:t xml:space="preserve"> and maintain employment</w:t>
      </w:r>
      <w:r w:rsidRPr="006F22A6">
        <w:t xml:space="preserve"> (AIHW, 2023; Productivity Commission, 2018).</w:t>
      </w:r>
      <w:r>
        <w:t xml:space="preserve"> This includes job readiness programs, case management, workplace supports, services delivered through systems such as the NDIS</w:t>
      </w:r>
      <w:r w:rsidRPr="006F22A6">
        <w:t>, and</w:t>
      </w:r>
      <w:r>
        <w:t xml:space="preserve"> initiatives led by Aboriginal Community Controlled Organisations and Indigenous-owned enterprises</w:t>
      </w:r>
      <w:r w:rsidRPr="5C99C6EE">
        <w:rPr>
          <w:lang w:eastAsia="en-AU"/>
        </w:rPr>
        <w:t xml:space="preserve"> (Cooms</w:t>
      </w:r>
      <w:r w:rsidR="07E98411" w:rsidRPr="5C99C6EE">
        <w:rPr>
          <w:lang w:eastAsia="en-AU"/>
        </w:rPr>
        <w:t xml:space="preserve"> et al.</w:t>
      </w:r>
      <w:r w:rsidRPr="5C99C6EE">
        <w:rPr>
          <w:lang w:eastAsia="en-AU"/>
        </w:rPr>
        <w:t>, 2025</w:t>
      </w:r>
      <w:r w:rsidRPr="006F22A6">
        <w:t>; NACCHO, 2021</w:t>
      </w:r>
      <w:r w:rsidRPr="5C99C6EE">
        <w:rPr>
          <w:lang w:eastAsia="en-AU"/>
        </w:rPr>
        <w:t>).</w:t>
      </w:r>
      <w:r>
        <w:t xml:space="preserve"> </w:t>
      </w:r>
      <w:r w:rsidR="005D116A">
        <w:t>Culturally</w:t>
      </w:r>
      <w:r>
        <w:t xml:space="preserve"> responsive service delivery, co-designed programs, workforce </w:t>
      </w:r>
      <w:r>
        <w:lastRenderedPageBreak/>
        <w:t xml:space="preserve">development initiatives, and Indigenous-led employment models </w:t>
      </w:r>
      <w:r w:rsidR="005D116A">
        <w:t xml:space="preserve">are understood </w:t>
      </w:r>
      <w:r w:rsidRPr="006F22A6">
        <w:t xml:space="preserve">as policy-relevant </w:t>
      </w:r>
      <w:r w:rsidR="005D116A">
        <w:t>approaches</w:t>
      </w:r>
      <w:r w:rsidRPr="006F22A6">
        <w:t xml:space="preserve"> rather than isolated program types</w:t>
      </w:r>
      <w:r>
        <w:t xml:space="preserve"> (</w:t>
      </w:r>
      <w:proofErr w:type="spellStart"/>
      <w:r>
        <w:t>Lowitja</w:t>
      </w:r>
      <w:proofErr w:type="spellEnd"/>
      <w:r>
        <w:t xml:space="preserve"> Institute, 2020; NIAA, 2020).</w:t>
      </w:r>
    </w:p>
    <w:p w14:paraId="585CF7C4" w14:textId="7607B4BB" w:rsidR="001F3EBB" w:rsidRPr="005435A6" w:rsidRDefault="68BB1E16" w:rsidP="00423EB2">
      <w:pPr>
        <w:pStyle w:val="Heading1"/>
        <w:spacing w:line="360" w:lineRule="atLeast"/>
        <w:jc w:val="left"/>
      </w:pPr>
      <w:bookmarkStart w:id="19" w:name="_Toc231482936"/>
      <w:r>
        <w:t>Aims</w:t>
      </w:r>
      <w:bookmarkEnd w:id="18"/>
      <w:bookmarkEnd w:id="19"/>
    </w:p>
    <w:p w14:paraId="1983882E" w14:textId="73D37977" w:rsidR="00593EBE" w:rsidRPr="00DF34E7" w:rsidRDefault="4823148D" w:rsidP="00423EB2">
      <w:pPr>
        <w:widowControl/>
      </w:pPr>
      <w:bookmarkStart w:id="20" w:name="_Toc228284897"/>
      <w:r w:rsidRPr="005E4476">
        <w:t>The aim of this project</w:t>
      </w:r>
      <w:r w:rsidR="06DC30F8" w:rsidRPr="005E4476">
        <w:t xml:space="preserve"> is to identify what works, what does not work and where gaps remain in employment services and supports for Aboriginal and Torres Strait Islander peoples with disability.</w:t>
      </w:r>
      <w:r w:rsidR="4FD5F098" w:rsidRPr="00A517DB">
        <w:t xml:space="preserve"> </w:t>
      </w:r>
      <w:r w:rsidR="004B1B2D">
        <w:t>The project</w:t>
      </w:r>
      <w:r w:rsidRPr="006F22A6">
        <w:t xml:space="preserve"> is grounded in Indigenous-led evidence principles, which </w:t>
      </w:r>
      <w:r w:rsidR="004B1B2D">
        <w:t>recognise that</w:t>
      </w:r>
      <w:r w:rsidRPr="006F22A6">
        <w:t xml:space="preserve"> evidence </w:t>
      </w:r>
      <w:r w:rsidR="004B1B2D">
        <w:t>should</w:t>
      </w:r>
      <w:r w:rsidRPr="006F22A6">
        <w:t xml:space="preserve"> be assessed for cultural authority, community relevance</w:t>
      </w:r>
      <w:r w:rsidR="004B1B2D">
        <w:t>,</w:t>
      </w:r>
      <w:r w:rsidRPr="006F22A6">
        <w:t xml:space="preserve"> and practical usefulness, </w:t>
      </w:r>
      <w:r w:rsidR="004B1B2D">
        <w:t>alongside</w:t>
      </w:r>
      <w:r w:rsidRPr="006F22A6">
        <w:t xml:space="preserve"> conventional </w:t>
      </w:r>
      <w:r w:rsidR="004B1B2D">
        <w:t xml:space="preserve">measures of </w:t>
      </w:r>
      <w:r w:rsidRPr="006F22A6">
        <w:t xml:space="preserve">methodological </w:t>
      </w:r>
      <w:r w:rsidR="004B1B2D">
        <w:t>quality</w:t>
      </w:r>
      <w:r w:rsidRPr="006F22A6">
        <w:t xml:space="preserve"> (AIATSIS, 2020; </w:t>
      </w:r>
      <w:proofErr w:type="spellStart"/>
      <w:r w:rsidRPr="006F22A6">
        <w:t>Lowitja</w:t>
      </w:r>
      <w:proofErr w:type="spellEnd"/>
      <w:r w:rsidRPr="006F22A6">
        <w:t xml:space="preserve"> Institute, 2020; Productivity Commission, 2020). Specifically, the project </w:t>
      </w:r>
      <w:r w:rsidR="004B1B2D">
        <w:t>seeks</w:t>
      </w:r>
      <w:r w:rsidR="06DC30F8" w:rsidRPr="005E4476">
        <w:t xml:space="preserve"> to:</w:t>
      </w:r>
    </w:p>
    <w:p w14:paraId="660C1BC2" w14:textId="77777777" w:rsidR="00593EBE" w:rsidRPr="005E4476" w:rsidRDefault="06DC30F8" w:rsidP="003D0DFD">
      <w:pPr>
        <w:pStyle w:val="ListBullet"/>
      </w:pPr>
      <w:r>
        <w:t>identify effective practices, interventions, and service models that improve employment outcomes</w:t>
      </w:r>
    </w:p>
    <w:p w14:paraId="7991D384" w14:textId="77777777" w:rsidR="00593EBE" w:rsidRPr="005E4476" w:rsidRDefault="06DC30F8" w:rsidP="003D0DFD">
      <w:pPr>
        <w:pStyle w:val="ListBullet"/>
      </w:pPr>
      <w:r>
        <w:t>examine the conditions under which these approaches are most effective</w:t>
      </w:r>
    </w:p>
    <w:p w14:paraId="6A6C5A53" w14:textId="77777777" w:rsidR="00593EBE" w:rsidRPr="005E4476" w:rsidRDefault="06DC30F8" w:rsidP="003D0DFD">
      <w:pPr>
        <w:pStyle w:val="ListBullet"/>
      </w:pPr>
      <w:r>
        <w:t>assess the quality and relevance of the available evidence, including academic, policy, and community-based sources</w:t>
      </w:r>
    </w:p>
    <w:p w14:paraId="59D2073B" w14:textId="77777777" w:rsidR="00593EBE" w:rsidRPr="005E4476" w:rsidRDefault="06DC30F8" w:rsidP="003D0DFD">
      <w:pPr>
        <w:pStyle w:val="ListBullet"/>
      </w:pPr>
      <w:r>
        <w:t>highlight gaps in the evidence base, particularly in relation to Indigenous leadership and Indigenous disability leadership</w:t>
      </w:r>
    </w:p>
    <w:p w14:paraId="696C3D8B" w14:textId="77777777" w:rsidR="00593EBE" w:rsidRPr="005E4476" w:rsidRDefault="06DC30F8" w:rsidP="003D0DFD">
      <w:pPr>
        <w:pStyle w:val="ListBullet"/>
      </w:pPr>
      <w:r>
        <w:t>inform the design of employment services that are Indigenous-led, culturally safe, and responsive to community contexts</w:t>
      </w:r>
    </w:p>
    <w:p w14:paraId="0FF69390" w14:textId="045F8C78" w:rsidR="6E4B7DB3" w:rsidRDefault="6E4B7DB3" w:rsidP="00423EB2">
      <w:pPr>
        <w:widowControl/>
      </w:pPr>
      <w:r w:rsidRPr="50289ECD">
        <w:rPr>
          <w:rFonts w:eastAsia="Montserrat" w:cs="Montserrat"/>
        </w:rPr>
        <w:t xml:space="preserve">In line with the project scope, Indigenous </w:t>
      </w:r>
      <w:r w:rsidRPr="006F22A6">
        <w:t>K</w:t>
      </w:r>
      <w:r w:rsidRPr="50289ECD">
        <w:rPr>
          <w:rFonts w:eastAsia="Montserrat" w:cs="Montserrat"/>
        </w:rPr>
        <w:t>nowledges, lived experience and Indigenous-authored evidence are positioned as central to defining and understanding what works</w:t>
      </w:r>
      <w:r w:rsidRPr="006F22A6">
        <w:t xml:space="preserve"> (AIATSIS, 2020; Martin, 2008; Rigney, 1999; Smith, 2021)</w:t>
      </w:r>
      <w:r w:rsidRPr="50289ECD">
        <w:rPr>
          <w:rFonts w:eastAsia="Montserrat" w:cs="Montserrat"/>
        </w:rPr>
        <w:t>.</w:t>
      </w:r>
    </w:p>
    <w:p w14:paraId="33FD521A" w14:textId="12317FAF" w:rsidR="00187C29" w:rsidRPr="005435A6" w:rsidRDefault="4F3AFAD0" w:rsidP="00423EB2">
      <w:pPr>
        <w:pStyle w:val="Heading1"/>
        <w:spacing w:line="360" w:lineRule="atLeast"/>
        <w:jc w:val="left"/>
      </w:pPr>
      <w:bookmarkStart w:id="21" w:name="_Toc231482937"/>
      <w:r>
        <w:t>Methodology</w:t>
      </w:r>
      <w:bookmarkEnd w:id="20"/>
      <w:bookmarkEnd w:id="21"/>
    </w:p>
    <w:p w14:paraId="481DF2E4" w14:textId="30E227F9" w:rsidR="008F0AB9" w:rsidRPr="008F0AB9" w:rsidRDefault="78CC6073" w:rsidP="00423EB2">
      <w:r>
        <w:t>An</w:t>
      </w:r>
      <w:bookmarkStart w:id="22" w:name="_Toc228284898"/>
      <w:bookmarkEnd w:id="1"/>
      <w:bookmarkEnd w:id="2"/>
      <w:r w:rsidR="54B1F39E">
        <w:t xml:space="preserve"> evidence synthesis </w:t>
      </w:r>
      <w:r w:rsidR="239A313E">
        <w:t xml:space="preserve">was undertaken </w:t>
      </w:r>
      <w:r w:rsidR="54B1F39E">
        <w:t xml:space="preserve">to understand what works in employment services and supports for Aboriginal and Torres Strait Islander peoples with disability, drawing on evidence that reflects lived realities, community priorities and Indigenous authority. The review specifically focused on literature relating to Aboriginal and Torres Strait Islander peoples living with disability and the employment, education, training and support systems that shape participation and opportunity. </w:t>
      </w:r>
      <w:r w:rsidR="008B6C52">
        <w:t xml:space="preserve">Literature </w:t>
      </w:r>
      <w:r w:rsidR="54B1F39E">
        <w:t xml:space="preserve">focused on Aboriginal and Torres Strait Islander employment more broadly </w:t>
      </w:r>
      <w:r w:rsidR="008B6C52">
        <w:t xml:space="preserve">was excluded </w:t>
      </w:r>
      <w:r w:rsidR="54B1F39E">
        <w:t xml:space="preserve">where disability was not substantively addressed. </w:t>
      </w:r>
      <w:r w:rsidR="008B6C52">
        <w:t>The</w:t>
      </w:r>
      <w:r w:rsidR="54B1F39E">
        <w:t xml:space="preserve"> Indigenous research team systematically searched and synthesised evidence published predominantly within the last six </w:t>
      </w:r>
      <w:r w:rsidR="54B1F39E">
        <w:lastRenderedPageBreak/>
        <w:t>years, including peer-reviewed and grey literature relevant to the research questions</w:t>
      </w:r>
      <w:r w:rsidRPr="006F22A6">
        <w:t xml:space="preserve"> (AIATSIS, 2020; </w:t>
      </w:r>
      <w:proofErr w:type="spellStart"/>
      <w:r w:rsidRPr="006F22A6">
        <w:t>Lowitja</w:t>
      </w:r>
      <w:proofErr w:type="spellEnd"/>
      <w:r w:rsidRPr="006F22A6">
        <w:t xml:space="preserve"> Institute, 2020).</w:t>
      </w:r>
    </w:p>
    <w:p w14:paraId="1188BD34" w14:textId="77777777" w:rsidR="00F14C69" w:rsidRDefault="54B1F39E" w:rsidP="00423EB2">
      <w:pPr>
        <w:widowControl/>
      </w:pPr>
      <w:r>
        <w:t>The methodology is grounded in Indigenous strengths-based ways of knowing, being and doing</w:t>
      </w:r>
      <w:r w:rsidRPr="006F22A6">
        <w:t>,</w:t>
      </w:r>
      <w:r>
        <w:t xml:space="preserve"> recognising that Aboriginal and Torres Strait Islander peoples hold enduring Knowledges about work, contribution, care and responsibility (Leroy-Dyer, 2022; Leroy-Dyer &amp; Menzel, 2023</w:t>
      </w:r>
      <w:r w:rsidRPr="006F22A6">
        <w:t>; Martin, 2008</w:t>
      </w:r>
      <w:r>
        <w:t xml:space="preserve">). This includes Knowledges formed through lived experience of systems and structures that can both enable and constrain participation (Cooms, 2023; Cooms &amp; Muurlink, 2025). Rather than treating evidence as neutral or detached, this synthesis understands evidence as relational, situated and shaped by histories of colonisation, governance, culture and community priorities (Graham, 2014; </w:t>
      </w:r>
      <w:proofErr w:type="spellStart"/>
      <w:r>
        <w:t>Lowitja</w:t>
      </w:r>
      <w:proofErr w:type="spellEnd"/>
      <w:r>
        <w:t xml:space="preserve"> Institute, 2020</w:t>
      </w:r>
      <w:r w:rsidRPr="006F22A6">
        <w:t>; Moreton-Robinson, 2016</w:t>
      </w:r>
      <w:r>
        <w:t>).</w:t>
      </w:r>
      <w:r w:rsidR="002F12FC" w:rsidRPr="006F22A6">
        <w:t xml:space="preserve"> </w:t>
      </w:r>
      <w:r w:rsidR="00F14C69" w:rsidRPr="00F14C69">
        <w:t>Evidence strength is assessed through its ability to explain what happens in community and service contexts, rather than through alignment with conventional evaluation hierarchies alone.</w:t>
      </w:r>
    </w:p>
    <w:p w14:paraId="65A0F9A8" w14:textId="780F7494" w:rsidR="008F0AB9" w:rsidRPr="008F0AB9" w:rsidRDefault="54B1F39E" w:rsidP="00423EB2">
      <w:pPr>
        <w:widowControl/>
      </w:pPr>
      <w:r>
        <w:t xml:space="preserve">The evidence synthesis was designed to align with CIE evidence standards while resisting deficit-based framings and narrow hierarchies of evidence that have historically marginalised Indigenous Knowledges and experiences (Nakata, 2007; Rigney, </w:t>
      </w:r>
      <w:r w:rsidRPr="006F22A6">
        <w:t xml:space="preserve">1999; </w:t>
      </w:r>
      <w:r>
        <w:t>Tuhiwai</w:t>
      </w:r>
      <w:r w:rsidR="006F22A6">
        <w:noBreakHyphen/>
      </w:r>
      <w:r>
        <w:t>Smith, 2012). Across the review, Indigenous-authored, Indigenous-led and community-grounded sources were treated as authoritative where relevant to the research questions (Moreton-Robinson, 2015</w:t>
      </w:r>
      <w:r w:rsidRPr="006F22A6">
        <w:t>; Nakata, 2007; Rigney, 1999</w:t>
      </w:r>
      <w:r>
        <w:t>). Evidence was assessed not only for methodological rigour, but also for cultural grounding, Indigenous authority, relevance and practical usefulness in informing employment services and supports for Aboriginal and Torres Strait Islander peoples with disability.</w:t>
      </w:r>
      <w:r w:rsidRPr="006F22A6">
        <w:t xml:space="preserve"> This approach strengthens the policy utility of the synthesis because it recognises the forms of knowledge most likely to explain service trust, uptake and sustainability (AIATSIS, 2020; </w:t>
      </w:r>
      <w:proofErr w:type="spellStart"/>
      <w:r w:rsidRPr="006F22A6">
        <w:t>Lowitja</w:t>
      </w:r>
      <w:proofErr w:type="spellEnd"/>
      <w:r w:rsidRPr="006F22A6">
        <w:t xml:space="preserve"> Institute, 2020).</w:t>
      </w:r>
    </w:p>
    <w:p w14:paraId="2C14BFF0" w14:textId="6C024C13" w:rsidR="008F0AB9" w:rsidRDefault="54B1F39E" w:rsidP="00423EB2">
      <w:pPr>
        <w:widowControl/>
        <w:rPr>
          <w:b/>
          <w:bCs/>
        </w:rPr>
      </w:pPr>
      <w:r>
        <w:t>To support transparency and replicability, detailed methodological documentation is provided in the appendices. This includes the evidence search strategy, search terms, databases and grey literature sources consulted, inclusion and exclusion criteria, screening and selection procedures, and evidence quality assessment processes. The appendices also outline how evidence was mapped and assessed against the CIE evidence model alongside Indigenous-led considerations relating to cultural grounding, community relevance and practical application</w:t>
      </w:r>
      <w:r w:rsidRPr="006F22A6">
        <w:t xml:space="preserve"> (AIATSIS, 2020; Productivity Commission, 2020).</w:t>
      </w:r>
      <w:r>
        <w:t xml:space="preserve"> </w:t>
      </w:r>
      <w:r w:rsidR="001D0396">
        <w:t>Supporting materials, including screening workbooks and evidence mapping tables aligned to each research question, are also included in the What works in employment for Aboriginal and Torres Strait Islander peoples with disability. Appendix to evidence synthesis (Cooms et al, 2026).</w:t>
      </w:r>
    </w:p>
    <w:p w14:paraId="6B3B1066" w14:textId="6B86AAB7" w:rsidR="008A1BDC" w:rsidRPr="005435A6" w:rsidRDefault="6BC0F460" w:rsidP="00423EB2">
      <w:pPr>
        <w:pStyle w:val="Heading1"/>
        <w:spacing w:line="360" w:lineRule="atLeast"/>
        <w:jc w:val="left"/>
      </w:pPr>
      <w:bookmarkStart w:id="23" w:name="_Toc231482938"/>
      <w:r>
        <w:lastRenderedPageBreak/>
        <w:t>Finding</w:t>
      </w:r>
      <w:r w:rsidR="767E832C">
        <w:t>s</w:t>
      </w:r>
      <w:bookmarkEnd w:id="22"/>
      <w:bookmarkEnd w:id="23"/>
    </w:p>
    <w:p w14:paraId="0CBED603" w14:textId="77777777" w:rsidR="004B32F0" w:rsidRPr="004B32F0" w:rsidRDefault="004B32F0" w:rsidP="00423EB2">
      <w:pPr>
        <w:widowControl/>
        <w:rPr>
          <w:rFonts w:eastAsia="Times New Roman" w:cs="Times New Roman"/>
          <w:color w:val="auto"/>
          <w:lang w:eastAsia="en-AU"/>
        </w:rPr>
      </w:pPr>
      <w:r w:rsidRPr="004B32F0">
        <w:rPr>
          <w:rFonts w:eastAsia="Times New Roman" w:cs="Times New Roman"/>
          <w:color w:val="auto"/>
          <w:lang w:eastAsia="en-AU"/>
        </w:rPr>
        <w:t xml:space="preserve">A total of </w:t>
      </w:r>
      <w:r w:rsidR="00BB56B7" w:rsidRPr="004B32F0">
        <w:rPr>
          <w:rFonts w:eastAsia="Times New Roman" w:cs="Times New Roman"/>
          <w:color w:val="auto"/>
          <w:lang w:eastAsia="en-AU"/>
        </w:rPr>
        <w:t xml:space="preserve">131 publications </w:t>
      </w:r>
      <w:r w:rsidRPr="004B32F0">
        <w:rPr>
          <w:rFonts w:eastAsia="Times New Roman" w:cs="Times New Roman"/>
          <w:color w:val="auto"/>
          <w:lang w:eastAsia="en-AU"/>
        </w:rPr>
        <w:t xml:space="preserve">were reviewed </w:t>
      </w:r>
      <w:r w:rsidR="00BB56B7" w:rsidRPr="004B32F0">
        <w:rPr>
          <w:rFonts w:eastAsia="Times New Roman" w:cs="Times New Roman"/>
          <w:color w:val="auto"/>
          <w:lang w:eastAsia="en-AU"/>
        </w:rPr>
        <w:t xml:space="preserve">and </w:t>
      </w:r>
      <w:r w:rsidRPr="004B32F0">
        <w:rPr>
          <w:rFonts w:eastAsia="Times New Roman" w:cs="Times New Roman"/>
          <w:color w:val="auto"/>
          <w:lang w:eastAsia="en-AU"/>
        </w:rPr>
        <w:t>assessed using the</w:t>
      </w:r>
      <w:r w:rsidR="00BB56B7" w:rsidRPr="004B32F0">
        <w:rPr>
          <w:rFonts w:eastAsia="Times New Roman" w:cs="Times New Roman"/>
          <w:color w:val="auto"/>
          <w:lang w:eastAsia="en-AU"/>
        </w:rPr>
        <w:t xml:space="preserve"> AERO framework</w:t>
      </w:r>
      <w:r w:rsidR="00930E93" w:rsidRPr="004B32F0">
        <w:rPr>
          <w:rFonts w:eastAsia="Times New Roman" w:cs="Times New Roman"/>
          <w:color w:val="auto"/>
          <w:lang w:eastAsia="en-AU"/>
        </w:rPr>
        <w:t xml:space="preserve">. </w:t>
      </w:r>
      <w:r w:rsidRPr="004B32F0">
        <w:rPr>
          <w:rFonts w:eastAsia="Times New Roman" w:cs="Times New Roman"/>
          <w:color w:val="auto"/>
          <w:lang w:eastAsia="en-AU"/>
        </w:rPr>
        <w:t>Of these, 104 were identified as either Close Fit or Adjacent Fit to the review question. Many of these sources included methodological</w:t>
      </w:r>
      <w:r w:rsidR="00BB56B7" w:rsidRPr="004B32F0">
        <w:rPr>
          <w:rFonts w:eastAsia="Times New Roman" w:cs="Times New Roman"/>
          <w:color w:val="auto"/>
          <w:lang w:eastAsia="en-AU"/>
        </w:rPr>
        <w:t xml:space="preserve"> literature and broader </w:t>
      </w:r>
      <w:r w:rsidRPr="004B32F0">
        <w:rPr>
          <w:rFonts w:eastAsia="Times New Roman" w:cs="Times New Roman"/>
          <w:color w:val="auto"/>
          <w:lang w:eastAsia="en-AU"/>
        </w:rPr>
        <w:t xml:space="preserve">evidence relating to </w:t>
      </w:r>
      <w:r w:rsidR="00BB56B7" w:rsidRPr="004B32F0">
        <w:rPr>
          <w:rFonts w:eastAsia="Times New Roman" w:cs="Times New Roman"/>
          <w:color w:val="auto"/>
          <w:lang w:eastAsia="en-AU"/>
        </w:rPr>
        <w:t>Aboriginal and Torres Strait Islander employment</w:t>
      </w:r>
      <w:r w:rsidRPr="004B32F0">
        <w:rPr>
          <w:rFonts w:eastAsia="Times New Roman" w:cs="Times New Roman"/>
          <w:color w:val="auto"/>
          <w:lang w:eastAsia="en-AU"/>
        </w:rPr>
        <w:t>, rather than material focused</w:t>
      </w:r>
      <w:r w:rsidR="00BB56B7" w:rsidRPr="004B32F0">
        <w:rPr>
          <w:rFonts w:eastAsia="Times New Roman" w:cs="Times New Roman"/>
          <w:color w:val="auto"/>
          <w:lang w:eastAsia="en-AU"/>
        </w:rPr>
        <w:t xml:space="preserve"> specifically </w:t>
      </w:r>
      <w:r w:rsidRPr="004B32F0">
        <w:rPr>
          <w:rFonts w:eastAsia="Times New Roman" w:cs="Times New Roman"/>
          <w:color w:val="auto"/>
          <w:lang w:eastAsia="en-AU"/>
        </w:rPr>
        <w:t xml:space="preserve">on Aboriginal and Torres Strait Islander </w:t>
      </w:r>
      <w:r w:rsidR="00BB56B7" w:rsidRPr="004B32F0">
        <w:rPr>
          <w:rFonts w:eastAsia="Times New Roman" w:cs="Times New Roman"/>
          <w:color w:val="auto"/>
          <w:lang w:eastAsia="en-AU"/>
        </w:rPr>
        <w:t>peoples with disability.</w:t>
      </w:r>
    </w:p>
    <w:p w14:paraId="1024DCB4" w14:textId="77777777" w:rsidR="004B32F0" w:rsidRPr="004B32F0" w:rsidRDefault="0F4366B9" w:rsidP="00423EB2">
      <w:pPr>
        <w:widowControl/>
        <w:rPr>
          <w:rFonts w:eastAsia="Times New Roman" w:cs="Times New Roman"/>
          <w:color w:val="auto"/>
          <w:lang w:eastAsia="en-AU"/>
        </w:rPr>
      </w:pPr>
      <w:r w:rsidRPr="004B32F0">
        <w:rPr>
          <w:rFonts w:eastAsia="Times New Roman" w:cs="Times New Roman"/>
          <w:color w:val="auto"/>
          <w:lang w:eastAsia="en-AU"/>
        </w:rPr>
        <w:t xml:space="preserve">The findings presented in this synthesis </w:t>
      </w:r>
      <w:r w:rsidR="004B32F0" w:rsidRPr="004B32F0">
        <w:rPr>
          <w:rFonts w:eastAsia="Times New Roman" w:cs="Times New Roman"/>
          <w:color w:val="auto"/>
          <w:lang w:eastAsia="en-AU"/>
        </w:rPr>
        <w:t xml:space="preserve">are drawn from </w:t>
      </w:r>
      <w:r w:rsidRPr="004B32F0">
        <w:rPr>
          <w:rFonts w:eastAsia="Times New Roman" w:cs="Times New Roman"/>
          <w:color w:val="auto"/>
          <w:lang w:eastAsia="en-AU"/>
        </w:rPr>
        <w:t xml:space="preserve">patterns identified across </w:t>
      </w:r>
      <w:r w:rsidR="00BB56B7" w:rsidRPr="004B32F0">
        <w:rPr>
          <w:rFonts w:eastAsia="Times New Roman" w:cs="Times New Roman"/>
          <w:color w:val="auto"/>
          <w:lang w:eastAsia="en-AU"/>
        </w:rPr>
        <w:t xml:space="preserve">35 </w:t>
      </w:r>
      <w:r w:rsidR="004B32F0" w:rsidRPr="004B32F0">
        <w:rPr>
          <w:rFonts w:eastAsia="Times New Roman" w:cs="Times New Roman"/>
          <w:color w:val="auto"/>
          <w:lang w:eastAsia="en-AU"/>
        </w:rPr>
        <w:t>key sources directly relevant to employment services and supports for Aboriginal and Torres Strait Islander peoples with disability. These included</w:t>
      </w:r>
      <w:r w:rsidR="00BB56B7" w:rsidRPr="004B32F0">
        <w:rPr>
          <w:rFonts w:eastAsia="Times New Roman" w:cs="Times New Roman"/>
          <w:color w:val="auto"/>
          <w:lang w:eastAsia="en-AU"/>
        </w:rPr>
        <w:t xml:space="preserve"> 21 </w:t>
      </w:r>
      <w:r w:rsidRPr="004B32F0">
        <w:rPr>
          <w:rFonts w:eastAsia="Times New Roman" w:cs="Times New Roman"/>
          <w:color w:val="auto"/>
          <w:lang w:eastAsia="en-AU"/>
        </w:rPr>
        <w:t xml:space="preserve">peer-reviewed </w:t>
      </w:r>
      <w:r w:rsidR="00BB56B7" w:rsidRPr="004B32F0">
        <w:rPr>
          <w:rFonts w:eastAsia="Times New Roman" w:cs="Times New Roman"/>
          <w:color w:val="auto"/>
          <w:lang w:eastAsia="en-AU"/>
        </w:rPr>
        <w:t xml:space="preserve">journal </w:t>
      </w:r>
      <w:r w:rsidR="004B32F0" w:rsidRPr="004B32F0">
        <w:rPr>
          <w:rFonts w:eastAsia="Times New Roman" w:cs="Times New Roman"/>
          <w:color w:val="auto"/>
          <w:lang w:eastAsia="en-AU"/>
        </w:rPr>
        <w:t>articles</w:t>
      </w:r>
      <w:r w:rsidR="00BB56B7" w:rsidRPr="004B32F0">
        <w:rPr>
          <w:rFonts w:eastAsia="Times New Roman" w:cs="Times New Roman"/>
          <w:color w:val="auto"/>
          <w:lang w:eastAsia="en-AU"/>
        </w:rPr>
        <w:t xml:space="preserve"> and 14 grey literature </w:t>
      </w:r>
      <w:r w:rsidR="004B32F0" w:rsidRPr="004B32F0">
        <w:rPr>
          <w:rFonts w:eastAsia="Times New Roman" w:cs="Times New Roman"/>
          <w:color w:val="auto"/>
          <w:lang w:eastAsia="en-AU"/>
        </w:rPr>
        <w:t>sources, such as</w:t>
      </w:r>
      <w:r w:rsidRPr="004B32F0">
        <w:rPr>
          <w:rFonts w:eastAsia="Times New Roman" w:cs="Times New Roman"/>
          <w:color w:val="auto"/>
          <w:lang w:eastAsia="en-AU"/>
        </w:rPr>
        <w:t xml:space="preserve"> policy documents, practice evidence</w:t>
      </w:r>
      <w:r w:rsidR="004B32F0" w:rsidRPr="004B32F0">
        <w:rPr>
          <w:rFonts w:eastAsia="Times New Roman" w:cs="Times New Roman"/>
          <w:color w:val="auto"/>
          <w:lang w:eastAsia="en-AU"/>
        </w:rPr>
        <w:t>,</w:t>
      </w:r>
      <w:r w:rsidRPr="004B32F0">
        <w:rPr>
          <w:rFonts w:eastAsia="Times New Roman" w:cs="Times New Roman"/>
          <w:color w:val="auto"/>
          <w:lang w:eastAsia="en-AU"/>
        </w:rPr>
        <w:t xml:space="preserve"> and community-informed </w:t>
      </w:r>
      <w:r w:rsidR="004B32F0" w:rsidRPr="004B32F0">
        <w:rPr>
          <w:rFonts w:eastAsia="Times New Roman" w:cs="Times New Roman"/>
          <w:color w:val="auto"/>
          <w:lang w:eastAsia="en-AU"/>
        </w:rPr>
        <w:t>materials.</w:t>
      </w:r>
    </w:p>
    <w:p w14:paraId="6EA01C5F" w14:textId="157A37E4" w:rsidR="0096270B" w:rsidRDefault="0F4366B9" w:rsidP="00423EB2">
      <w:pPr>
        <w:widowControl/>
      </w:pPr>
      <w:r>
        <w:t>Findings are organised according to each research question and focus on effective practices, enabling conditions, barriers, service models and workforce considerations identified across the evidence base.</w:t>
      </w:r>
      <w:r w:rsidRPr="006F22A6">
        <w:t xml:space="preserve"> This structure allows the report to move from description to evaluation by identifying not only what appears to work, but the system conditions that make it work (</w:t>
      </w:r>
      <w:proofErr w:type="spellStart"/>
      <w:r w:rsidRPr="006F22A6">
        <w:t>Lowitja</w:t>
      </w:r>
      <w:proofErr w:type="spellEnd"/>
      <w:r w:rsidRPr="006F22A6">
        <w:t xml:space="preserve"> Institute, 2020; Productivity Commission, 2020).</w:t>
      </w:r>
    </w:p>
    <w:p w14:paraId="260235EF" w14:textId="3A5B4C9D" w:rsidR="0096270B" w:rsidRDefault="0F4366B9" w:rsidP="00423EB2">
      <w:pPr>
        <w:widowControl/>
      </w:pPr>
      <w:r>
        <w:t>Across the literature, the strongest and most consistent findings relate to the importance of Indigenous-led, culturally safe and relational approaches to employment participation and support</w:t>
      </w:r>
      <w:r w:rsidRPr="006F22A6">
        <w:t xml:space="preserve"> (Cooms &amp; Muurlink, 2025; Gilroy et al., 2023; NACCHO, 2021).</w:t>
      </w:r>
      <w:r>
        <w:t xml:space="preserve"> Effective practices commonly include holistic and wraparound supports, culturally safe workplaces, flexible service delivery, sustained mentoring and navigation support, trauma-informed practice, and community-controlled approaches. The findings also highlight the importance of Indigenous governance, long-term relationship building and the inclusion of Aboriginal and Torres Strait Islander Knowledges in the design and delivery of employment and disability services</w:t>
      </w:r>
      <w:r w:rsidRPr="006F22A6">
        <w:t xml:space="preserve"> (AIATSIS, 2020; FPDNA, 2016; </w:t>
      </w:r>
      <w:proofErr w:type="spellStart"/>
      <w:r w:rsidRPr="006F22A6">
        <w:t>Lowitja</w:t>
      </w:r>
      <w:proofErr w:type="spellEnd"/>
      <w:r w:rsidRPr="006F22A6">
        <w:t xml:space="preserve"> Institute, 2020).</w:t>
      </w:r>
      <w:r>
        <w:t xml:space="preserve"> Where possible, the findings identify specific elements, implementation processes and outcomes associated with effective practices and interventions. This includes consideration of the relational, cultural and structural conditions that contribute to effectiveness across different contexts and communities.</w:t>
      </w:r>
    </w:p>
    <w:p w14:paraId="372530E1" w14:textId="1C25152F" w:rsidR="0096270B" w:rsidRDefault="0F4366B9" w:rsidP="00423EB2">
      <w:pPr>
        <w:widowControl/>
      </w:pPr>
      <w:r>
        <w:t xml:space="preserve">Overall, the evidence base </w:t>
      </w:r>
      <w:r w:rsidRPr="006F22A6">
        <w:t>is</w:t>
      </w:r>
      <w:r>
        <w:t xml:space="preserve"> mixed in methodological design and quality. While some studies demonstrate strong methodological rigour and formal evaluation processes, much of the evidence consist</w:t>
      </w:r>
      <w:r w:rsidRPr="006F22A6">
        <w:t>s</w:t>
      </w:r>
      <w:r>
        <w:t xml:space="preserve"> of qualitative studies, practice-based evidence, community reports and grey literature. Consistent with the </w:t>
      </w:r>
      <w:r>
        <w:lastRenderedPageBreak/>
        <w:t xml:space="preserve">Indigenous methodological approach underpinning this synthesis, evidence quality was assessed not only according to methodological rigour and alignment with the </w:t>
      </w:r>
      <w:r w:rsidR="00D97FD2">
        <w:t xml:space="preserve">AERO </w:t>
      </w:r>
      <w:r>
        <w:t>evidence model, but also according to cultural grounding, Indigenous authority, community relevance and practical usefulness</w:t>
      </w:r>
      <w:r w:rsidRPr="006F22A6">
        <w:t xml:space="preserve"> (AIATSIS, 2020; </w:t>
      </w:r>
      <w:proofErr w:type="spellStart"/>
      <w:r w:rsidRPr="006F22A6">
        <w:t>Lowitja</w:t>
      </w:r>
      <w:proofErr w:type="spellEnd"/>
      <w:r w:rsidRPr="006F22A6">
        <w:t xml:space="preserve"> Institute, 2020; Productivity Commission, 2020). This balanced assessment is necessary because policy decisions affecting Aboriginal and Torres Strait Islander peoples with disability cannot rely only on evidence forms that have historically excluded Indigenous Knowledges</w:t>
      </w:r>
      <w:r>
        <w:t>.</w:t>
      </w:r>
    </w:p>
    <w:p w14:paraId="22539CFD" w14:textId="3F7BDE81" w:rsidR="0030247E" w:rsidRPr="005E4476" w:rsidRDefault="0BACDAF8" w:rsidP="00423EB2">
      <w:pPr>
        <w:pStyle w:val="Heading2"/>
        <w:spacing w:line="360" w:lineRule="atLeast"/>
        <w:jc w:val="left"/>
      </w:pPr>
      <w:bookmarkStart w:id="24" w:name="_Toc227336512"/>
      <w:bookmarkStart w:id="25" w:name="_Toc231482939"/>
      <w:r>
        <w:t>Summary</w:t>
      </w:r>
      <w:r w:rsidRPr="435BEB47">
        <w:rPr>
          <w:rFonts w:ascii="Verdana" w:eastAsiaTheme="minorEastAsia" w:hAnsi="Verdana"/>
          <w:color w:val="000000" w:themeColor="text1"/>
        </w:rPr>
        <w:t xml:space="preserve"> </w:t>
      </w:r>
      <w:r>
        <w:t>of evidence strength</w:t>
      </w:r>
      <w:bookmarkEnd w:id="24"/>
      <w:bookmarkEnd w:id="25"/>
    </w:p>
    <w:p w14:paraId="7CBA5871" w14:textId="31CEED5A" w:rsidR="0030247E" w:rsidRPr="005E4476" w:rsidRDefault="0BACDAF8" w:rsidP="00423EB2">
      <w:pPr>
        <w:widowControl/>
      </w:pPr>
      <w:r>
        <w:t>Overall, the evidence base is growing but</w:t>
      </w:r>
      <w:r w:rsidRPr="00A517DB">
        <w:t xml:space="preserve"> </w:t>
      </w:r>
      <w:r>
        <w:t>remains</w:t>
      </w:r>
      <w:r w:rsidRPr="00A517DB">
        <w:t xml:space="preserve"> </w:t>
      </w:r>
      <w:r>
        <w:t>uneven. There is strong and consistent evidence</w:t>
      </w:r>
      <w:r w:rsidRPr="00A517DB">
        <w:t xml:space="preserve"> </w:t>
      </w:r>
      <w:r>
        <w:t>identifying</w:t>
      </w:r>
      <w:r w:rsidRPr="00A517DB">
        <w:t xml:space="preserve"> </w:t>
      </w:r>
      <w:r>
        <w:t>barriers such as culturally unsafe services, rigid system</w:t>
      </w:r>
      <w:r w:rsidRPr="00A517DB">
        <w:t xml:space="preserve"> </w:t>
      </w:r>
      <w:r>
        <w:t>design</w:t>
      </w:r>
      <w:r w:rsidRPr="00A517DB">
        <w:t xml:space="preserve"> </w:t>
      </w:r>
      <w:r>
        <w:t>and racism</w:t>
      </w:r>
      <w:r w:rsidRPr="006F22A6">
        <w:t>,</w:t>
      </w:r>
      <w:r>
        <w:t xml:space="preserve"> as well as enablers including Indigenous leadership, relational</w:t>
      </w:r>
      <w:r w:rsidRPr="00A517DB">
        <w:t xml:space="preserve"> </w:t>
      </w:r>
      <w:r>
        <w:t>practice</w:t>
      </w:r>
      <w:r w:rsidRPr="00A517DB">
        <w:t xml:space="preserve"> </w:t>
      </w:r>
      <w:r>
        <w:t xml:space="preserve">and flexibility (AHRC, 2019; </w:t>
      </w:r>
      <w:r w:rsidRPr="006F22A6">
        <w:t>Cooms, 2023</w:t>
      </w:r>
      <w:r>
        <w:t xml:space="preserve">; </w:t>
      </w:r>
      <w:proofErr w:type="spellStart"/>
      <w:r>
        <w:t>Lowitja</w:t>
      </w:r>
      <w:proofErr w:type="spellEnd"/>
      <w:r>
        <w:t xml:space="preserve"> Institute, 2017; </w:t>
      </w:r>
      <w:r w:rsidRPr="006F22A6">
        <w:t>NIAA, 2020; Paradies, 2016; Productivity Commission, 2018; Temple et al., 2020</w:t>
      </w:r>
      <w:r>
        <w:t>). There is emerging</w:t>
      </w:r>
      <w:r w:rsidRPr="00A517DB">
        <w:t xml:space="preserve"> </w:t>
      </w:r>
      <w:r>
        <w:t>but less developed evidence on the operation of Indigenous-led employment models and the mechanisms through which effective practices lead to sustained employment outcomes</w:t>
      </w:r>
      <w:r w:rsidRPr="00A517DB">
        <w:t xml:space="preserve"> </w:t>
      </w:r>
      <w:r>
        <w:t xml:space="preserve">(Cooms &amp; </w:t>
      </w:r>
      <w:proofErr w:type="spellStart"/>
      <w:r>
        <w:t>Muurlink</w:t>
      </w:r>
      <w:proofErr w:type="spellEnd"/>
      <w:r>
        <w:t xml:space="preserve">, 2025; </w:t>
      </w:r>
      <w:proofErr w:type="spellStart"/>
      <w:r>
        <w:t>D</w:t>
      </w:r>
      <w:r w:rsidRPr="006F22A6">
        <w:t>’</w:t>
      </w:r>
      <w:r>
        <w:t>Aprano</w:t>
      </w:r>
      <w:proofErr w:type="spellEnd"/>
      <w:r>
        <w:t xml:space="preserve"> et al., 2024; </w:t>
      </w:r>
      <w:r w:rsidRPr="006F22A6">
        <w:t xml:space="preserve">Eva et al., 2023; </w:t>
      </w:r>
      <w:r>
        <w:t>Gilroy et al., 2023; Langton et al., 2012; Leroy-Dyer, 2022; Talbot et al., 2025; Temple et al., 2020; Veli-Gold et al., 2023</w:t>
      </w:r>
      <w:r w:rsidRPr="006F22A6">
        <w:t xml:space="preserve">). </w:t>
      </w:r>
      <w:r w:rsidR="0018307F">
        <w:t>The</w:t>
      </w:r>
      <w:r w:rsidRPr="006F22A6">
        <w:t xml:space="preserve"> evidence </w:t>
      </w:r>
      <w:r w:rsidR="0018307F">
        <w:t>is</w:t>
      </w:r>
      <w:r w:rsidR="00AE4B11" w:rsidRPr="00AE4B11">
        <w:t xml:space="preserve"> sufficient</w:t>
      </w:r>
      <w:r w:rsidRPr="006F22A6">
        <w:t xml:space="preserve"> to identify </w:t>
      </w:r>
      <w:r w:rsidR="0018307F">
        <w:t xml:space="preserve">key </w:t>
      </w:r>
      <w:r w:rsidRPr="006F22A6">
        <w:t xml:space="preserve">enabling conditions for policy design, </w:t>
      </w:r>
      <w:r w:rsidR="00AE4B11" w:rsidRPr="00AE4B11">
        <w:t>while recognising that it does</w:t>
      </w:r>
      <w:r w:rsidRPr="006F22A6">
        <w:t xml:space="preserve"> not yet </w:t>
      </w:r>
      <w:r w:rsidR="00AE4B11" w:rsidRPr="00AE4B11">
        <w:t xml:space="preserve">support precise </w:t>
      </w:r>
      <w:r w:rsidR="0018307F">
        <w:t>measurement</w:t>
      </w:r>
      <w:r w:rsidR="00AE4B11" w:rsidRPr="00AE4B11">
        <w:t xml:space="preserve"> of</w:t>
      </w:r>
      <w:r w:rsidRPr="006F22A6">
        <w:t xml:space="preserve"> long-term impacts across all contexts</w:t>
      </w:r>
      <w:r w:rsidR="00AE4B11" w:rsidRPr="00AE4B11">
        <w:t>.</w:t>
      </w:r>
    </w:p>
    <w:p w14:paraId="13DFF2A5" w14:textId="03A468B1" w:rsidR="0030247E" w:rsidRPr="005E4476" w:rsidRDefault="0BACDAF8" w:rsidP="00423EB2">
      <w:pPr>
        <w:widowControl/>
      </w:pPr>
      <w:r>
        <w:t>There is limited evidence on long</w:t>
      </w:r>
      <w:r w:rsidR="57683B9C">
        <w:t>-</w:t>
      </w:r>
      <w:r>
        <w:t>term employment outcomes, Indigenous disability leadership within employment systems, and how system</w:t>
      </w:r>
      <w:r w:rsidR="00FD1154" w:rsidRPr="006F22A6">
        <w:noBreakHyphen/>
      </w:r>
      <w:r>
        <w:t>level reforms translate into measurable employment gains (Hunter, 2014; Jordan, 2016; Productivity Commission, 2020). These gaps reflect broader fragmentation between disability, employment and workforce policy</w:t>
      </w:r>
      <w:r w:rsidRPr="006F22A6">
        <w:t>,</w:t>
      </w:r>
      <w:r>
        <w:t xml:space="preserve"> and point to priorities for future Indigenous-led research and evaluation</w:t>
      </w:r>
      <w:r w:rsidRPr="00A517DB">
        <w:t xml:space="preserve"> </w:t>
      </w:r>
      <w:r>
        <w:t>consistent with principles of Indigenous data sovereignty and ethical research practice (</w:t>
      </w:r>
      <w:r w:rsidRPr="006F22A6">
        <w:t xml:space="preserve">AIATSIS, 2020; </w:t>
      </w:r>
      <w:r>
        <w:t>Beetson</w:t>
      </w:r>
      <w:r w:rsidRPr="006F22A6">
        <w:t xml:space="preserve"> et al., 2020; Cooms &amp; Muurlink, 2025; Gilroy et al., 2023; </w:t>
      </w:r>
      <w:r w:rsidR="00985439">
        <w:t>Lovett</w:t>
      </w:r>
      <w:r>
        <w:t xml:space="preserve">, 2016; </w:t>
      </w:r>
      <w:r w:rsidRPr="5C99C6EE">
        <w:rPr>
          <w:noProof/>
        </w:rPr>
        <w:t>MNWIDSC</w:t>
      </w:r>
      <w:r>
        <w:t xml:space="preserve">, 2018; </w:t>
      </w:r>
      <w:r w:rsidRPr="006F22A6">
        <w:t xml:space="preserve">Talbot et al., </w:t>
      </w:r>
      <w:r>
        <w:t>2025; Veli-Gold et al., 2023</w:t>
      </w:r>
      <w:r w:rsidRPr="006F22A6">
        <w:t>). For education services, this indicates a need to track pathways across learning, training, transition and employment rather than evaluating each system in isolation.</w:t>
      </w:r>
    </w:p>
    <w:p w14:paraId="628B0622" w14:textId="3F4C66D5" w:rsidR="000D0450" w:rsidRPr="00A517DB" w:rsidRDefault="1507D070" w:rsidP="00423EB2">
      <w:pPr>
        <w:pStyle w:val="Heading2"/>
        <w:spacing w:line="360" w:lineRule="atLeast"/>
        <w:jc w:val="left"/>
      </w:pPr>
      <w:bookmarkStart w:id="26" w:name="_Toc227336505"/>
      <w:bookmarkStart w:id="27" w:name="_Toc611330325"/>
      <w:bookmarkStart w:id="28" w:name="_Toc231482940"/>
      <w:r w:rsidRPr="00A517DB">
        <w:t>Overview</w:t>
      </w:r>
      <w:r w:rsidRPr="00A517DB">
        <w:rPr>
          <w:rFonts w:ascii="Verdana" w:hAnsi="Verdana"/>
          <w:color w:val="000000" w:themeColor="text1"/>
        </w:rPr>
        <w:t xml:space="preserve"> </w:t>
      </w:r>
      <w:r w:rsidRPr="00A517DB">
        <w:t>of the evidence</w:t>
      </w:r>
      <w:bookmarkEnd w:id="26"/>
      <w:bookmarkEnd w:id="27"/>
      <w:bookmarkEnd w:id="28"/>
    </w:p>
    <w:p w14:paraId="7A71AE42" w14:textId="3DD64C69" w:rsidR="00DF34E7" w:rsidRDefault="4FD5F098" w:rsidP="00423EB2">
      <w:r>
        <w:t xml:space="preserve">The available evidence on employment services and supports for Aboriginal and Torres Strait Islander peoples with disability is limited, particularly when </w:t>
      </w:r>
      <w:r w:rsidR="00D1626A">
        <w:t>seeking</w:t>
      </w:r>
      <w:r>
        <w:t xml:space="preserve"> formal evaluations that directly measure employment outcomes. </w:t>
      </w:r>
      <w:r w:rsidR="00D1626A">
        <w:t>As a result</w:t>
      </w:r>
      <w:r>
        <w:t xml:space="preserve">, </w:t>
      </w:r>
      <w:r>
        <w:lastRenderedPageBreak/>
        <w:t xml:space="preserve">the review did not rely </w:t>
      </w:r>
      <w:r w:rsidR="00D1626A">
        <w:t>solely</w:t>
      </w:r>
      <w:r>
        <w:t xml:space="preserve"> on studies </w:t>
      </w:r>
      <w:r w:rsidRPr="006F22A6">
        <w:t>testing</w:t>
      </w:r>
      <w:r>
        <w:t xml:space="preserve"> cause-and-effect relationships. Instead, a structured approach </w:t>
      </w:r>
      <w:r w:rsidR="00D1626A">
        <w:t xml:space="preserve">was used </w:t>
      </w:r>
      <w:r>
        <w:t>to identify consistent patterns and shared findings across academic research, policy documents, community reports</w:t>
      </w:r>
      <w:r w:rsidR="00D1626A">
        <w:t>,</w:t>
      </w:r>
      <w:r>
        <w:t xml:space="preserve"> and Indigenous-led evidence (Petticrew </w:t>
      </w:r>
      <w:r w:rsidR="6047B4AD">
        <w:t>et al.</w:t>
      </w:r>
      <w:r>
        <w:t>, 2006</w:t>
      </w:r>
      <w:r w:rsidRPr="006F22A6">
        <w:t xml:space="preserve">; Popay et al., </w:t>
      </w:r>
      <w:r>
        <w:t>2006).</w:t>
      </w:r>
      <w:r w:rsidRPr="006F22A6">
        <w:t xml:space="preserve"> This approach is appropriate because the policy question concerns system conditions and mechanisms, not only discrete intervention effects.</w:t>
      </w:r>
    </w:p>
    <w:p w14:paraId="3AFFA7F1" w14:textId="3F006374" w:rsidR="00DF34E7" w:rsidRDefault="4FD5F098" w:rsidP="00423EB2">
      <w:pPr>
        <w:widowControl/>
      </w:pPr>
      <w:r>
        <w:t xml:space="preserve">Across the evidence, there </w:t>
      </w:r>
      <w:r w:rsidRPr="006F22A6">
        <w:t>is</w:t>
      </w:r>
      <w:r>
        <w:t xml:space="preserve"> strong agreement about the conditions that support or hinder employment participation for Aboriginal and Torres Strait Islander peoples with disability. The findings show that employment outcomes are shaped not only by individual supports, but also by how services are designed, whether they are culturally safe, and the quality of relationships between people, communities and institutions (Gilroy et al., 2013; Gilroy et al., </w:t>
      </w:r>
      <w:r w:rsidRPr="006F22A6">
        <w:t>2017; Martin, 2008; Walter &amp; Andersen, 2013). This agreement across sources strengthens the conclusion that service design, governance and relational accountability are core determinants of outcome quality.</w:t>
      </w:r>
    </w:p>
    <w:p w14:paraId="53478B8F" w14:textId="2FEDAEED" w:rsidR="00D2287A" w:rsidRDefault="4FD5F098" w:rsidP="00423EB2">
      <w:pPr>
        <w:widowControl/>
      </w:pPr>
      <w:r>
        <w:t>While there are relatively few formal program evaluations, the evidence consistently highlight</w:t>
      </w:r>
      <w:r w:rsidRPr="006F22A6">
        <w:t>s</w:t>
      </w:r>
      <w:r>
        <w:t xml:space="preserve"> similar themes across Indigenous-authored research, community-led evidence, policy analysis and qualitative studies (AIHW, 2023; </w:t>
      </w:r>
      <w:proofErr w:type="spellStart"/>
      <w:r>
        <w:t>Lowitja</w:t>
      </w:r>
      <w:proofErr w:type="spellEnd"/>
      <w:r>
        <w:t xml:space="preserve"> Institute, 2020; Productivity Commission, 2020; Rigney, 199</w:t>
      </w:r>
      <w:r w:rsidRPr="006F22A6">
        <w:t>9</w:t>
      </w:r>
      <w:r>
        <w:t xml:space="preserve">). Overall, effective employment support is not based on one single program or intervention. </w:t>
      </w:r>
      <w:r w:rsidRPr="006F22A6">
        <w:t>Positive</w:t>
      </w:r>
      <w:r>
        <w:t xml:space="preserve"> outcomes are more likely when several conditions work together, including Indigenous leadership, cultural safety, strong relationships, flexibility and better alignment between systems and services (AIATSIS, 2020; NACCHO, 2021). These patterns appear consistently across the evidence base, even where outcomes </w:t>
      </w:r>
      <w:r w:rsidRPr="006F22A6">
        <w:t>a</w:t>
      </w:r>
      <w:r>
        <w:t>re not formally measured. This gives confidence that the findings reflect broader and recurring experiences across different communities, services and contexts, rather than isolated examples.</w:t>
      </w:r>
    </w:p>
    <w:p w14:paraId="1F445AB7" w14:textId="43B12C4C" w:rsidR="00AF59B7" w:rsidRDefault="7E867127" w:rsidP="00423EB2">
      <w:pPr>
        <w:pStyle w:val="Heading3"/>
        <w:widowControl/>
        <w:spacing w:line="360" w:lineRule="atLeast"/>
      </w:pPr>
      <w:bookmarkStart w:id="29" w:name="_Toc231482941"/>
      <w:r>
        <w:t>Indigenous-led and community</w:t>
      </w:r>
      <w:r w:rsidR="537DC13E">
        <w:t>-</w:t>
      </w:r>
      <w:r>
        <w:t>controlled approaches</w:t>
      </w:r>
      <w:bookmarkEnd w:id="29"/>
      <w:r>
        <w:t xml:space="preserve"> </w:t>
      </w:r>
    </w:p>
    <w:p w14:paraId="29955F6E" w14:textId="116A2731" w:rsidR="00897028" w:rsidRPr="00897028" w:rsidRDefault="48176FB3" w:rsidP="00423EB2">
      <w:pPr>
        <w:widowControl/>
      </w:pPr>
      <w:r>
        <w:t>The strongest and most consistent finding across the evidence is that Indigenous-led and community-controlled approaches create more accessible, trusted and sustainable pathways to employment for Aboriginal and Torres Strait Islander peoples with disability (Cooms</w:t>
      </w:r>
      <w:r w:rsidR="002C2263">
        <w:t xml:space="preserve"> et al.</w:t>
      </w:r>
      <w:r>
        <w:t>, 2025; Eva et al., 2023</w:t>
      </w:r>
      <w:r w:rsidRPr="006F22A6">
        <w:t>; NACCHO, 2021</w:t>
      </w:r>
      <w:r>
        <w:t xml:space="preserve">). When services are designed, governed and delivered by Indigenous organisations, they are more likely to reflect community priorities, cultural responsibilities and local understandings of work, contribution and participation (Cooms &amp; </w:t>
      </w:r>
      <w:proofErr w:type="spellStart"/>
      <w:r>
        <w:t>Muurlink</w:t>
      </w:r>
      <w:proofErr w:type="spellEnd"/>
      <w:r>
        <w:t xml:space="preserve">, 2025; </w:t>
      </w:r>
      <w:proofErr w:type="spellStart"/>
      <w:r>
        <w:t>D</w:t>
      </w:r>
      <w:r w:rsidRPr="006F22A6">
        <w:t>’</w:t>
      </w:r>
      <w:r>
        <w:t>Aprano</w:t>
      </w:r>
      <w:proofErr w:type="spellEnd"/>
      <w:r>
        <w:t xml:space="preserve"> et al., 2024; Talbot et al., 2025).</w:t>
      </w:r>
      <w:r w:rsidRPr="006F22A6">
        <w:t xml:space="preserve"> This is analytically important because it locates effectiveness in governance and accountability, not only in frontline practice.</w:t>
      </w:r>
    </w:p>
    <w:p w14:paraId="627AC76A" w14:textId="459D66B6" w:rsidR="00897028" w:rsidRPr="00897028" w:rsidRDefault="48176FB3" w:rsidP="00423EB2">
      <w:pPr>
        <w:widowControl/>
      </w:pPr>
      <w:r w:rsidRPr="006F22A6">
        <w:lastRenderedPageBreak/>
        <w:t>These</w:t>
      </w:r>
      <w:r>
        <w:t xml:space="preserve"> approaches are effective because decision-making and accountability remain within community rather than being driven by external systems and requirements. Indigenous leadership influences not only how services are delivered, but how employment systems themselves operate (AIATSIS, 2020; </w:t>
      </w:r>
      <w:proofErr w:type="spellStart"/>
      <w:r>
        <w:t>Lowitja</w:t>
      </w:r>
      <w:proofErr w:type="spellEnd"/>
      <w:r>
        <w:t xml:space="preserve"> Institute, 2017). Indigenous-led organisations are more likely to recognise the importance of kinship, collective responsibility, connection to Country and long-term relationships when supporting employment participation</w:t>
      </w:r>
      <w:r w:rsidRPr="006F22A6">
        <w:t xml:space="preserve"> (Martin, 2008; Walter &amp; Andersen, 2013).</w:t>
      </w:r>
      <w:r>
        <w:t xml:space="preserve"> They also tend to prioritise trust-based and ongoing support rather than short-term or transactional service models.</w:t>
      </w:r>
      <w:r w:rsidRPr="006F22A6">
        <w:t xml:space="preserve"> For policy, this means commissioning arrangements need to resource Indigenous authority, not merely consult it.</w:t>
      </w:r>
    </w:p>
    <w:p w14:paraId="1B412027" w14:textId="57EAB855" w:rsidR="00897028" w:rsidRPr="00897028" w:rsidRDefault="48176FB3" w:rsidP="00423EB2">
      <w:pPr>
        <w:widowControl/>
      </w:pPr>
      <w:r>
        <w:t>The evidence further show</w:t>
      </w:r>
      <w:r w:rsidRPr="006F22A6">
        <w:t>s</w:t>
      </w:r>
      <w:r>
        <w:t xml:space="preserve"> that Indigenous-led organisations often create workforce practices that are more culturally safe and responsive. This includes employing Indigenous staff, providing </w:t>
      </w:r>
      <w:r w:rsidR="00423EB2">
        <w:t>culturally-informed</w:t>
      </w:r>
      <w:r>
        <w:t xml:space="preserve"> supervision and supporting organisational learning grounded in community experience and knowledge (</w:t>
      </w:r>
      <w:proofErr w:type="spellStart"/>
      <w:r>
        <w:t>Lowitja</w:t>
      </w:r>
      <w:proofErr w:type="spellEnd"/>
      <w:r>
        <w:t xml:space="preserve"> Institute, 2017; Walter &amp; Andersen, 2013).</w:t>
      </w:r>
      <w:r w:rsidRPr="006F22A6">
        <w:t xml:space="preserve"> </w:t>
      </w:r>
      <w:r w:rsidR="00923E77">
        <w:t>These</w:t>
      </w:r>
      <w:r w:rsidRPr="006F22A6">
        <w:t xml:space="preserve"> practices </w:t>
      </w:r>
      <w:r w:rsidR="00923E77">
        <w:t>create</w:t>
      </w:r>
      <w:r w:rsidRPr="006F22A6">
        <w:t xml:space="preserve"> the conditions </w:t>
      </w:r>
      <w:r w:rsidR="00923E77">
        <w:t>for</w:t>
      </w:r>
      <w:r w:rsidRPr="006F22A6">
        <w:t xml:space="preserve"> cultural safety </w:t>
      </w:r>
      <w:r w:rsidR="00923E77">
        <w:t>to be put into practice</w:t>
      </w:r>
      <w:r w:rsidRPr="006F22A6">
        <w:t xml:space="preserve"> </w:t>
      </w:r>
      <w:r w:rsidR="0014348F" w:rsidRPr="0014348F">
        <w:t>in</w:t>
      </w:r>
      <w:r w:rsidRPr="006F22A6">
        <w:t xml:space="preserve"> everyday service delivery</w:t>
      </w:r>
      <w:r w:rsidR="0014348F" w:rsidRPr="0014348F">
        <w:t>,</w:t>
      </w:r>
      <w:r w:rsidRPr="006F22A6">
        <w:t xml:space="preserve"> rather than remaining </w:t>
      </w:r>
      <w:r w:rsidR="0014348F" w:rsidRPr="0014348F">
        <w:t>an</w:t>
      </w:r>
      <w:r w:rsidRPr="006F22A6">
        <w:t xml:space="preserve"> organisational aspiration.</w:t>
      </w:r>
    </w:p>
    <w:p w14:paraId="2C7B2833" w14:textId="23849122" w:rsidR="00897028" w:rsidRPr="00897028" w:rsidRDefault="48176FB3" w:rsidP="00423EB2">
      <w:pPr>
        <w:widowControl/>
      </w:pPr>
      <w:r>
        <w:t xml:space="preserve">While much of the evidence is based on qualitative research, practice evidence and community experience rather than formal outcome evaluations, the findings </w:t>
      </w:r>
      <w:r w:rsidRPr="006F22A6">
        <w:t>a</w:t>
      </w:r>
      <w:r>
        <w:t>re highly consistent across sources. Overall, the evidence indicates that Indigenous leadership and community control are foundational conditions for effective employment services and supports for Aboriginal and Torres Strait Islander peoples with disability (</w:t>
      </w:r>
      <w:r w:rsidRPr="006F22A6">
        <w:t xml:space="preserve">AIHW, 2023; </w:t>
      </w:r>
      <w:r>
        <w:t xml:space="preserve">Cooms &amp; Muurlink, 2025; Gilroy et al., 2023; Productivity Commission, 2020; </w:t>
      </w:r>
      <w:r w:rsidRPr="006F22A6">
        <w:t>Talbot et al., 2025). This consistency provides a defensible basis for policy settings that prioritise Indigenous-led delivery while strengthening future outcome evaluation.</w:t>
      </w:r>
    </w:p>
    <w:p w14:paraId="0F977E12" w14:textId="14D9FEB0" w:rsidR="00AF59B7" w:rsidRDefault="7F20E629" w:rsidP="00423EB2">
      <w:pPr>
        <w:pStyle w:val="Heading3"/>
        <w:widowControl/>
        <w:spacing w:line="360" w:lineRule="atLeast"/>
      </w:pPr>
      <w:bookmarkStart w:id="30" w:name="_Toc231482942"/>
      <w:r>
        <w:t>Cultural safety as a precondition for engagement</w:t>
      </w:r>
      <w:bookmarkEnd w:id="30"/>
      <w:r>
        <w:t xml:space="preserve"> </w:t>
      </w:r>
    </w:p>
    <w:p w14:paraId="2DA23EE1" w14:textId="5DF5AAD3" w:rsidR="000A64C6" w:rsidRPr="000A64C6" w:rsidRDefault="73C59DC8" w:rsidP="00423EB2">
      <w:pPr>
        <w:widowControl/>
      </w:pPr>
      <w:r>
        <w:t>The evidence consistently identifie</w:t>
      </w:r>
      <w:r w:rsidRPr="006F22A6">
        <w:t>s</w:t>
      </w:r>
      <w:r>
        <w:t xml:space="preserve"> cultural safety as essential for engagement with employment and disability services. Experiences of racism, judgement, stereotyping and cultural misunderstanding </w:t>
      </w:r>
      <w:r w:rsidRPr="006F22A6">
        <w:t>a</w:t>
      </w:r>
      <w:r>
        <w:t>re commonly reported as reasons Aboriginal and Torres Strait Islander peoples disengage from or avoid services, including employment-related programs and workplaces (Avery, 2016; Brown et al., 2020; Paradies, 2016). For Aboriginal and Torres Strait Islander peoples with disability, these experiences are often intensified by the combined impacts of racism and disability-related exclusion (Cooms &amp; Muurlink, 2025; Cooms</w:t>
      </w:r>
      <w:r w:rsidR="0C7D55C1">
        <w:t xml:space="preserve"> et al., </w:t>
      </w:r>
      <w:r>
        <w:t xml:space="preserve">2024; </w:t>
      </w:r>
      <w:proofErr w:type="spellStart"/>
      <w:r w:rsidRPr="006F22A6">
        <w:t>D’Aprano</w:t>
      </w:r>
      <w:proofErr w:type="spellEnd"/>
      <w:r w:rsidRPr="006F22A6">
        <w:t xml:space="preserve"> et al., </w:t>
      </w:r>
      <w:r>
        <w:t xml:space="preserve">2024; Gilroy, 2016; </w:t>
      </w:r>
      <w:proofErr w:type="spellStart"/>
      <w:r>
        <w:t>Soldatic</w:t>
      </w:r>
      <w:proofErr w:type="spellEnd"/>
      <w:r>
        <w:t>, 2018</w:t>
      </w:r>
      <w:r w:rsidRPr="006F22A6">
        <w:t xml:space="preserve">; Temple et al., 2020). The </w:t>
      </w:r>
      <w:r w:rsidRPr="006F22A6">
        <w:lastRenderedPageBreak/>
        <w:t>evaluative implication is that access policy cannot be separated from cultural safety and anti-racist practice.</w:t>
      </w:r>
    </w:p>
    <w:p w14:paraId="44531149" w14:textId="519B78CE" w:rsidR="000A64C6" w:rsidRPr="000A64C6" w:rsidRDefault="73C59DC8" w:rsidP="00423EB2">
      <w:pPr>
        <w:widowControl/>
      </w:pPr>
      <w:r>
        <w:t>The evidence show</w:t>
      </w:r>
      <w:r w:rsidRPr="006F22A6">
        <w:t>s</w:t>
      </w:r>
      <w:r>
        <w:t xml:space="preserve"> that culturally unsafe environments undermine trust and reduce participation, regardless of the intentions of the service or program. Experiences of disrespect, racism and exclusion </w:t>
      </w:r>
      <w:r w:rsidRPr="006F22A6">
        <w:t>a</w:t>
      </w:r>
      <w:r>
        <w:t xml:space="preserve">re linked to disengagement from employment and disability supports (Avery, 2018; Gilroy et al., 2016; </w:t>
      </w:r>
      <w:proofErr w:type="spellStart"/>
      <w:r>
        <w:t>Lowitja</w:t>
      </w:r>
      <w:proofErr w:type="spellEnd"/>
      <w:r>
        <w:t xml:space="preserve"> Institute, 2017; Paradies, 2016). In contrast, services that demonstrate cultural respect, acknowledge historical and ongoing impacts of colonisation, and adapt to different understandings of disability </w:t>
      </w:r>
      <w:r w:rsidRPr="006F22A6">
        <w:t>a</w:t>
      </w:r>
      <w:r>
        <w:t xml:space="preserve">re more likely to support ongoing engagement and participation (AHMAC, 2016; </w:t>
      </w:r>
      <w:proofErr w:type="spellStart"/>
      <w:r>
        <w:t>Lowitja</w:t>
      </w:r>
      <w:proofErr w:type="spellEnd"/>
      <w:r>
        <w:t xml:space="preserve"> Institute, 2017).</w:t>
      </w:r>
      <w:r w:rsidRPr="006F22A6">
        <w:t xml:space="preserve"> This distinguishes cultural safety from cultural awareness: policy needs to require observable changes in service relationships, decision-making and accountability.</w:t>
      </w:r>
    </w:p>
    <w:p w14:paraId="41CAE54D" w14:textId="1C6A9F95" w:rsidR="000A64C6" w:rsidRPr="000A64C6" w:rsidRDefault="73C59DC8" w:rsidP="00423EB2">
      <w:pPr>
        <w:widowControl/>
      </w:pPr>
      <w:r>
        <w:t xml:space="preserve">Across the evidence, cultural safety </w:t>
      </w:r>
      <w:r w:rsidRPr="006F22A6">
        <w:t>is</w:t>
      </w:r>
      <w:r>
        <w:t xml:space="preserve"> not described as a checklist or one-off activity. Instead, it </w:t>
      </w:r>
      <w:r w:rsidRPr="006F22A6">
        <w:t>is</w:t>
      </w:r>
      <w:r>
        <w:t xml:space="preserve"> built and maintained over time through respectful relationships, accountability, responsiveness and ongoing reflection (AIATSIS, 2020; Leroy-Dyer &amp; Olssen, 2026; Martin, 2008; Ramsden, 2002). The findings </w:t>
      </w:r>
      <w:r w:rsidRPr="006F22A6">
        <w:t>indicate</w:t>
      </w:r>
      <w:r>
        <w:t xml:space="preserve"> that cultural safety is a foundational condition for effective employment and disability services, rather than an optional addition to service delivery.</w:t>
      </w:r>
      <w:r w:rsidRPr="006F22A6">
        <w:t xml:space="preserve"> For education and training services, this means culturally safe engagement is part of learning access and retention, not a separate equity activity.</w:t>
      </w:r>
    </w:p>
    <w:p w14:paraId="17B7DEB5" w14:textId="44F8C5B6" w:rsidR="009A4F6D" w:rsidRDefault="4EA4007D" w:rsidP="00423EB2">
      <w:pPr>
        <w:pStyle w:val="Heading3"/>
        <w:widowControl/>
        <w:spacing w:line="360" w:lineRule="atLeast"/>
      </w:pPr>
      <w:bookmarkStart w:id="31" w:name="_Toc231482943"/>
      <w:r>
        <w:t>Relational and trust-based service delivery</w:t>
      </w:r>
      <w:bookmarkEnd w:id="31"/>
      <w:r>
        <w:t xml:space="preserve"> </w:t>
      </w:r>
    </w:p>
    <w:p w14:paraId="1FF8057E" w14:textId="60018309" w:rsidR="007B32CE" w:rsidRPr="005E4476" w:rsidRDefault="1B52A5CC" w:rsidP="00423EB2">
      <w:pPr>
        <w:widowControl/>
      </w:pPr>
      <w:r>
        <w:t>Relational practice emerges as a central mechanism through which employment services become accessible and effective (Eva et al., 2023</w:t>
      </w:r>
      <w:r w:rsidRPr="006F22A6">
        <w:t>;</w:t>
      </w:r>
      <w:r>
        <w:t xml:space="preserve"> Leroy-Dyer &amp; Olssen, 2026). </w:t>
      </w:r>
      <w:r w:rsidR="001C75B4" w:rsidRPr="001C75B4">
        <w:t>Across</w:t>
      </w:r>
      <w:r>
        <w:t xml:space="preserve"> disability service, workforce</w:t>
      </w:r>
      <w:r w:rsidR="001C75B4" w:rsidRPr="001C75B4">
        <w:t>,</w:t>
      </w:r>
      <w:r>
        <w:t xml:space="preserve"> and Indigenous-authored sources</w:t>
      </w:r>
      <w:r w:rsidRPr="006F22A6">
        <w:t>,</w:t>
      </w:r>
      <w:r>
        <w:t xml:space="preserve"> trust is </w:t>
      </w:r>
      <w:r w:rsidR="001C75B4" w:rsidRPr="001C75B4">
        <w:t xml:space="preserve">consistently </w:t>
      </w:r>
      <w:r>
        <w:t xml:space="preserve">built through continuity of relationships, time, </w:t>
      </w:r>
      <w:r w:rsidR="001C75B4" w:rsidRPr="001C75B4">
        <w:t>consistent</w:t>
      </w:r>
      <w:r>
        <w:t xml:space="preserve"> staff</w:t>
      </w:r>
      <w:r w:rsidR="001C75B4" w:rsidRPr="001C75B4">
        <w:t>,</w:t>
      </w:r>
      <w:r>
        <w:t xml:space="preserve"> and respectful communication (Avery, 2018; Cooms</w:t>
      </w:r>
      <w:r w:rsidR="61D9ED2F">
        <w:t xml:space="preserve"> et al.,</w:t>
      </w:r>
      <w:r>
        <w:t xml:space="preserve"> 2024; Cooms</w:t>
      </w:r>
      <w:r w:rsidR="30064AB7">
        <w:t xml:space="preserve"> et al., </w:t>
      </w:r>
      <w:r>
        <w:t xml:space="preserve">2025; Gilroy et al., 2013). Short-term, transactional or compliance-driven service models are widely described as misaligned with how trust is established and maintained (Cooms &amp; </w:t>
      </w:r>
      <w:proofErr w:type="spellStart"/>
      <w:r>
        <w:t>Muurlink</w:t>
      </w:r>
      <w:proofErr w:type="spellEnd"/>
      <w:r>
        <w:t xml:space="preserve">, 2025; </w:t>
      </w:r>
      <w:proofErr w:type="spellStart"/>
      <w:r w:rsidRPr="006F22A6">
        <w:t>D’Aprano</w:t>
      </w:r>
      <w:proofErr w:type="spellEnd"/>
      <w:r w:rsidRPr="006F22A6">
        <w:t xml:space="preserve"> et al., 2024). This indicates that relational practice is an implementation mechanism, not merely a service style.</w:t>
      </w:r>
    </w:p>
    <w:p w14:paraId="08F76A86" w14:textId="0F3BB5CE" w:rsidR="007B32CE" w:rsidRPr="005E4476" w:rsidRDefault="1B52A5CC" w:rsidP="00423EB2">
      <w:pPr>
        <w:widowControl/>
      </w:pPr>
      <w:r>
        <w:t>Relational approaches recognise that engagement occurs within family, community and historical contexts, not in isolation. Where services invest in relationships rather than throughput, Aboriginal and Torres Strait Islander peoples with disability are more likely to remain connected and to navigate complex systems over time (Cooms, 2023; Cooms</w:t>
      </w:r>
      <w:r w:rsidR="57B97349">
        <w:t xml:space="preserve"> et al., </w:t>
      </w:r>
      <w:r>
        <w:t xml:space="preserve">2025). </w:t>
      </w:r>
      <w:r w:rsidR="00755A5C">
        <w:t xml:space="preserve">Relational </w:t>
      </w:r>
      <w:r w:rsidR="00755A5C">
        <w:lastRenderedPageBreak/>
        <w:t>practice</w:t>
      </w:r>
      <w:r>
        <w:t xml:space="preserve"> is </w:t>
      </w:r>
      <w:r w:rsidRPr="006F22A6">
        <w:t>therefore</w:t>
      </w:r>
      <w:r>
        <w:t xml:space="preserve"> </w:t>
      </w:r>
      <w:r w:rsidR="00755A5C">
        <w:t xml:space="preserve">understood as </w:t>
      </w:r>
      <w:r>
        <w:t xml:space="preserve">a </w:t>
      </w:r>
      <w:r w:rsidR="00755A5C">
        <w:t>core</w:t>
      </w:r>
      <w:r>
        <w:t xml:space="preserve"> feature of effective service systems, not an optional interpersonal skill (</w:t>
      </w:r>
      <w:proofErr w:type="spellStart"/>
      <w:r>
        <w:t>D</w:t>
      </w:r>
      <w:r w:rsidRPr="006F22A6">
        <w:t>’</w:t>
      </w:r>
      <w:r>
        <w:t>Aprano</w:t>
      </w:r>
      <w:proofErr w:type="spellEnd"/>
      <w:r>
        <w:t xml:space="preserve"> et al., 2024; Gilroy et al., 2023; Talbot et al., 2025).</w:t>
      </w:r>
      <w:r w:rsidRPr="006F22A6">
        <w:t xml:space="preserve"> </w:t>
      </w:r>
      <w:r w:rsidR="00755A5C">
        <w:t>In practice</w:t>
      </w:r>
      <w:r w:rsidRPr="006F22A6">
        <w:t>, this requires funding</w:t>
      </w:r>
      <w:r w:rsidR="00755A5C">
        <w:t xml:space="preserve"> models</w:t>
      </w:r>
      <w:r w:rsidRPr="006F22A6">
        <w:t>, caseloads</w:t>
      </w:r>
      <w:r w:rsidR="00755A5C">
        <w:t>,</w:t>
      </w:r>
      <w:r w:rsidRPr="006F22A6">
        <w:t xml:space="preserve"> and performance </w:t>
      </w:r>
      <w:r w:rsidR="00755A5C">
        <w:t>measures</w:t>
      </w:r>
      <w:r w:rsidRPr="006F22A6">
        <w:t xml:space="preserve"> that </w:t>
      </w:r>
      <w:r w:rsidR="00755A5C">
        <w:t>support</w:t>
      </w:r>
      <w:r w:rsidRPr="006F22A6">
        <w:t xml:space="preserve"> continuity and trust</w:t>
      </w:r>
      <w:r w:rsidR="00755A5C">
        <w:t>.</w:t>
      </w:r>
    </w:p>
    <w:p w14:paraId="35D74ED5" w14:textId="59CE6795" w:rsidR="007B32CE" w:rsidRDefault="1373DB1A" w:rsidP="00423EB2">
      <w:pPr>
        <w:pStyle w:val="Heading3"/>
        <w:widowControl/>
        <w:spacing w:line="360" w:lineRule="atLeast"/>
      </w:pPr>
      <w:bookmarkStart w:id="32" w:name="_Toc231482944"/>
      <w:r>
        <w:t>Flexible and context-responsive service design</w:t>
      </w:r>
      <w:bookmarkEnd w:id="32"/>
    </w:p>
    <w:p w14:paraId="388EFAAB" w14:textId="3D9C2039" w:rsidR="00096104" w:rsidRPr="00096104" w:rsidRDefault="71AF087C" w:rsidP="00423EB2">
      <w:pPr>
        <w:widowControl/>
      </w:pPr>
      <w:r>
        <w:t>The evidence consistently identifie</w:t>
      </w:r>
      <w:r w:rsidRPr="006F22A6">
        <w:t>s</w:t>
      </w:r>
      <w:r>
        <w:t xml:space="preserve"> flexibility as an important condition for supporting participation in employment services. Rigid program rules, fixed timelines and strict eligibility requirements </w:t>
      </w:r>
      <w:r w:rsidRPr="006F22A6">
        <w:t>a</w:t>
      </w:r>
      <w:r>
        <w:t xml:space="preserve">re commonly described as barriers, particularly when services </w:t>
      </w:r>
      <w:r w:rsidRPr="006F22A6">
        <w:t>do</w:t>
      </w:r>
      <w:r>
        <w:t xml:space="preserve"> not </w:t>
      </w:r>
      <w:proofErr w:type="gramStart"/>
      <w:r>
        <w:t>take into account</w:t>
      </w:r>
      <w:proofErr w:type="gramEnd"/>
      <w:r>
        <w:t xml:space="preserve"> family responsibilities, changes in health, remoteness or the complexity of navigating multiple systems (Leroy-Dyer, 2016, 2022). Across the evidence, rigid approaches </w:t>
      </w:r>
      <w:r w:rsidRPr="006F22A6">
        <w:t>disadvantage</w:t>
      </w:r>
      <w:r>
        <w:t xml:space="preserve"> Aboriginal and Torres Strait Islander peoples with disability by treating culturally grounded responsibilities, changing circumstances or non-linear pathways as non-compliance (Avery, 2018; Cooms &amp; Muurlink, 2025; </w:t>
      </w:r>
      <w:r w:rsidRPr="006F22A6">
        <w:t>Cooms</w:t>
      </w:r>
      <w:r>
        <w:t xml:space="preserve"> et al., 2024; </w:t>
      </w:r>
      <w:proofErr w:type="spellStart"/>
      <w:r>
        <w:t>D’Aprano</w:t>
      </w:r>
      <w:proofErr w:type="spellEnd"/>
      <w:r>
        <w:t xml:space="preserve"> et al., 2024; FPDN</w:t>
      </w:r>
      <w:r w:rsidR="2AEF6CF7">
        <w:t>A</w:t>
      </w:r>
      <w:r>
        <w:t xml:space="preserve">, 2016; Gilroy et al., 2023; </w:t>
      </w:r>
      <w:r w:rsidRPr="006F22A6">
        <w:t xml:space="preserve">Veli-Gold et al., </w:t>
      </w:r>
      <w:r>
        <w:t>2023</w:t>
      </w:r>
      <w:r w:rsidRPr="006F22A6">
        <w:t>). This is a design problem, not a motivation problem.</w:t>
      </w:r>
    </w:p>
    <w:p w14:paraId="60334F55" w14:textId="661278DA" w:rsidR="00096104" w:rsidRPr="00096104" w:rsidRDefault="71AF087C" w:rsidP="00423EB2">
      <w:pPr>
        <w:widowControl/>
      </w:pPr>
      <w:r>
        <w:t xml:space="preserve">In contrast, services that </w:t>
      </w:r>
      <w:r w:rsidRPr="006F22A6">
        <w:t>adapt</w:t>
      </w:r>
      <w:r>
        <w:t xml:space="preserve"> delivery methods, participation requirements and support pathways to local and individual circumstances </w:t>
      </w:r>
      <w:r w:rsidRPr="006F22A6">
        <w:t>a</w:t>
      </w:r>
      <w:r>
        <w:t>re more accessible and more likely to maintain ongoing engagement. The evidence show</w:t>
      </w:r>
      <w:r w:rsidRPr="006F22A6">
        <w:t>s</w:t>
      </w:r>
      <w:r>
        <w:t xml:space="preserve"> that flexibility </w:t>
      </w:r>
      <w:r w:rsidRPr="006F22A6">
        <w:t>is</w:t>
      </w:r>
      <w:r>
        <w:t xml:space="preserve"> not about lowering expectations, but about designing services that better reflect the realities of peoples’ lives. This include</w:t>
      </w:r>
      <w:r w:rsidRPr="006F22A6">
        <w:t>s</w:t>
      </w:r>
      <w:r>
        <w:t xml:space="preserve"> adapting how and when support </w:t>
      </w:r>
      <w:r w:rsidRPr="006F22A6">
        <w:t>is</w:t>
      </w:r>
      <w:r>
        <w:t xml:space="preserve"> provided, recognising shared decision-making, and allowing employment pathways to change over time in response to people’s circumstances and goals (</w:t>
      </w:r>
      <w:r w:rsidRPr="006F22A6">
        <w:t xml:space="preserve">Avery, 2018; </w:t>
      </w:r>
      <w:r>
        <w:t xml:space="preserve">Cooms &amp; Muurlink, 2025; </w:t>
      </w:r>
      <w:r w:rsidRPr="006F22A6">
        <w:t>Cooms</w:t>
      </w:r>
      <w:r>
        <w:t xml:space="preserve"> et al., </w:t>
      </w:r>
      <w:r w:rsidRPr="006F22A6">
        <w:t xml:space="preserve">2025; </w:t>
      </w:r>
      <w:proofErr w:type="spellStart"/>
      <w:r w:rsidRPr="006F22A6">
        <w:t>D’Aprano</w:t>
      </w:r>
      <w:proofErr w:type="spellEnd"/>
      <w:r w:rsidRPr="006F22A6">
        <w:t xml:space="preserve"> et al., </w:t>
      </w:r>
      <w:r>
        <w:t>2024; Disability Royal Commission, 2023; FPDN</w:t>
      </w:r>
      <w:r w:rsidR="64BF6B91">
        <w:t>A</w:t>
      </w:r>
      <w:r>
        <w:t>, 2016; Gilroy et al., 2013; Productivity Commission, 2011</w:t>
      </w:r>
      <w:r w:rsidRPr="006F22A6">
        <w:t>; Veli-Gold et al., 2023). For education services, the same principle applies to attendance, assessment, transition and support arrangements.</w:t>
      </w:r>
    </w:p>
    <w:p w14:paraId="39206378" w14:textId="007F3CC1" w:rsidR="00096104" w:rsidRDefault="0ED0556F" w:rsidP="00423EB2">
      <w:pPr>
        <w:pStyle w:val="Heading3"/>
        <w:widowControl/>
        <w:spacing w:line="360" w:lineRule="atLeast"/>
      </w:pPr>
      <w:bookmarkStart w:id="33" w:name="_Toc231482945"/>
      <w:r>
        <w:t>Co-design and sha</w:t>
      </w:r>
      <w:r w:rsidR="603A8C21">
        <w:t>r</w:t>
      </w:r>
      <w:r>
        <w:t>ed decision-making</w:t>
      </w:r>
      <w:bookmarkEnd w:id="33"/>
      <w:r>
        <w:t xml:space="preserve"> </w:t>
      </w:r>
    </w:p>
    <w:p w14:paraId="763759A9" w14:textId="77777777" w:rsidR="008636FE" w:rsidRDefault="603A8C21" w:rsidP="00423EB2">
      <w:pPr>
        <w:widowControl/>
      </w:pPr>
      <w:r>
        <w:t>The evidence consistently show</w:t>
      </w:r>
      <w:r w:rsidRPr="006F22A6">
        <w:t>s</w:t>
      </w:r>
      <w:r>
        <w:t xml:space="preserve"> that services designed with Aboriginal and Torres Strait Islander peoples are more relevant, more culturally appropriate and more trusted than services designed externally without community involvement (AHRC, 2019; FPDN</w:t>
      </w:r>
      <w:r w:rsidR="7A14D945">
        <w:t>A</w:t>
      </w:r>
      <w:r>
        <w:t>, 2016</w:t>
      </w:r>
      <w:r w:rsidRPr="006F22A6">
        <w:t>; NIAA, 2020</w:t>
      </w:r>
      <w:r>
        <w:t xml:space="preserve">). Co-design approaches that involve communities, Aboriginal and Torres Strait Islander peoples with disability, and Indigenous organisations in decision-making </w:t>
      </w:r>
      <w:r w:rsidRPr="006F22A6">
        <w:t>a</w:t>
      </w:r>
      <w:r>
        <w:t>re more likely to produce services that reflect local Knowledges, priorities and understandings of disability, work and participation (</w:t>
      </w:r>
      <w:r w:rsidRPr="006F22A6">
        <w:t xml:space="preserve">Avery, 2018; </w:t>
      </w:r>
      <w:r>
        <w:t xml:space="preserve">Cooms &amp; </w:t>
      </w:r>
      <w:proofErr w:type="spellStart"/>
      <w:r>
        <w:t>Muurlink</w:t>
      </w:r>
      <w:proofErr w:type="spellEnd"/>
      <w:r>
        <w:t xml:space="preserve">, 2025; </w:t>
      </w:r>
      <w:proofErr w:type="spellStart"/>
      <w:r>
        <w:t>D</w:t>
      </w:r>
      <w:r w:rsidRPr="006F22A6">
        <w:t>’</w:t>
      </w:r>
      <w:r>
        <w:t>Aprano</w:t>
      </w:r>
      <w:proofErr w:type="spellEnd"/>
      <w:r>
        <w:t xml:space="preserve"> et al., 2024; FPDN</w:t>
      </w:r>
      <w:r w:rsidR="5B9D7116">
        <w:t>A</w:t>
      </w:r>
      <w:r>
        <w:t xml:space="preserve">, 2016; </w:t>
      </w:r>
      <w:proofErr w:type="spellStart"/>
      <w:r>
        <w:t>Lowitja</w:t>
      </w:r>
      <w:proofErr w:type="spellEnd"/>
      <w:r>
        <w:t xml:space="preserve"> Institute, 2017</w:t>
      </w:r>
      <w:r w:rsidRPr="006F22A6">
        <w:t xml:space="preserve">; Talbot et al., 2025). </w:t>
      </w:r>
      <w:r w:rsidR="00675418">
        <w:t>Co-</w:t>
      </w:r>
      <w:r w:rsidR="00675418">
        <w:lastRenderedPageBreak/>
        <w:t xml:space="preserve">design is most </w:t>
      </w:r>
      <w:r w:rsidRPr="006F22A6">
        <w:t xml:space="preserve">effective </w:t>
      </w:r>
      <w:r w:rsidR="00675418">
        <w:t>when</w:t>
      </w:r>
      <w:r w:rsidRPr="006F22A6">
        <w:t xml:space="preserve"> it </w:t>
      </w:r>
      <w:r w:rsidR="00675418">
        <w:t>involves shared</w:t>
      </w:r>
      <w:r w:rsidRPr="006F22A6">
        <w:t xml:space="preserve"> decision-making, </w:t>
      </w:r>
      <w:r w:rsidR="000D4AFD" w:rsidRPr="000D4AFD">
        <w:t xml:space="preserve">rather than </w:t>
      </w:r>
      <w:r w:rsidRPr="006F22A6">
        <w:t xml:space="preserve">only </w:t>
      </w:r>
      <w:r w:rsidR="00675418">
        <w:t>gathering</w:t>
      </w:r>
      <w:r w:rsidRPr="006F22A6">
        <w:t xml:space="preserve"> feedback.</w:t>
      </w:r>
    </w:p>
    <w:p w14:paraId="1877A352" w14:textId="6178E6B3" w:rsidR="00BD0566" w:rsidRPr="00BD0566" w:rsidRDefault="603A8C21" w:rsidP="00423EB2">
      <w:pPr>
        <w:widowControl/>
      </w:pPr>
      <w:r>
        <w:t xml:space="preserve">Across the evidence, effective co-design </w:t>
      </w:r>
      <w:r w:rsidRPr="006F22A6">
        <w:t>is</w:t>
      </w:r>
      <w:r>
        <w:t xml:space="preserve"> described as an ongoing process rather than a one-off consultation or feedback activity (AIATSIS, 2020; Rigney, 1999). Services </w:t>
      </w:r>
      <w:r w:rsidRPr="006F22A6">
        <w:t>a</w:t>
      </w:r>
      <w:r>
        <w:t xml:space="preserve">re more responsive, trusted and effective when Aboriginal and Torres Strait Islander peoples </w:t>
      </w:r>
      <w:r w:rsidRPr="006F22A6">
        <w:t>a</w:t>
      </w:r>
      <w:r>
        <w:t xml:space="preserve">re involved throughout the design, delivery and ongoing improvement of programs and supports (AHRC, 2019; </w:t>
      </w:r>
      <w:r w:rsidRPr="006F22A6">
        <w:t xml:space="preserve">NIAA, 2020; </w:t>
      </w:r>
      <w:r>
        <w:t>Rigney, 1999). In contrast, services developed without genuine shared decision-making</w:t>
      </w:r>
      <w:r w:rsidRPr="006F22A6">
        <w:t xml:space="preserve"> are</w:t>
      </w:r>
      <w:r>
        <w:t xml:space="preserve"> more likely to be experienced as externally imposed, culturally disconnected or poorly aligned with community needs and priorities</w:t>
      </w:r>
      <w:r w:rsidRPr="006F22A6">
        <w:t>, contributing to</w:t>
      </w:r>
      <w:r>
        <w:t xml:space="preserve"> lower engagement, reduced trust and lower uptake </w:t>
      </w:r>
      <w:r w:rsidRPr="006F22A6">
        <w:t xml:space="preserve">(AHRC, 2019; FPDNA, 2016; </w:t>
      </w:r>
      <w:r>
        <w:t>Gilroy et al., 2023; Talbot et al., 2025</w:t>
      </w:r>
      <w:r w:rsidRPr="006F22A6">
        <w:t>). This makes shared authority a quality criterion for policy design.</w:t>
      </w:r>
    </w:p>
    <w:p w14:paraId="4804A946" w14:textId="1F1E7329" w:rsidR="007C084C" w:rsidRDefault="36E77089" w:rsidP="00423EB2">
      <w:pPr>
        <w:pStyle w:val="Heading3"/>
        <w:widowControl/>
        <w:spacing w:line="360" w:lineRule="atLeast"/>
      </w:pPr>
      <w:bookmarkStart w:id="34" w:name="_Toc231482946"/>
      <w:r>
        <w:t>Workforce capability and system conditions</w:t>
      </w:r>
      <w:bookmarkEnd w:id="34"/>
    </w:p>
    <w:p w14:paraId="53B759DC" w14:textId="3DCD6BD3" w:rsidR="004E737B" w:rsidRPr="004E737B" w:rsidRDefault="052727D9" w:rsidP="00423EB2">
      <w:pPr>
        <w:widowControl/>
      </w:pPr>
      <w:r>
        <w:t>Workforce capability is identified as a system-level condition shaping the effectiveness of employment services. The evidence shows that limited cultural capability, high workforce turnover and inadequate organisational support can undermine service quality and continuity (</w:t>
      </w:r>
      <w:r w:rsidRPr="006F22A6">
        <w:t xml:space="preserve">ANAO, 2017; </w:t>
      </w:r>
      <w:r>
        <w:t>Gilroy et al., 2017; Talbot et al., 2025). These issues affect both mainstream and Indigenous service settings, particularly in regional, rural and remote contexts where workforce shortages and service instability are more pronounced (</w:t>
      </w:r>
      <w:r w:rsidRPr="006F22A6">
        <w:t xml:space="preserve">AIHW, 2023; </w:t>
      </w:r>
      <w:r>
        <w:t>Gilroy et al., 2023; Talbot et al., 2025; Veli-Gold et al., 2023).</w:t>
      </w:r>
      <w:r w:rsidRPr="006F22A6">
        <w:t xml:space="preserve"> This means workforce capability must be treated as a policy and funding issue, not simply an individual staff training issue.</w:t>
      </w:r>
    </w:p>
    <w:p w14:paraId="45CF8067" w14:textId="700498F1" w:rsidR="004E737B" w:rsidRPr="004E737B" w:rsidRDefault="052727D9" w:rsidP="00423EB2">
      <w:pPr>
        <w:widowControl/>
      </w:pPr>
      <w:r>
        <w:t>The evidence also indicates that workforce capability is shaped by organisational structures, funding arrangements, supervision, training, and the extent to which Indigenous roles and Knowledges are recognised and respected within services (Cooms &amp; Okimoto, 2025; Mohamed, 2021</w:t>
      </w:r>
      <w:r w:rsidRPr="006F22A6">
        <w:t>; NACCHO, 2021</w:t>
      </w:r>
      <w:r>
        <w:t xml:space="preserve">). Services that </w:t>
      </w:r>
      <w:r w:rsidRPr="006F22A6">
        <w:t>resource</w:t>
      </w:r>
      <w:r>
        <w:t xml:space="preserve"> cultural supervision, stable employment conditions, trauma-informed practice and Indigenous leadership positions are better positioned to deliver culturally safe, relational and responsive support (</w:t>
      </w:r>
      <w:r w:rsidR="3B61B582" w:rsidRPr="5C99C6EE">
        <w:rPr>
          <w:rFonts w:eastAsia="Montserrat" w:cs="Montserrat"/>
        </w:rPr>
        <w:t>Atkinson, 20</w:t>
      </w:r>
      <w:r w:rsidRPr="006F22A6">
        <w:t>0</w:t>
      </w:r>
      <w:r w:rsidR="3B61B582" w:rsidRPr="5C99C6EE">
        <w:rPr>
          <w:rFonts w:eastAsia="Montserrat" w:cs="Montserrat"/>
        </w:rPr>
        <w:t xml:space="preserve">2; </w:t>
      </w:r>
      <w:proofErr w:type="spellStart"/>
      <w:r w:rsidR="3B61B582" w:rsidRPr="5C99C6EE">
        <w:rPr>
          <w:rFonts w:eastAsia="Montserrat" w:cs="Montserrat"/>
        </w:rPr>
        <w:t>Lowitja</w:t>
      </w:r>
      <w:proofErr w:type="spellEnd"/>
      <w:r w:rsidR="3B61B582" w:rsidRPr="5C99C6EE">
        <w:rPr>
          <w:rFonts w:eastAsia="Montserrat" w:cs="Montserrat"/>
        </w:rPr>
        <w:t xml:space="preserve"> Institute, 2017; Menzies, 2019; Talbot et al., 2025).</w:t>
      </w:r>
      <w:r>
        <w:t xml:space="preserve"> Cooms and Okimoto (2025) further highlight that trauma-informed approaches are important because many Aboriginal and Torres Strait Islander peoples with disability engage with employment and disability services while navigating the ongoing impacts of colonisation, racism, exclusion and systemic harm. Workforce capability therefore includes the ability to build trust, safety and relational accountability rather than relying on punitive or compliance-focused </w:t>
      </w:r>
      <w:r>
        <w:lastRenderedPageBreak/>
        <w:t>approaches. However, the evidence base relating specifically to Indigenous disability leadership within employment systems remains limited, highlighting an important gap in research, workforce development and policy attention (Cooms &amp; Muurlink, 2025; FPDN</w:t>
      </w:r>
      <w:r w:rsidR="0AA21596">
        <w:t>A</w:t>
      </w:r>
      <w:r>
        <w:t>, 2016; Gilroy et al., 2013</w:t>
      </w:r>
      <w:r w:rsidRPr="006F22A6">
        <w:t>; Talbot et al., 2025</w:t>
      </w:r>
      <w:r>
        <w:t>).</w:t>
      </w:r>
    </w:p>
    <w:p w14:paraId="75374125" w14:textId="4DF90B8B" w:rsidR="00910493" w:rsidRDefault="10F5C96A" w:rsidP="00423EB2">
      <w:pPr>
        <w:pStyle w:val="Heading3"/>
        <w:widowControl/>
        <w:spacing w:line="360" w:lineRule="atLeast"/>
      </w:pPr>
      <w:bookmarkStart w:id="35" w:name="_Toc231482947"/>
      <w:r>
        <w:t>Identifying and addressing racism</w:t>
      </w:r>
      <w:bookmarkEnd w:id="35"/>
      <w:r>
        <w:t xml:space="preserve"> </w:t>
      </w:r>
    </w:p>
    <w:p w14:paraId="540F89AA" w14:textId="77777777" w:rsidR="001D4AB5" w:rsidRDefault="012ECC9F" w:rsidP="00423EB2">
      <w:pPr>
        <w:widowControl/>
      </w:pPr>
      <w:r>
        <w:t>The evidence identifie</w:t>
      </w:r>
      <w:r w:rsidRPr="006F22A6">
        <w:t>s</w:t>
      </w:r>
      <w:r>
        <w:t xml:space="preserve"> racism as a major barrier affecting access to, and experiences within, employment and disability services for Aboriginal and Torres Strait Islander peoples with disability (Avery, 2018; Paradies, 2016; Sherwood, 2013). </w:t>
      </w:r>
      <w:r w:rsidRPr="006F22A6">
        <w:t>Racism</w:t>
      </w:r>
      <w:r>
        <w:t xml:space="preserve"> occurs not only through obvious discrimination, but also through everyday assumptions, organisational practices and interactions that misunderstand cultural contexts, reinforce negative stereotypes or dismiss peoples’ lived experiences (</w:t>
      </w:r>
      <w:proofErr w:type="spellStart"/>
      <w:r>
        <w:t>D’Aprano</w:t>
      </w:r>
      <w:proofErr w:type="spellEnd"/>
      <w:r>
        <w:t xml:space="preserve"> et al., 2024; Gilroy et al., 2023).</w:t>
      </w:r>
      <w:r w:rsidRPr="006F22A6">
        <w:t xml:space="preserve"> </w:t>
      </w:r>
      <w:r w:rsidR="006535B5">
        <w:t xml:space="preserve">Racism is understood as </w:t>
      </w:r>
      <w:r w:rsidRPr="006F22A6">
        <w:t>a service quality and accountability issue</w:t>
      </w:r>
      <w:r w:rsidR="005C4660" w:rsidRPr="005C4660">
        <w:t xml:space="preserve">, rather than </w:t>
      </w:r>
      <w:r w:rsidR="006535B5">
        <w:t xml:space="preserve">something </w:t>
      </w:r>
      <w:r w:rsidR="005C4660" w:rsidRPr="005C4660">
        <w:t xml:space="preserve">external </w:t>
      </w:r>
      <w:r w:rsidR="006535B5">
        <w:t>to</w:t>
      </w:r>
      <w:r w:rsidR="005C4660" w:rsidRPr="005C4660">
        <w:t xml:space="preserve"> service delivery</w:t>
      </w:r>
      <w:r w:rsidRPr="006F22A6">
        <w:t>.</w:t>
      </w:r>
    </w:p>
    <w:p w14:paraId="5D5161C0" w14:textId="7B1C3795" w:rsidR="000A6BFB" w:rsidRPr="000A6BFB" w:rsidRDefault="012ECC9F" w:rsidP="00423EB2">
      <w:pPr>
        <w:widowControl/>
      </w:pPr>
      <w:r>
        <w:t>Across the literature, seemingly small interactions such as stereotyping, dismissive language, or treating cultural and family responsibilities as barriers</w:t>
      </w:r>
      <w:r w:rsidRPr="006F22A6">
        <w:t xml:space="preserve"> can</w:t>
      </w:r>
      <w:r>
        <w:t xml:space="preserve"> damage trust and contribute to disengagement from services (Avery, 2018; Temple et al., 2020). When these experiences </w:t>
      </w:r>
      <w:r w:rsidRPr="006F22A6">
        <w:t>a</w:t>
      </w:r>
      <w:r>
        <w:t xml:space="preserve">re not recognised or addressed, services </w:t>
      </w:r>
      <w:r w:rsidRPr="006F22A6">
        <w:t>a</w:t>
      </w:r>
      <w:r>
        <w:t xml:space="preserve">re more likely to be experienced as unsafe, disrespectful or untrustworthy, making ongoing participation less likely (Paradies, 2016; Sherwood, 2013). </w:t>
      </w:r>
      <w:r w:rsidRPr="006F22A6">
        <w:t xml:space="preserve">Effective </w:t>
      </w:r>
      <w:r>
        <w:t>services actively recognise and respond to racism as part of everyday practice</w:t>
      </w:r>
      <w:r w:rsidRPr="006F22A6">
        <w:t>, including</w:t>
      </w:r>
      <w:r>
        <w:t xml:space="preserve"> staff </w:t>
      </w:r>
      <w:r w:rsidRPr="006F22A6">
        <w:t>reflection</w:t>
      </w:r>
      <w:r>
        <w:t xml:space="preserve"> on assumptions, </w:t>
      </w:r>
      <w:r w:rsidRPr="006F22A6">
        <w:t>respectful responses</w:t>
      </w:r>
      <w:r>
        <w:t xml:space="preserve"> in interactions, and </w:t>
      </w:r>
      <w:r w:rsidRPr="006F22A6">
        <w:t>organisational processes for addressing</w:t>
      </w:r>
      <w:r>
        <w:t xml:space="preserve"> harm or misunderstanding (AIATSIS, 2020; </w:t>
      </w:r>
      <w:proofErr w:type="spellStart"/>
      <w:r>
        <w:t>Lowitja</w:t>
      </w:r>
      <w:proofErr w:type="spellEnd"/>
      <w:r>
        <w:t xml:space="preserve"> Institute, 2020). </w:t>
      </w:r>
      <w:r w:rsidRPr="006F22A6">
        <w:t>The</w:t>
      </w:r>
      <w:r>
        <w:t xml:space="preserve"> findings </w:t>
      </w:r>
      <w:r w:rsidRPr="006F22A6">
        <w:t>indicate</w:t>
      </w:r>
      <w:r>
        <w:t xml:space="preserve"> that addressing racism is a core part of effective employment and disability support</w:t>
      </w:r>
      <w:r w:rsidRPr="006F22A6">
        <w:t xml:space="preserve"> because service responses</w:t>
      </w:r>
      <w:r>
        <w:t xml:space="preserve"> to racism directly shape whether trust and engagement are strengthened or undermined.</w:t>
      </w:r>
    </w:p>
    <w:p w14:paraId="0FFC4837" w14:textId="77777777" w:rsidR="00EA3516" w:rsidRDefault="7EFF216F" w:rsidP="00423EB2">
      <w:pPr>
        <w:pStyle w:val="Heading2"/>
        <w:spacing w:line="360" w:lineRule="atLeast"/>
        <w:jc w:val="left"/>
      </w:pPr>
      <w:bookmarkStart w:id="36" w:name="_Toc231482948"/>
      <w:bookmarkStart w:id="37" w:name="_Toc228284899"/>
      <w:r>
        <w:t>Positioning, themes and use of scenarios</w:t>
      </w:r>
      <w:bookmarkEnd w:id="36"/>
    </w:p>
    <w:p w14:paraId="7AD6A545" w14:textId="7A763BCD" w:rsidR="00BF5F14" w:rsidRPr="00BF5F14" w:rsidRDefault="00BF5F14" w:rsidP="00423EB2">
      <w:pPr>
        <w:widowControl/>
      </w:pPr>
      <w:bookmarkStart w:id="38" w:name="_Toc2124298040"/>
      <w:bookmarkStart w:id="39" w:name="_Toc227336461"/>
      <w:r>
        <w:t>The analysis drew on the published and grey literature identified through the review process, as well as the Indigenous Knowledges, sector experience and community-based understandings held within the Indigenous Business Hub. Cooms, Leroy-Dyer and Beetson are cultural Knowledge holders within their communities and have experience working across universities, Aboriginal community-controlled organisations and Aboriginal-led sectors. This positioning is important</w:t>
      </w:r>
      <w:r w:rsidR="4C62AE4E">
        <w:t xml:space="preserve"> </w:t>
      </w:r>
      <w:r>
        <w:t xml:space="preserve">because relevant evidence is not always located in academic databases. Aboriginal and Torres Strait Islander peoples often share </w:t>
      </w:r>
      <w:r w:rsidRPr="006F22A6">
        <w:t>K</w:t>
      </w:r>
      <w:r>
        <w:t>nowledge</w:t>
      </w:r>
      <w:r w:rsidR="068EE4B7">
        <w:t>s</w:t>
      </w:r>
      <w:r>
        <w:t xml:space="preserve"> through community reports, sector publications, policy </w:t>
      </w:r>
      <w:r>
        <w:lastRenderedPageBreak/>
        <w:t>documents, practice-based resources and community-controlled spaces that may not be captured through traditional academic searches</w:t>
      </w:r>
      <w:r w:rsidRPr="006F22A6">
        <w:t xml:space="preserve"> (AIATSIS, 2020; </w:t>
      </w:r>
      <w:proofErr w:type="spellStart"/>
      <w:r w:rsidRPr="006F22A6">
        <w:t>Lowitja</w:t>
      </w:r>
      <w:proofErr w:type="spellEnd"/>
      <w:r w:rsidRPr="006F22A6">
        <w:t xml:space="preserve"> Institute, 2020; Smith, 2021).</w:t>
      </w:r>
      <w:r w:rsidR="008B46BE">
        <w:t xml:space="preserve"> </w:t>
      </w:r>
      <w:r>
        <w:t>Across the evidence, seven connected themes were identified:</w:t>
      </w:r>
    </w:p>
    <w:p w14:paraId="2B9DC01F" w14:textId="5ED1D450" w:rsidR="00BF5F14" w:rsidRPr="00BF5F14" w:rsidRDefault="00BF5F14" w:rsidP="003D0DFD">
      <w:pPr>
        <w:pStyle w:val="ListBullet"/>
      </w:pPr>
      <w:r>
        <w:t xml:space="preserve">Indigenous-led and community-controlled </w:t>
      </w:r>
      <w:proofErr w:type="gramStart"/>
      <w:r>
        <w:t xml:space="preserve">approaches </w:t>
      </w:r>
      <w:r w:rsidR="00E046E6">
        <w:t>.</w:t>
      </w:r>
      <w:proofErr w:type="gramEnd"/>
    </w:p>
    <w:p w14:paraId="5DE03BA7" w14:textId="26A32B88" w:rsidR="00BF5F14" w:rsidRPr="00BF5F14" w:rsidRDefault="00BF5F14" w:rsidP="003D0DFD">
      <w:pPr>
        <w:pStyle w:val="ListBullet"/>
      </w:pPr>
      <w:r>
        <w:t>Cultural safety as essential for engagement</w:t>
      </w:r>
      <w:r w:rsidR="00E046E6">
        <w:t>.</w:t>
      </w:r>
    </w:p>
    <w:p w14:paraId="7E5D6010" w14:textId="5CC9D9DF" w:rsidR="00BF5F14" w:rsidRPr="00BF5F14" w:rsidRDefault="00BF5F14" w:rsidP="003D0DFD">
      <w:pPr>
        <w:pStyle w:val="ListBullet"/>
      </w:pPr>
      <w:r>
        <w:t>Relational and trust-based service delivery</w:t>
      </w:r>
    </w:p>
    <w:p w14:paraId="5F3B4351" w14:textId="1F1259E3" w:rsidR="00BF5F14" w:rsidRPr="00BF5F14" w:rsidRDefault="00BF5F14" w:rsidP="003D0DFD">
      <w:pPr>
        <w:pStyle w:val="ListBullet"/>
      </w:pPr>
      <w:r>
        <w:t>Flexible and responsive service design</w:t>
      </w:r>
      <w:r w:rsidR="00E046E6">
        <w:t>.</w:t>
      </w:r>
    </w:p>
    <w:p w14:paraId="7F925DDA" w14:textId="1E0F25D2" w:rsidR="00BF5F14" w:rsidRPr="00BF5F14" w:rsidRDefault="00BF5F14" w:rsidP="003D0DFD">
      <w:pPr>
        <w:pStyle w:val="ListBullet"/>
      </w:pPr>
      <w:r>
        <w:t>Co-design and shared decision-making</w:t>
      </w:r>
      <w:r w:rsidR="00E046E6">
        <w:t>.</w:t>
      </w:r>
      <w:r>
        <w:t xml:space="preserve"> </w:t>
      </w:r>
    </w:p>
    <w:p w14:paraId="2D2775D3" w14:textId="462AA049" w:rsidR="00BF5F14" w:rsidRPr="00BF5F14" w:rsidRDefault="00BF5F14" w:rsidP="003D0DFD">
      <w:pPr>
        <w:pStyle w:val="ListBullet"/>
      </w:pPr>
      <w:r>
        <w:t>Workforce capability and system conditions</w:t>
      </w:r>
      <w:r w:rsidR="00E046E6">
        <w:t>.</w:t>
      </w:r>
      <w:r>
        <w:t xml:space="preserve"> </w:t>
      </w:r>
    </w:p>
    <w:p w14:paraId="5DDFDC6B" w14:textId="6C53F6CB" w:rsidR="00BF5F14" w:rsidRPr="00BF5F14" w:rsidRDefault="00BF5F14" w:rsidP="003D0DFD">
      <w:pPr>
        <w:pStyle w:val="ListBullet"/>
      </w:pPr>
      <w:r>
        <w:t>Identifying and addressing racism</w:t>
      </w:r>
      <w:r w:rsidR="00E046E6">
        <w:t>.</w:t>
      </w:r>
      <w:r>
        <w:t xml:space="preserve"> </w:t>
      </w:r>
    </w:p>
    <w:p w14:paraId="7017DA9F" w14:textId="363B1F10" w:rsidR="00BF5F14" w:rsidRPr="00BF5F14" w:rsidRDefault="00BF5F14" w:rsidP="00423EB2">
      <w:pPr>
        <w:widowControl/>
      </w:pPr>
      <w:r>
        <w:t xml:space="preserve">These themes are closely connected and often overlap. Effective practice </w:t>
      </w:r>
      <w:r w:rsidRPr="006F22A6">
        <w:t>is</w:t>
      </w:r>
      <w:r>
        <w:t xml:space="preserve"> not linked to one single program, model or intervention. Instead, positive outcomes </w:t>
      </w:r>
      <w:r w:rsidRPr="006F22A6">
        <w:t>a</w:t>
      </w:r>
      <w:r>
        <w:t>re more likely when several conditions work together, including Indigenous leadership, cultural safety, strong relationships, flexibility, shared decision-making, capable workforces and active responses to racism</w:t>
      </w:r>
      <w:r w:rsidRPr="006F22A6">
        <w:t xml:space="preserve"> (AIATSIS, 2020; Cooms &amp; </w:t>
      </w:r>
      <w:proofErr w:type="spellStart"/>
      <w:r w:rsidRPr="006F22A6">
        <w:t>Muurlink</w:t>
      </w:r>
      <w:proofErr w:type="spellEnd"/>
      <w:r w:rsidRPr="006F22A6">
        <w:t xml:space="preserve">, 2025; </w:t>
      </w:r>
      <w:proofErr w:type="spellStart"/>
      <w:r w:rsidRPr="006F22A6">
        <w:t>Lowitja</w:t>
      </w:r>
      <w:proofErr w:type="spellEnd"/>
      <w:r w:rsidRPr="006F22A6">
        <w:t xml:space="preserve"> Institute, 2020; NACCHO, 2021).</w:t>
      </w:r>
      <w:r>
        <w:t xml:space="preserve"> When these conditions </w:t>
      </w:r>
      <w:r w:rsidRPr="006F22A6">
        <w:t>a</w:t>
      </w:r>
      <w:r>
        <w:t xml:space="preserve">re present, employment services and workplace pathways </w:t>
      </w:r>
      <w:r w:rsidRPr="006F22A6">
        <w:t>a</w:t>
      </w:r>
      <w:r>
        <w:t xml:space="preserve">re more likely to be trusted, accessible and sustainable. When they </w:t>
      </w:r>
      <w:r w:rsidRPr="006F22A6">
        <w:t>a</w:t>
      </w:r>
      <w:r>
        <w:t xml:space="preserve">re absent, services </w:t>
      </w:r>
      <w:r w:rsidRPr="006F22A6">
        <w:t>a</w:t>
      </w:r>
      <w:r>
        <w:t>re more often experienced as unsafe, inaccessible, irrelevant or overly focused on compliance.</w:t>
      </w:r>
      <w:r w:rsidRPr="006F22A6">
        <w:t xml:space="preserve"> This evaluative structure is useful for government policy because it identifies the conditions that need to be funded and governed together</w:t>
      </w:r>
      <w:r>
        <w:t>.</w:t>
      </w:r>
    </w:p>
    <w:p w14:paraId="0BE2BA85" w14:textId="692C7104" w:rsidR="00BF5F14" w:rsidRPr="00BF5F14" w:rsidRDefault="00BF5F14" w:rsidP="00423EB2">
      <w:pPr>
        <w:widowControl/>
      </w:pPr>
      <w:r>
        <w:t>The scenarios included throughout the Findings section are part of the analysis, rather than simply examples or case studies. They show how common patterns identified across the evidence can play out in real-world situations. For each theme, the first scenario demonstrates how current, ineffective or culturally unsafe practices can create or reinforce barriers to employment and participation. The second scenario shows how culturally safe, relational and responsive approaches can support stronger engagement and better outcomes. Together, the scenarios illustrate how everyday interactions, systems and service responses can either limit or support employment pathways for Aboriginal and Torres Strait Islander peoples with disability</w:t>
      </w:r>
      <w:r w:rsidRPr="006F22A6">
        <w:t xml:space="preserve"> (Avery, 2018; Temple et al., 2020).</w:t>
      </w:r>
      <w:r w:rsidR="008B46BE">
        <w:t xml:space="preserve"> </w:t>
      </w:r>
      <w:r>
        <w:t xml:space="preserve">Additional references identified after the main screening process were used to strengthen or provide context for particular findings. These sources were not included in the core evidence dataset unless they were added </w:t>
      </w:r>
      <w:r>
        <w:lastRenderedPageBreak/>
        <w:t>to the evidence spreadsheet and assessed using the same coding and review process</w:t>
      </w:r>
      <w:r w:rsidRPr="006F22A6">
        <w:t>, maintaining</w:t>
      </w:r>
      <w:r>
        <w:t xml:space="preserve"> transparency and consistency across the analysis.</w:t>
      </w:r>
    </w:p>
    <w:p w14:paraId="141A46C1" w14:textId="4A9529EC" w:rsidR="00BF5F14" w:rsidRPr="00BF5F14" w:rsidRDefault="00BF5F14" w:rsidP="00423EB2">
      <w:pPr>
        <w:widowControl/>
      </w:pPr>
      <w:r>
        <w:t>Each theme in the following section describes a pattern identified across the core sources. The synthesis then reflects on what that theme looks like in practice, drawing on examples from the evidence and using two scenarios to show how the same issue can be enacted differently. The scenarios keep the analysis connected to relational and lived contexts, consistent with yarning, conversational methods and Indigenous Storywork</w:t>
      </w:r>
      <w:r w:rsidRPr="006F22A6">
        <w:t xml:space="preserve"> (Cooms et al., 2024; Martin, 2008; Smith, 2021).</w:t>
      </w:r>
    </w:p>
    <w:p w14:paraId="13E7BB36" w14:textId="25DEE621" w:rsidR="009374AE" w:rsidRDefault="1B96D164" w:rsidP="00423EB2">
      <w:pPr>
        <w:pStyle w:val="Heading3"/>
        <w:widowControl/>
        <w:spacing w:line="360" w:lineRule="atLeast"/>
        <w:rPr>
          <w:sz w:val="24"/>
        </w:rPr>
      </w:pPr>
      <w:bookmarkStart w:id="40" w:name="_Toc231482949"/>
      <w:r w:rsidRPr="00A517DB">
        <w:t xml:space="preserve">Culturally </w:t>
      </w:r>
      <w:r w:rsidRPr="006F22A6">
        <w:t>g</w:t>
      </w:r>
      <w:r w:rsidRPr="00A517DB">
        <w:t>rounded and Indigenous-led approaches</w:t>
      </w:r>
      <w:bookmarkEnd w:id="38"/>
      <w:bookmarkEnd w:id="39"/>
      <w:bookmarkEnd w:id="40"/>
    </w:p>
    <w:p w14:paraId="048591BF" w14:textId="25067B67" w:rsidR="00E13E5A" w:rsidRDefault="751B318B" w:rsidP="00423EB2">
      <w:pPr>
        <w:pStyle w:val="Heading4"/>
        <w:spacing w:line="360" w:lineRule="atLeast"/>
      </w:pPr>
      <w:r>
        <w:t xml:space="preserve">In </w:t>
      </w:r>
      <w:r w:rsidR="770ABA74">
        <w:t>p</w:t>
      </w:r>
      <w:r w:rsidR="7228D16F">
        <w:t>r</w:t>
      </w:r>
      <w:r w:rsidR="770ABA74">
        <w:t>actice</w:t>
      </w:r>
      <w:r>
        <w:t xml:space="preserve"> </w:t>
      </w:r>
    </w:p>
    <w:p w14:paraId="6D9C622A" w14:textId="5B0D9396" w:rsidR="00FA4957" w:rsidRPr="005F7FA8" w:rsidRDefault="01D6F8A1" w:rsidP="003D0DFD">
      <w:pPr>
        <w:pStyle w:val="ListBullet"/>
      </w:pPr>
      <w:r>
        <w:t>Employment services delivered through Aboriginal Community Controlled Organisations (ACCOs) or Indigenous-owned enterprises</w:t>
      </w:r>
      <w:r w:rsidR="00DB5B4F">
        <w:t>.</w:t>
      </w:r>
    </w:p>
    <w:p w14:paraId="236EE9CF" w14:textId="32E3DA34" w:rsidR="00FA4957" w:rsidRPr="005F7FA8" w:rsidRDefault="01D6F8A1" w:rsidP="003D0DFD">
      <w:pPr>
        <w:pStyle w:val="ListBullet"/>
      </w:pPr>
      <w:r>
        <w:t>Programs that embed cultural Knowledges, community, and collective responsibility</w:t>
      </w:r>
      <w:r w:rsidR="00DB5B4F">
        <w:t>.</w:t>
      </w:r>
    </w:p>
    <w:p w14:paraId="710C6A1C" w14:textId="77777777" w:rsidR="00FA4957" w:rsidRPr="005F7FA8" w:rsidRDefault="01D6F8A1" w:rsidP="003D0DFD">
      <w:pPr>
        <w:pStyle w:val="ListBullet"/>
      </w:pPr>
      <w:r>
        <w:t>Services designed and governed by Aboriginal and Torres Strait Islander peoples.</w:t>
      </w:r>
    </w:p>
    <w:p w14:paraId="0DA62259" w14:textId="50EA7BF4" w:rsidR="00E465DC" w:rsidRDefault="528AD1CC" w:rsidP="00423EB2">
      <w:pPr>
        <w:pStyle w:val="Heading4"/>
        <w:spacing w:line="360" w:lineRule="atLeast"/>
      </w:pPr>
      <w:r>
        <w:t xml:space="preserve">Example from evidence </w:t>
      </w:r>
    </w:p>
    <w:p w14:paraId="5BA0FD1C" w14:textId="4D241A1C" w:rsidR="008178BE" w:rsidRPr="008178BE" w:rsidRDefault="0995DF35" w:rsidP="00423EB2">
      <w:pPr>
        <w:widowControl/>
      </w:pPr>
      <w:r>
        <w:t>There is consistent evidence that Indigenous-</w:t>
      </w:r>
      <w:proofErr w:type="gramStart"/>
      <w:r>
        <w:t>led</w:t>
      </w:r>
      <w:proofErr w:type="gramEnd"/>
      <w:r>
        <w:t xml:space="preserve"> and community-controlled organisations create more effective service environments because they are grounded in cultural values, relationships and accountability to community. The evidence shows that Indigenous organisations are more likely to incorporate connection to family, community and Country into service delivery, making services more accessible, relevant and culturally appropriate for Aboriginal and Torres Strait Islander peoples (Cooms</w:t>
      </w:r>
      <w:r w:rsidR="40738F1D">
        <w:t xml:space="preserve"> et al.</w:t>
      </w:r>
      <w:r>
        <w:t>, 2025; Eva et al., 2023</w:t>
      </w:r>
      <w:r w:rsidRPr="006F22A6">
        <w:t xml:space="preserve">; NACCHO, 2021). </w:t>
      </w:r>
      <w:r w:rsidR="009A2028" w:rsidRPr="009A2028">
        <w:t>Governance</w:t>
      </w:r>
      <w:r w:rsidRPr="006F22A6">
        <w:t xml:space="preserve"> and cultural authority </w:t>
      </w:r>
      <w:r w:rsidR="009A2028" w:rsidRPr="009A2028">
        <w:t xml:space="preserve">are understood </w:t>
      </w:r>
      <w:r w:rsidR="0035239D" w:rsidRPr="0035239D">
        <w:t>as</w:t>
      </w:r>
      <w:r w:rsidRPr="006F22A6">
        <w:t xml:space="preserve"> </w:t>
      </w:r>
      <w:r w:rsidR="009A2028" w:rsidRPr="009A2028">
        <w:t>central to effective service delivery</w:t>
      </w:r>
      <w:r w:rsidRPr="006F22A6">
        <w:t xml:space="preserve">, </w:t>
      </w:r>
      <w:r w:rsidR="0035239D" w:rsidRPr="0035239D">
        <w:t>rather than as</w:t>
      </w:r>
      <w:r w:rsidRPr="006F22A6">
        <w:t xml:space="preserve"> </w:t>
      </w:r>
      <w:r w:rsidR="009A2028" w:rsidRPr="009A2028">
        <w:t>background factors</w:t>
      </w:r>
      <w:r w:rsidR="0035239D" w:rsidRPr="0035239D">
        <w:t xml:space="preserve"> surrounding </w:t>
      </w:r>
      <w:r w:rsidR="009A2028" w:rsidRPr="009A2028">
        <w:t>it</w:t>
      </w:r>
      <w:r w:rsidRPr="006F22A6">
        <w:t>.</w:t>
      </w:r>
    </w:p>
    <w:p w14:paraId="0B975354" w14:textId="6F62B558" w:rsidR="008178BE" w:rsidRPr="008178BE" w:rsidRDefault="0995DF35" w:rsidP="00423EB2">
      <w:pPr>
        <w:widowControl/>
      </w:pPr>
      <w:r>
        <w:t>Related evidence from the disability sector similarly suggests that engagement improves when supports align with Indigenous understandings of care, relationships and responsibility, rather than being delivered through externally designed systems that may not reflect community realities (</w:t>
      </w:r>
      <w:r w:rsidRPr="006F22A6">
        <w:t xml:space="preserve">Cooms, 2023; </w:t>
      </w:r>
      <w:r>
        <w:t>James et al., 202</w:t>
      </w:r>
      <w:r w:rsidRPr="006F22A6">
        <w:t>4</w:t>
      </w:r>
      <w:r>
        <w:t xml:space="preserve">). Across the literature, Aboriginal and Torres Strait Islander peoples </w:t>
      </w:r>
      <w:r w:rsidRPr="006F22A6">
        <w:t>a</w:t>
      </w:r>
      <w:r>
        <w:t xml:space="preserve">re more likely to engage with services that </w:t>
      </w:r>
      <w:r w:rsidRPr="006F22A6">
        <w:t>a</w:t>
      </w:r>
      <w:r>
        <w:t xml:space="preserve">re trusted, culturally safe and connected to community structures, particularly where relationships and ongoing support </w:t>
      </w:r>
      <w:r w:rsidRPr="006F22A6">
        <w:t>a</w:t>
      </w:r>
      <w:r>
        <w:t>re prioritised over transactional or compliance-focused service delivery (Cooms</w:t>
      </w:r>
      <w:r w:rsidRPr="006F22A6">
        <w:t xml:space="preserve"> </w:t>
      </w:r>
      <w:r w:rsidR="40E84DD6">
        <w:t>et al.</w:t>
      </w:r>
      <w:r>
        <w:t>, 2025; Cooms &amp; Muurlink, 2025</w:t>
      </w:r>
      <w:r w:rsidRPr="006F22A6">
        <w:t>; Gilroy et al., 2023</w:t>
      </w:r>
      <w:r>
        <w:t xml:space="preserve">). </w:t>
      </w:r>
      <w:r>
        <w:lastRenderedPageBreak/>
        <w:t xml:space="preserve">Overall, Indigenous governance, community accountability and strong relational practice are key factors </w:t>
      </w:r>
      <w:r w:rsidRPr="006F22A6">
        <w:t>contributing</w:t>
      </w:r>
      <w:r>
        <w:t xml:space="preserve"> to effective employment and disability service models.</w:t>
      </w:r>
    </w:p>
    <w:p w14:paraId="3D5642BC" w14:textId="47B63B7A" w:rsidR="008E74D0" w:rsidRDefault="107B5768" w:rsidP="00423EB2">
      <w:pPr>
        <w:pStyle w:val="Heading4"/>
        <w:spacing w:line="360" w:lineRule="atLeast"/>
      </w:pPr>
      <w:r>
        <w:t xml:space="preserve">Scenarios </w:t>
      </w:r>
    </w:p>
    <w:p w14:paraId="69773BBB" w14:textId="77777777" w:rsidR="00042B30" w:rsidRPr="005E4476" w:rsidRDefault="29F0459F" w:rsidP="00423EB2">
      <w:pPr>
        <w:pStyle w:val="Heading5"/>
      </w:pPr>
      <w:r>
        <w:t>Scenario 1</w:t>
      </w:r>
    </w:p>
    <w:p w14:paraId="1E3B6ED8" w14:textId="77777777" w:rsidR="00042B30" w:rsidRPr="00580177" w:rsidRDefault="29F0459F" w:rsidP="00423EB2">
      <w:pPr>
        <w:pStyle w:val="Scenario"/>
        <w:spacing w:line="360" w:lineRule="atLeast"/>
      </w:pPr>
      <w:r w:rsidRPr="00580177">
        <w:t>Michael gets a call from his employment provider reminding him he’s missed another appointment.</w:t>
      </w:r>
    </w:p>
    <w:p w14:paraId="69181C3F" w14:textId="77777777" w:rsidR="00042B30" w:rsidRPr="00580177" w:rsidRDefault="29F0459F" w:rsidP="00423EB2">
      <w:pPr>
        <w:pStyle w:val="Scenario"/>
        <w:spacing w:line="360" w:lineRule="atLeast"/>
      </w:pPr>
      <w:r w:rsidRPr="00580177">
        <w:t>He had meant to go. But his Aunty passed last week, and he’s been travelling back and forward between community and town for Sorry Business. There’s been a lot to do, cooking, sitting with family, making sure the younger ones are okay.</w:t>
      </w:r>
    </w:p>
    <w:p w14:paraId="5D009D8A" w14:textId="77777777" w:rsidR="00042B30" w:rsidRPr="00580177" w:rsidRDefault="29F0459F" w:rsidP="00423EB2">
      <w:pPr>
        <w:pStyle w:val="Scenario"/>
        <w:spacing w:line="360" w:lineRule="atLeast"/>
      </w:pPr>
      <w:r w:rsidRPr="00580177">
        <w:t>When he finally makes it into the office, the worker is new. The last one left.</w:t>
      </w:r>
    </w:p>
    <w:p w14:paraId="7BA88C3F" w14:textId="77777777" w:rsidR="00042B30" w:rsidRPr="00580177" w:rsidRDefault="29F0459F" w:rsidP="00423EB2">
      <w:pPr>
        <w:pStyle w:val="Scenario"/>
        <w:spacing w:line="360" w:lineRule="atLeast"/>
      </w:pPr>
      <w:r w:rsidRPr="00580177">
        <w:t>She opens his file and starts again.</w:t>
      </w:r>
    </w:p>
    <w:p w14:paraId="0C195A48" w14:textId="77777777" w:rsidR="00042B30" w:rsidRPr="00580177" w:rsidRDefault="29F0459F" w:rsidP="00423EB2">
      <w:pPr>
        <w:pStyle w:val="Scenario"/>
        <w:spacing w:line="360" w:lineRule="atLeast"/>
      </w:pPr>
      <w:r w:rsidRPr="00580177">
        <w:t>“So, what are your employment goals?”</w:t>
      </w:r>
    </w:p>
    <w:p w14:paraId="43A92657" w14:textId="77777777" w:rsidR="00042B30" w:rsidRPr="00580177" w:rsidRDefault="29F0459F" w:rsidP="00423EB2">
      <w:pPr>
        <w:pStyle w:val="Scenario"/>
        <w:spacing w:line="360" w:lineRule="atLeast"/>
      </w:pPr>
      <w:r w:rsidRPr="00580177">
        <w:t>Michael shrugs. He’s answered this before.</w:t>
      </w:r>
    </w:p>
    <w:p w14:paraId="4B30BB8F" w14:textId="77777777" w:rsidR="00042B30" w:rsidRPr="00580177" w:rsidRDefault="29F0459F" w:rsidP="00423EB2">
      <w:pPr>
        <w:pStyle w:val="Scenario"/>
        <w:spacing w:line="360" w:lineRule="atLeast"/>
      </w:pPr>
      <w:r w:rsidRPr="00580177">
        <w:t>She talks him through a plan, training, job readiness, attendance requirements; forms to sign, appointments to book, outcomes to meet.</w:t>
      </w:r>
    </w:p>
    <w:p w14:paraId="279842A1" w14:textId="77777777" w:rsidR="00042B30" w:rsidRPr="00580177" w:rsidRDefault="29F0459F" w:rsidP="00423EB2">
      <w:pPr>
        <w:pStyle w:val="Scenario"/>
        <w:spacing w:line="360" w:lineRule="atLeast"/>
      </w:pPr>
      <w:r w:rsidRPr="00580177">
        <w:t>He nods, but he’s already thinking about getting home. His cousin needs a lift later. The next week, he misses another appointment.</w:t>
      </w:r>
    </w:p>
    <w:p w14:paraId="1740E0A0" w14:textId="77777777" w:rsidR="00042B30" w:rsidRPr="00580177" w:rsidRDefault="29F0459F" w:rsidP="00423EB2">
      <w:pPr>
        <w:pStyle w:val="Scenario"/>
        <w:spacing w:line="360" w:lineRule="atLeast"/>
      </w:pPr>
      <w:r w:rsidRPr="00580177">
        <w:t>His file notes “low engagement”.</w:t>
      </w:r>
    </w:p>
    <w:p w14:paraId="2EF60E34" w14:textId="5179627C" w:rsidR="00042B30" w:rsidRPr="005E4476" w:rsidRDefault="29F0459F" w:rsidP="00423EB2">
      <w:pPr>
        <w:pStyle w:val="Heading5"/>
      </w:pPr>
      <w:bookmarkStart w:id="41" w:name="_Toc227336464"/>
      <w:r>
        <w:t>Scenario 2</w:t>
      </w:r>
      <w:bookmarkEnd w:id="41"/>
    </w:p>
    <w:p w14:paraId="308B9D95" w14:textId="77777777" w:rsidR="00042B30" w:rsidRPr="00580177" w:rsidRDefault="29F0459F" w:rsidP="00423EB2">
      <w:pPr>
        <w:pStyle w:val="Scenario"/>
        <w:spacing w:line="360" w:lineRule="atLeast"/>
      </w:pPr>
      <w:r w:rsidRPr="00580177">
        <w:t>Michael hears about a program through his cousin, run out of the local Aboriginal organisation.</w:t>
      </w:r>
    </w:p>
    <w:p w14:paraId="77293BE9" w14:textId="77777777" w:rsidR="00042B30" w:rsidRPr="00580177" w:rsidRDefault="29F0459F" w:rsidP="00423EB2">
      <w:pPr>
        <w:pStyle w:val="Scenario"/>
        <w:spacing w:line="360" w:lineRule="atLeast"/>
      </w:pPr>
      <w:r w:rsidRPr="00580177">
        <w:t>When he walks in, someone already knows his family. They don’t start with paperwork. They welcome him with a hug, sit down, have a yarn.</w:t>
      </w:r>
    </w:p>
    <w:p w14:paraId="03EC513C" w14:textId="77777777" w:rsidR="00042B30" w:rsidRPr="00580177" w:rsidRDefault="29F0459F" w:rsidP="00423EB2">
      <w:pPr>
        <w:pStyle w:val="Scenario"/>
        <w:spacing w:line="360" w:lineRule="atLeast"/>
      </w:pPr>
      <w:r w:rsidRPr="00580177">
        <w:t>They talk about what’s been going on, his Aunty, the travel, everything he’s been carrying. No one rushes him.</w:t>
      </w:r>
    </w:p>
    <w:p w14:paraId="1BF51A61" w14:textId="77777777" w:rsidR="00042B30" w:rsidRPr="00580177" w:rsidRDefault="29F0459F" w:rsidP="00423EB2">
      <w:pPr>
        <w:pStyle w:val="Scenario"/>
        <w:spacing w:line="360" w:lineRule="atLeast"/>
      </w:pPr>
      <w:r w:rsidRPr="00580177">
        <w:t>Over time, they start talking about work. Not just jobs, what he’s good at, who he knows, what he wants to be part of.</w:t>
      </w:r>
    </w:p>
    <w:p w14:paraId="2501BBD4" w14:textId="77777777" w:rsidR="00042B30" w:rsidRPr="00580177" w:rsidRDefault="29F0459F" w:rsidP="00423EB2">
      <w:pPr>
        <w:pStyle w:val="Scenario"/>
        <w:spacing w:line="360" w:lineRule="atLeast"/>
      </w:pPr>
      <w:r w:rsidRPr="00580177">
        <w:t xml:space="preserve">There’s an opportunity with a local land management group. It means being on Country, working with </w:t>
      </w:r>
      <w:proofErr w:type="gramStart"/>
      <w:r w:rsidRPr="00580177">
        <w:t>other</w:t>
      </w:r>
      <w:proofErr w:type="gramEnd"/>
      <w:r w:rsidRPr="00580177">
        <w:t xml:space="preserve"> mob. Flexible hours.</w:t>
      </w:r>
    </w:p>
    <w:p w14:paraId="4E8F7D85" w14:textId="77777777" w:rsidR="00042B30" w:rsidRPr="00580177" w:rsidRDefault="29F0459F" w:rsidP="00423EB2">
      <w:pPr>
        <w:pStyle w:val="Scenario"/>
        <w:spacing w:line="360" w:lineRule="atLeast"/>
      </w:pPr>
      <w:r w:rsidRPr="00580177">
        <w:t>Some weeks he’s there every day. Other weeks he’s not, when things come up in community. No one writes him off for that. They work around it.</w:t>
      </w:r>
    </w:p>
    <w:p w14:paraId="2204C2FD" w14:textId="1D8C9884" w:rsidR="005F7FA8" w:rsidRPr="005F7FA8" w:rsidRDefault="29F0459F" w:rsidP="00423EB2">
      <w:pPr>
        <w:pStyle w:val="Scenario"/>
        <w:spacing w:line="360" w:lineRule="atLeast"/>
      </w:pPr>
      <w:r w:rsidRPr="00580177">
        <w:t>He sticks with it because it makes sense and helps him care for country and community.</w:t>
      </w:r>
    </w:p>
    <w:p w14:paraId="70DA5FCC" w14:textId="77777777" w:rsidR="00DB5B4F" w:rsidRDefault="00DB5B4F" w:rsidP="00423EB2">
      <w:pPr>
        <w:pStyle w:val="Heading3"/>
        <w:spacing w:line="360" w:lineRule="atLeast"/>
      </w:pPr>
      <w:bookmarkStart w:id="42" w:name="_Toc897785442"/>
      <w:bookmarkStart w:id="43" w:name="_Toc227336466"/>
      <w:r>
        <w:br w:type="page"/>
      </w:r>
    </w:p>
    <w:p w14:paraId="0B3CDB06" w14:textId="52ADCE91" w:rsidR="00F36CD0" w:rsidRPr="00A517DB" w:rsidRDefault="3A146589" w:rsidP="00423EB2">
      <w:pPr>
        <w:pStyle w:val="Heading3"/>
        <w:spacing w:line="360" w:lineRule="atLeast"/>
      </w:pPr>
      <w:bookmarkStart w:id="44" w:name="_Toc231482950"/>
      <w:r w:rsidRPr="00A517DB">
        <w:lastRenderedPageBreak/>
        <w:t>Relational and trust-based service</w:t>
      </w:r>
      <w:r w:rsidRPr="00A517DB">
        <w:rPr>
          <w:rFonts w:ascii="Verdana" w:hAnsi="Verdana"/>
          <w:color w:val="000000" w:themeColor="text1"/>
        </w:rPr>
        <w:t xml:space="preserve"> </w:t>
      </w:r>
      <w:r w:rsidRPr="00A517DB">
        <w:t>delivery</w:t>
      </w:r>
      <w:bookmarkEnd w:id="42"/>
      <w:bookmarkEnd w:id="43"/>
      <w:bookmarkEnd w:id="44"/>
    </w:p>
    <w:p w14:paraId="7FF3E353" w14:textId="77777777" w:rsidR="001C2D37" w:rsidRPr="005E4476" w:rsidRDefault="76534DCF" w:rsidP="00423EB2">
      <w:pPr>
        <w:pStyle w:val="Heading4"/>
        <w:spacing w:line="360" w:lineRule="atLeast"/>
      </w:pPr>
      <w:r>
        <w:t>In practice</w:t>
      </w:r>
    </w:p>
    <w:p w14:paraId="4A64E5A2" w14:textId="145B8482" w:rsidR="001C2D37" w:rsidRPr="005E4476" w:rsidRDefault="76534DCF" w:rsidP="003D0DFD">
      <w:pPr>
        <w:pStyle w:val="ListBullet"/>
        <w:rPr>
          <w:rFonts w:ascii="Verdana" w:eastAsiaTheme="minorEastAsia" w:hAnsi="Verdana"/>
        </w:rPr>
      </w:pPr>
      <w:r>
        <w:t>Long-term engagement between providers and clients</w:t>
      </w:r>
      <w:r w:rsidR="00DB5B4F">
        <w:t>.</w:t>
      </w:r>
    </w:p>
    <w:p w14:paraId="1BCA42B5" w14:textId="15F72C12" w:rsidR="001C2D37" w:rsidRPr="005E4476" w:rsidRDefault="76534DCF" w:rsidP="003D0DFD">
      <w:pPr>
        <w:pStyle w:val="ListBullet"/>
        <w:rPr>
          <w:rFonts w:ascii="Verdana" w:eastAsiaTheme="minorEastAsia" w:hAnsi="Verdana"/>
        </w:rPr>
      </w:pPr>
      <w:r>
        <w:t>Time invested in</w:t>
      </w:r>
      <w:r w:rsidRPr="435BEB47">
        <w:rPr>
          <w:rFonts w:ascii="Verdana" w:eastAsiaTheme="minorEastAsia" w:hAnsi="Verdana"/>
        </w:rPr>
        <w:t xml:space="preserve"> </w:t>
      </w:r>
      <w:r>
        <w:t>building relationships and trust</w:t>
      </w:r>
      <w:r w:rsidR="00DB5B4F">
        <w:t>.</w:t>
      </w:r>
    </w:p>
    <w:p w14:paraId="396DDED7" w14:textId="466274E6" w:rsidR="001C2D37" w:rsidRPr="005E4476" w:rsidRDefault="76534DCF" w:rsidP="003D0DFD">
      <w:pPr>
        <w:pStyle w:val="ListBullet"/>
        <w:rPr>
          <w:rFonts w:ascii="Verdana" w:eastAsiaTheme="minorEastAsia" w:hAnsi="Verdana"/>
        </w:rPr>
      </w:pPr>
      <w:r>
        <w:t>Continuity of staff and consistent service presence</w:t>
      </w:r>
      <w:r w:rsidR="00DB5B4F">
        <w:t>.</w:t>
      </w:r>
    </w:p>
    <w:p w14:paraId="470AA3B7" w14:textId="4A2B6489" w:rsidR="001C2D37" w:rsidRPr="005E4476" w:rsidRDefault="76534DCF" w:rsidP="003D0DFD">
      <w:pPr>
        <w:pStyle w:val="ListBullet"/>
        <w:rPr>
          <w:rFonts w:ascii="Verdana" w:eastAsiaTheme="minorEastAsia" w:hAnsi="Verdana"/>
        </w:rPr>
      </w:pPr>
      <w:r>
        <w:t>Respectful, non-judgemental communication</w:t>
      </w:r>
      <w:r w:rsidR="00DB5B4F">
        <w:t>.</w:t>
      </w:r>
    </w:p>
    <w:p w14:paraId="3EF377C7" w14:textId="2721375A" w:rsidR="00F36CD0" w:rsidRDefault="35977F7A" w:rsidP="00423EB2">
      <w:pPr>
        <w:pStyle w:val="Heading4"/>
        <w:spacing w:line="360" w:lineRule="atLeast"/>
      </w:pPr>
      <w:r>
        <w:t>Example from the evidence</w:t>
      </w:r>
    </w:p>
    <w:p w14:paraId="7A39ACED" w14:textId="78652B9E" w:rsidR="00CD5CB1" w:rsidRPr="00CD5CB1" w:rsidRDefault="35977F7A" w:rsidP="00423EB2">
      <w:pPr>
        <w:widowControl/>
      </w:pPr>
      <w:r>
        <w:t>The evidence show</w:t>
      </w:r>
      <w:r w:rsidRPr="006F22A6">
        <w:t>s</w:t>
      </w:r>
      <w:r>
        <w:t xml:space="preserve"> that trust is a key factor shaping whether Aboriginal and Torres Strait Islander peoples engage with employment and disability services. Historical and ongoing experiences of colonisation, institutional harm and inconsistent service delivery have contributed to mistrust of government and mainstream systems</w:t>
      </w:r>
      <w:r w:rsidRPr="006F22A6">
        <w:t xml:space="preserve"> (Avery, 2018; Sherwood, 2013).</w:t>
      </w:r>
      <w:r>
        <w:t xml:space="preserve"> As a result, engagement is strongly influenced by whether service providers can build respectful, reliable and ongoing relationships over time</w:t>
      </w:r>
      <w:r w:rsidRPr="006F22A6">
        <w:t xml:space="preserve"> (Cooms et al., 2025; Gilroy et al., 2013; Walter &amp; Andersen, 2013). This means trust is an outcome of service behaviour and continuity, not a condition that can be assumed at entry</w:t>
      </w:r>
      <w:r>
        <w:t>.</w:t>
      </w:r>
    </w:p>
    <w:p w14:paraId="100A0AE9" w14:textId="54130A8F" w:rsidR="00CD5CB1" w:rsidRPr="00CD5CB1" w:rsidRDefault="35977F7A" w:rsidP="00423EB2">
      <w:pPr>
        <w:widowControl/>
      </w:pPr>
      <w:r>
        <w:t>The evidence also highlight</w:t>
      </w:r>
      <w:r w:rsidRPr="006F22A6">
        <w:t>s</w:t>
      </w:r>
      <w:r>
        <w:t xml:space="preserve"> the importance of understanding family and community contexts, involving extended family where appropriate, and working with community relationships rather than relying on standardised or one-size-fits-all approaches</w:t>
      </w:r>
      <w:r w:rsidRPr="006F22A6">
        <w:t xml:space="preserve"> (Martin, 2008; Walter &amp; Andersen, 2013).</w:t>
      </w:r>
      <w:r>
        <w:t xml:space="preserve"> Qualitative studies show that even small negative interactions can damage trust and lead to disengagement from services, while consistent and </w:t>
      </w:r>
      <w:r w:rsidRPr="006F22A6">
        <w:t>respectful</w:t>
      </w:r>
      <w:r>
        <w:t xml:space="preserve"> relationships can help people</w:t>
      </w:r>
      <w:r w:rsidRPr="006F22A6">
        <w:t>s</w:t>
      </w:r>
      <w:r>
        <w:t xml:space="preserve"> navigate complex systems and remain engaged over time</w:t>
      </w:r>
      <w:r w:rsidRPr="006F22A6">
        <w:t xml:space="preserve"> (Avery, 2018; Temple et al., 2020).</w:t>
      </w:r>
      <w:r>
        <w:t xml:space="preserve"> Across the evidence, relational continuity </w:t>
      </w:r>
      <w:r w:rsidRPr="006F22A6">
        <w:t>is</w:t>
      </w:r>
      <w:r>
        <w:t xml:space="preserve"> a core part of effective practice rather than an optional or secondary feature of service delivery.</w:t>
      </w:r>
    </w:p>
    <w:p w14:paraId="226B1A5C" w14:textId="25036677" w:rsidR="00CD5CB1" w:rsidRPr="00CD5CB1" w:rsidRDefault="35977F7A" w:rsidP="00423EB2">
      <w:pPr>
        <w:pStyle w:val="Heading4"/>
        <w:spacing w:line="360" w:lineRule="atLeast"/>
      </w:pPr>
      <w:r>
        <w:t>Scenarios</w:t>
      </w:r>
    </w:p>
    <w:p w14:paraId="6F3A32D4" w14:textId="77777777" w:rsidR="008255A6" w:rsidRPr="005E4476" w:rsidRDefault="5E72FFE4" w:rsidP="00423EB2">
      <w:pPr>
        <w:pStyle w:val="Heading5"/>
      </w:pPr>
      <w:r>
        <w:t>Scenario 1</w:t>
      </w:r>
    </w:p>
    <w:p w14:paraId="26BCF4D7" w14:textId="77777777" w:rsidR="008255A6" w:rsidRPr="00580177" w:rsidRDefault="5E72FFE4" w:rsidP="00423EB2">
      <w:pPr>
        <w:pStyle w:val="Scenario"/>
        <w:spacing w:line="360" w:lineRule="atLeast"/>
      </w:pPr>
      <w:r w:rsidRPr="00580177">
        <w:t>Leanne has had three different workers in six months.</w:t>
      </w:r>
    </w:p>
    <w:p w14:paraId="3A099F77" w14:textId="77777777" w:rsidR="008255A6" w:rsidRPr="00580177" w:rsidRDefault="5E72FFE4" w:rsidP="00423EB2">
      <w:pPr>
        <w:pStyle w:val="Scenario"/>
        <w:spacing w:line="360" w:lineRule="atLeast"/>
      </w:pPr>
      <w:r w:rsidRPr="00580177">
        <w:t>Every time someone new comes in, she has to start again.</w:t>
      </w:r>
    </w:p>
    <w:p w14:paraId="1E377D63" w14:textId="77777777" w:rsidR="008255A6" w:rsidRPr="00580177" w:rsidRDefault="5E72FFE4" w:rsidP="00423EB2">
      <w:pPr>
        <w:pStyle w:val="Scenario"/>
        <w:spacing w:line="360" w:lineRule="atLeast"/>
      </w:pPr>
      <w:r w:rsidRPr="00580177">
        <w:t>Her story, her family, what’s been going on — all of it retold, piece by piece, to someone who’s reading from a file while she speaks.</w:t>
      </w:r>
    </w:p>
    <w:p w14:paraId="51D1FAAF" w14:textId="77777777" w:rsidR="008255A6" w:rsidRPr="00580177" w:rsidRDefault="5E72FFE4" w:rsidP="00423EB2">
      <w:pPr>
        <w:pStyle w:val="Scenario"/>
        <w:spacing w:line="360" w:lineRule="atLeast"/>
      </w:pPr>
      <w:r w:rsidRPr="00580177">
        <w:t>But it’s not just repeating herself.</w:t>
      </w:r>
    </w:p>
    <w:p w14:paraId="7F8ADC7E" w14:textId="77777777" w:rsidR="008255A6" w:rsidRPr="00580177" w:rsidRDefault="5E72FFE4" w:rsidP="00423EB2">
      <w:pPr>
        <w:pStyle w:val="Scenario"/>
        <w:spacing w:line="360" w:lineRule="atLeast"/>
      </w:pPr>
      <w:r w:rsidRPr="00580177">
        <w:t>Each time, she’s trying to work out who she’s sitting across from.</w:t>
      </w:r>
    </w:p>
    <w:p w14:paraId="0D39D493" w14:textId="77777777" w:rsidR="008255A6" w:rsidRPr="00580177" w:rsidRDefault="5E72FFE4" w:rsidP="00423EB2">
      <w:pPr>
        <w:pStyle w:val="Scenario"/>
        <w:spacing w:line="360" w:lineRule="atLeast"/>
      </w:pPr>
      <w:r w:rsidRPr="00580177">
        <w:t xml:space="preserve">What they think about her. About her family. Whether they’re going to judge, or misunderstand, or write something down that could come back on her later. </w:t>
      </w:r>
    </w:p>
    <w:p w14:paraId="7E9CB62F" w14:textId="77777777" w:rsidR="008255A6" w:rsidRPr="00580177" w:rsidRDefault="5E72FFE4" w:rsidP="00423EB2">
      <w:pPr>
        <w:pStyle w:val="Scenario"/>
        <w:spacing w:line="360" w:lineRule="atLeast"/>
      </w:pPr>
      <w:r w:rsidRPr="00580177">
        <w:lastRenderedPageBreak/>
        <w:t>She keeps some things to herself. Just in case.</w:t>
      </w:r>
    </w:p>
    <w:p w14:paraId="5D061E69" w14:textId="77777777" w:rsidR="008255A6" w:rsidRPr="00580177" w:rsidRDefault="5E72FFE4" w:rsidP="00423EB2">
      <w:pPr>
        <w:pStyle w:val="Scenario"/>
        <w:spacing w:line="360" w:lineRule="atLeast"/>
      </w:pPr>
      <w:r w:rsidRPr="00580177">
        <w:t>One worker asks why she missed an appointment last week.</w:t>
      </w:r>
    </w:p>
    <w:p w14:paraId="4EC98D5E" w14:textId="77777777" w:rsidR="008255A6" w:rsidRPr="00580177" w:rsidRDefault="5E72FFE4" w:rsidP="00423EB2">
      <w:pPr>
        <w:pStyle w:val="Scenario"/>
        <w:spacing w:line="360" w:lineRule="atLeast"/>
      </w:pPr>
      <w:r w:rsidRPr="00580177">
        <w:t>Leanne says her nephew had been taken to hospital.</w:t>
      </w:r>
    </w:p>
    <w:p w14:paraId="25412638" w14:textId="77777777" w:rsidR="008255A6" w:rsidRPr="00580177" w:rsidRDefault="5E72FFE4" w:rsidP="00423EB2">
      <w:pPr>
        <w:pStyle w:val="Scenario"/>
        <w:spacing w:line="360" w:lineRule="atLeast"/>
      </w:pPr>
      <w:r w:rsidRPr="00580177">
        <w:t>The worker nods, writes something down, and moves on.</w:t>
      </w:r>
    </w:p>
    <w:p w14:paraId="4F63E85E" w14:textId="77777777" w:rsidR="008255A6" w:rsidRPr="00580177" w:rsidRDefault="5E72FFE4" w:rsidP="00423EB2">
      <w:pPr>
        <w:pStyle w:val="Scenario"/>
        <w:spacing w:line="360" w:lineRule="atLeast"/>
      </w:pPr>
      <w:r w:rsidRPr="00580177">
        <w:t>“We just need to keep you on track,” she says.</w:t>
      </w:r>
    </w:p>
    <w:p w14:paraId="46D63690" w14:textId="77777777" w:rsidR="008255A6" w:rsidRPr="00580177" w:rsidRDefault="5E72FFE4" w:rsidP="00423EB2">
      <w:pPr>
        <w:pStyle w:val="Scenario"/>
        <w:spacing w:line="360" w:lineRule="atLeast"/>
      </w:pPr>
      <w:r w:rsidRPr="00580177">
        <w:t>After that, Leanne stops answering the phone.</w:t>
      </w:r>
    </w:p>
    <w:p w14:paraId="22F8190B" w14:textId="77777777" w:rsidR="008255A6" w:rsidRPr="00580177" w:rsidRDefault="5E72FFE4" w:rsidP="00423EB2">
      <w:pPr>
        <w:pStyle w:val="Scenario"/>
        <w:spacing w:line="360" w:lineRule="atLeast"/>
      </w:pPr>
      <w:r w:rsidRPr="00580177">
        <w:t>It wasn’t one big thing.</w:t>
      </w:r>
    </w:p>
    <w:p w14:paraId="22E56F99" w14:textId="77777777" w:rsidR="008255A6" w:rsidRPr="00580177" w:rsidRDefault="5E72FFE4" w:rsidP="00423EB2">
      <w:pPr>
        <w:pStyle w:val="Scenario"/>
        <w:spacing w:line="360" w:lineRule="atLeast"/>
      </w:pPr>
      <w:r w:rsidRPr="00580177">
        <w:t>Just enough to know; this place isn’t safe for her to be fully honest.</w:t>
      </w:r>
    </w:p>
    <w:p w14:paraId="56F707B0" w14:textId="68690861" w:rsidR="008255A6" w:rsidRPr="005E4476" w:rsidRDefault="5E72FFE4" w:rsidP="00423EB2">
      <w:pPr>
        <w:pStyle w:val="Heading5"/>
      </w:pPr>
      <w:bookmarkStart w:id="45" w:name="_Toc227336469"/>
      <w:r>
        <w:t>Scenario 2</w:t>
      </w:r>
      <w:bookmarkEnd w:id="45"/>
    </w:p>
    <w:p w14:paraId="5DEED33C" w14:textId="77777777" w:rsidR="008255A6" w:rsidRPr="00580177" w:rsidRDefault="5E72FFE4" w:rsidP="00423EB2">
      <w:pPr>
        <w:pStyle w:val="Scenario"/>
        <w:spacing w:line="360" w:lineRule="atLeast"/>
      </w:pPr>
      <w:r w:rsidRPr="00580177">
        <w:t>When Leanne first met Karen, she didn’t say much.</w:t>
      </w:r>
    </w:p>
    <w:p w14:paraId="2E2A9F02" w14:textId="77777777" w:rsidR="008255A6" w:rsidRPr="00580177" w:rsidRDefault="5E72FFE4" w:rsidP="00423EB2">
      <w:pPr>
        <w:pStyle w:val="Scenario"/>
        <w:spacing w:line="360" w:lineRule="atLeast"/>
      </w:pPr>
      <w:r w:rsidRPr="00580177">
        <w:t>Just answered what she needed to. Watched. Waited.</w:t>
      </w:r>
    </w:p>
    <w:p w14:paraId="3422CD05" w14:textId="77777777" w:rsidR="008255A6" w:rsidRPr="00580177" w:rsidRDefault="5E72FFE4" w:rsidP="00423EB2">
      <w:pPr>
        <w:pStyle w:val="Scenario"/>
        <w:spacing w:line="360" w:lineRule="atLeast"/>
      </w:pPr>
      <w:r w:rsidRPr="00580177">
        <w:t>Karen didn’t rush it. She kept showing up. Same day each week. Same time.</w:t>
      </w:r>
    </w:p>
    <w:p w14:paraId="3620029F" w14:textId="77777777" w:rsidR="008255A6" w:rsidRPr="00580177" w:rsidRDefault="5E72FFE4" w:rsidP="00423EB2">
      <w:pPr>
        <w:pStyle w:val="Scenario"/>
        <w:spacing w:line="360" w:lineRule="atLeast"/>
      </w:pPr>
      <w:r w:rsidRPr="00580177">
        <w:t>Some weeks they talked about work. Other weeks they didn’t.</w:t>
      </w:r>
    </w:p>
    <w:p w14:paraId="05116462" w14:textId="77777777" w:rsidR="008255A6" w:rsidRPr="00580177" w:rsidRDefault="5E72FFE4" w:rsidP="00423EB2">
      <w:pPr>
        <w:pStyle w:val="Scenario"/>
        <w:spacing w:line="360" w:lineRule="atLeast"/>
      </w:pPr>
      <w:r w:rsidRPr="00580177">
        <w:t>Karen asked about her family. Remembered names. Asked again the next time.</w:t>
      </w:r>
    </w:p>
    <w:p w14:paraId="0744B62F" w14:textId="77777777" w:rsidR="008255A6" w:rsidRPr="00580177" w:rsidRDefault="5E72FFE4" w:rsidP="00423EB2">
      <w:pPr>
        <w:pStyle w:val="Scenario"/>
        <w:spacing w:line="360" w:lineRule="atLeast"/>
      </w:pPr>
      <w:r w:rsidRPr="00580177">
        <w:t>Slowly, Leanne stopped holding things back.</w:t>
      </w:r>
    </w:p>
    <w:p w14:paraId="720DCD7D" w14:textId="77777777" w:rsidR="008255A6" w:rsidRPr="00580177" w:rsidRDefault="5E72FFE4" w:rsidP="00423EB2">
      <w:pPr>
        <w:pStyle w:val="Scenario"/>
        <w:spacing w:line="360" w:lineRule="atLeast"/>
      </w:pPr>
      <w:r w:rsidRPr="00580177">
        <w:t xml:space="preserve">She didn’t have to figure Karen out each time, didn’t have to wonder what she </w:t>
      </w:r>
    </w:p>
    <w:p w14:paraId="169118E4" w14:textId="77777777" w:rsidR="008255A6" w:rsidRPr="00580177" w:rsidRDefault="5E72FFE4" w:rsidP="00423EB2">
      <w:pPr>
        <w:pStyle w:val="Scenario"/>
        <w:spacing w:line="360" w:lineRule="atLeast"/>
      </w:pPr>
      <w:r w:rsidRPr="00580177">
        <w:t>might write down, or how it might be used later.</w:t>
      </w:r>
    </w:p>
    <w:p w14:paraId="5774ACA2" w14:textId="77777777" w:rsidR="008255A6" w:rsidRPr="00580177" w:rsidRDefault="5E72FFE4" w:rsidP="00423EB2">
      <w:pPr>
        <w:pStyle w:val="Scenario"/>
        <w:spacing w:line="360" w:lineRule="atLeast"/>
      </w:pPr>
      <w:r w:rsidRPr="00580177">
        <w:t>When something came up in the family, she said it straight. No explaining it away, no trying to make it fit.</w:t>
      </w:r>
    </w:p>
    <w:p w14:paraId="320F9978" w14:textId="77777777" w:rsidR="008255A6" w:rsidRPr="00580177" w:rsidRDefault="5E72FFE4" w:rsidP="00423EB2">
      <w:pPr>
        <w:pStyle w:val="Scenario"/>
        <w:spacing w:line="360" w:lineRule="atLeast"/>
      </w:pPr>
      <w:r w:rsidRPr="00580177">
        <w:t>Karen didn’t question it. They worked around it.</w:t>
      </w:r>
    </w:p>
    <w:p w14:paraId="1B7F6989" w14:textId="77777777" w:rsidR="008255A6" w:rsidRPr="00580177" w:rsidRDefault="5E72FFE4" w:rsidP="00423EB2">
      <w:pPr>
        <w:pStyle w:val="Scenario"/>
        <w:spacing w:line="360" w:lineRule="atLeast"/>
      </w:pPr>
      <w:r w:rsidRPr="00580177">
        <w:t>Over time, Leanne started bringing her sister along. Conversations got bigger. Plans started forming; not just about jobs, but about what would actually work for her life and her family.</w:t>
      </w:r>
    </w:p>
    <w:p w14:paraId="35B4EAA9" w14:textId="514F09C0" w:rsidR="00C603A5" w:rsidRDefault="5E72FFE4" w:rsidP="00423EB2">
      <w:pPr>
        <w:pStyle w:val="Scenario"/>
        <w:spacing w:line="360" w:lineRule="atLeast"/>
      </w:pPr>
      <w:r w:rsidRPr="00580177">
        <w:t>Months in, Leanne was still there because she didn’t have to protect herself to be there.</w:t>
      </w:r>
    </w:p>
    <w:p w14:paraId="392B1564" w14:textId="77777777" w:rsidR="003D0DFD" w:rsidRDefault="003D0DFD" w:rsidP="00423EB2">
      <w:pPr>
        <w:pStyle w:val="Scenario"/>
        <w:spacing w:line="360" w:lineRule="atLeast"/>
      </w:pPr>
    </w:p>
    <w:p w14:paraId="47B299EE" w14:textId="071974BA" w:rsidR="00281C77" w:rsidRPr="005E4476" w:rsidRDefault="374BCD78" w:rsidP="00423EB2">
      <w:pPr>
        <w:pStyle w:val="Heading3"/>
        <w:spacing w:line="360" w:lineRule="atLeast"/>
      </w:pPr>
      <w:bookmarkStart w:id="46" w:name="_Toc231482951"/>
      <w:r>
        <w:t>Flexible and context-responsive service</w:t>
      </w:r>
      <w:r w:rsidRPr="435BEB47">
        <w:rPr>
          <w:rFonts w:ascii="Verdana" w:eastAsiaTheme="minorEastAsia" w:hAnsi="Verdana"/>
          <w:color w:val="000000" w:themeColor="text1"/>
        </w:rPr>
        <w:t xml:space="preserve"> </w:t>
      </w:r>
      <w:r>
        <w:t>delivery</w:t>
      </w:r>
      <w:bookmarkEnd w:id="46"/>
    </w:p>
    <w:p w14:paraId="1E56A372" w14:textId="77777777" w:rsidR="00934398" w:rsidRPr="00A517DB" w:rsidRDefault="15FC69F0" w:rsidP="00423EB2">
      <w:pPr>
        <w:pStyle w:val="Heading4"/>
        <w:spacing w:line="360" w:lineRule="atLeast"/>
      </w:pPr>
      <w:r w:rsidRPr="00A517DB">
        <w:t>In practice</w:t>
      </w:r>
    </w:p>
    <w:p w14:paraId="7CC90AE7" w14:textId="506E7C96" w:rsidR="00934398" w:rsidRPr="005E4476" w:rsidRDefault="15FC69F0" w:rsidP="003D0DFD">
      <w:pPr>
        <w:pStyle w:val="ListBullet"/>
      </w:pPr>
      <w:r>
        <w:t>Services adapted to local community contexts and individual circumstances</w:t>
      </w:r>
      <w:r w:rsidR="00DB5B4F">
        <w:t>.</w:t>
      </w:r>
    </w:p>
    <w:p w14:paraId="47B42C7D" w14:textId="39AE71CA" w:rsidR="00934398" w:rsidRPr="005E4476" w:rsidRDefault="15FC69F0" w:rsidP="003D0DFD">
      <w:pPr>
        <w:pStyle w:val="ListBullet"/>
      </w:pPr>
      <w:r>
        <w:t>Flexibility in how peoples access, engage with, and move through services</w:t>
      </w:r>
      <w:r w:rsidR="00DB5B4F">
        <w:t>.</w:t>
      </w:r>
    </w:p>
    <w:p w14:paraId="661B98E4" w14:textId="7450306A" w:rsidR="00934398" w:rsidRPr="005E4476" w:rsidRDefault="15FC69F0" w:rsidP="003D0DFD">
      <w:pPr>
        <w:pStyle w:val="ListBullet"/>
      </w:pPr>
      <w:r>
        <w:t>Recognition of family, kinship, and community responsibilities</w:t>
      </w:r>
      <w:r w:rsidR="00DB5B4F">
        <w:t>.</w:t>
      </w:r>
    </w:p>
    <w:p w14:paraId="4BC548BB" w14:textId="435E5123" w:rsidR="00934398" w:rsidRPr="00934398" w:rsidRDefault="15FC69F0" w:rsidP="003D0DFD">
      <w:pPr>
        <w:pStyle w:val="ListBullet"/>
        <w:rPr>
          <w:rFonts w:ascii="Verdana" w:eastAsiaTheme="minorEastAsia" w:hAnsi="Verdana"/>
        </w:rPr>
      </w:pPr>
      <w:r>
        <w:t>Ability to adjust employment pathways rather than enforcing fixed program structures</w:t>
      </w:r>
      <w:r w:rsidR="00DB5B4F">
        <w:t>.</w:t>
      </w:r>
    </w:p>
    <w:p w14:paraId="013D1559" w14:textId="7F1AAA07" w:rsidR="00934398" w:rsidRPr="00934398" w:rsidRDefault="4CCEC834" w:rsidP="00423EB2">
      <w:pPr>
        <w:pStyle w:val="Heading4"/>
        <w:spacing w:line="360" w:lineRule="atLeast"/>
      </w:pPr>
      <w:r>
        <w:t xml:space="preserve">Example from evidence </w:t>
      </w:r>
    </w:p>
    <w:p w14:paraId="12EFAAA5" w14:textId="4BC88A39" w:rsidR="00B7555A" w:rsidRPr="00B7555A" w:rsidRDefault="4CCEC834" w:rsidP="00423EB2">
      <w:pPr>
        <w:widowControl/>
      </w:pPr>
      <w:r>
        <w:t>The evidence show</w:t>
      </w:r>
      <w:r w:rsidRPr="006F22A6">
        <w:t>s</w:t>
      </w:r>
      <w:r>
        <w:t xml:space="preserve"> that rigid and standardised service models often do not work well because they fail to account for the realities of peoples’ lives. Family and caregiving responsibilities, changes in health, and limited or unreliable transport can make strict appointment schedules and fixed participation </w:t>
      </w:r>
      <w:r>
        <w:lastRenderedPageBreak/>
        <w:t>requirements difficult to manage</w:t>
      </w:r>
      <w:r w:rsidRPr="006F22A6">
        <w:t xml:space="preserve"> (Cooms &amp; </w:t>
      </w:r>
      <w:proofErr w:type="spellStart"/>
      <w:r w:rsidRPr="006F22A6">
        <w:t>Muurlink</w:t>
      </w:r>
      <w:proofErr w:type="spellEnd"/>
      <w:r w:rsidRPr="006F22A6">
        <w:t xml:space="preserve">, 2025; </w:t>
      </w:r>
      <w:proofErr w:type="spellStart"/>
      <w:r w:rsidRPr="006F22A6">
        <w:t>D’Aprano</w:t>
      </w:r>
      <w:proofErr w:type="spellEnd"/>
      <w:r w:rsidRPr="006F22A6">
        <w:t xml:space="preserve"> et al., 2024; Veli-Gold et al., 2023).</w:t>
      </w:r>
      <w:r>
        <w:t xml:space="preserve"> The evidence also highlight</w:t>
      </w:r>
      <w:r w:rsidRPr="006F22A6">
        <w:t>s</w:t>
      </w:r>
      <w:r>
        <w:t xml:space="preserve"> that systems such as the NDIS often assume people will engage in linear and individualised ways that may not reflect Aboriginal and Torres Strait Islander community and family contexts</w:t>
      </w:r>
      <w:r w:rsidRPr="006F22A6">
        <w:t xml:space="preserve"> (FPDNA, 2016; Gilroy et al., 2013).</w:t>
      </w:r>
      <w:r>
        <w:t xml:space="preserve"> In contrast, services that offer flexibility in timing, participation requirements and modes of delivery </w:t>
      </w:r>
      <w:r w:rsidRPr="006F22A6">
        <w:t>a</w:t>
      </w:r>
      <w:r>
        <w:t xml:space="preserve">re more accessible and easier to engage with. Flexible approaches reduce administrative burden and allow services to respond when peoples’ circumstances change. Across the evidence, flexibility </w:t>
      </w:r>
      <w:r w:rsidRPr="006F22A6">
        <w:t xml:space="preserve">reduces </w:t>
      </w:r>
      <w:r>
        <w:t>forms of non-engagement created by system design rather than by a lack of motivation, while also supporting employment and participation pathways that are often non-linear and shaped by changing life circumstances.</w:t>
      </w:r>
    </w:p>
    <w:p w14:paraId="43DE97DE" w14:textId="5E1FF832" w:rsidR="00F36CD0" w:rsidRDefault="4CCEC834" w:rsidP="00423EB2">
      <w:pPr>
        <w:pStyle w:val="Heading4"/>
        <w:spacing w:line="360" w:lineRule="atLeast"/>
      </w:pPr>
      <w:r>
        <w:t>Scenarios</w:t>
      </w:r>
    </w:p>
    <w:p w14:paraId="273CF2DC" w14:textId="77777777" w:rsidR="00432BF4" w:rsidRPr="005E4476" w:rsidRDefault="5BC098E0" w:rsidP="00423EB2">
      <w:pPr>
        <w:pStyle w:val="Heading5"/>
      </w:pPr>
      <w:r>
        <w:t>Scenario 1</w:t>
      </w:r>
    </w:p>
    <w:p w14:paraId="683DB5FD" w14:textId="77777777" w:rsidR="00432BF4" w:rsidRPr="00580177" w:rsidRDefault="5BC098E0" w:rsidP="00423EB2">
      <w:pPr>
        <w:pStyle w:val="Scenario"/>
        <w:spacing w:line="360" w:lineRule="atLeast"/>
      </w:pPr>
      <w:r w:rsidRPr="00580177">
        <w:t>Leanne relies on her brother to get around.</w:t>
      </w:r>
    </w:p>
    <w:p w14:paraId="227BA379" w14:textId="77777777" w:rsidR="00432BF4" w:rsidRPr="00580177" w:rsidRDefault="5BC098E0" w:rsidP="00423EB2">
      <w:pPr>
        <w:pStyle w:val="Scenario"/>
        <w:spacing w:line="360" w:lineRule="atLeast"/>
      </w:pPr>
      <w:r w:rsidRPr="00580177">
        <w:t>When he’s working, she can’t go anywhere.</w:t>
      </w:r>
    </w:p>
    <w:p w14:paraId="7C3B1665" w14:textId="77777777" w:rsidR="00432BF4" w:rsidRPr="00580177" w:rsidRDefault="5BC098E0" w:rsidP="00423EB2">
      <w:pPr>
        <w:pStyle w:val="Scenario"/>
        <w:spacing w:line="360" w:lineRule="atLeast"/>
      </w:pPr>
      <w:r w:rsidRPr="00580177">
        <w:t>Her appointment is at 10:00am. Same office, same time they’ve booked every week.</w:t>
      </w:r>
    </w:p>
    <w:p w14:paraId="01D71ECD" w14:textId="77777777" w:rsidR="00432BF4" w:rsidRPr="00580177" w:rsidRDefault="5BC098E0" w:rsidP="00423EB2">
      <w:pPr>
        <w:pStyle w:val="Scenario"/>
        <w:spacing w:line="360" w:lineRule="atLeast"/>
      </w:pPr>
      <w:r w:rsidRPr="00580177">
        <w:t>That morning, her brother gets called into work early. He can’t take her.</w:t>
      </w:r>
    </w:p>
    <w:p w14:paraId="34C5468F" w14:textId="77777777" w:rsidR="00432BF4" w:rsidRPr="00580177" w:rsidRDefault="5BC098E0" w:rsidP="00423EB2">
      <w:pPr>
        <w:pStyle w:val="Scenario"/>
        <w:spacing w:line="360" w:lineRule="atLeast"/>
      </w:pPr>
      <w:r w:rsidRPr="00580177">
        <w:t>There’s no other way for her to get there. No bus that runs close enough. No one else available.</w:t>
      </w:r>
    </w:p>
    <w:p w14:paraId="0F30BC9D" w14:textId="77777777" w:rsidR="00432BF4" w:rsidRPr="00580177" w:rsidRDefault="5BC098E0" w:rsidP="00423EB2">
      <w:pPr>
        <w:pStyle w:val="Scenario"/>
        <w:spacing w:line="360" w:lineRule="atLeast"/>
      </w:pPr>
      <w:r w:rsidRPr="00580177">
        <w:t>She calls the service to explain.</w:t>
      </w:r>
    </w:p>
    <w:p w14:paraId="5BC0834A" w14:textId="77777777" w:rsidR="00432BF4" w:rsidRPr="00580177" w:rsidRDefault="5BC098E0" w:rsidP="00423EB2">
      <w:pPr>
        <w:pStyle w:val="Scenario"/>
        <w:spacing w:line="360" w:lineRule="atLeast"/>
      </w:pPr>
      <w:r w:rsidRPr="00580177">
        <w:t>The worker tells her she’ll need to reschedule. Next available appointment is in two weeks.</w:t>
      </w:r>
    </w:p>
    <w:p w14:paraId="037986D4" w14:textId="77777777" w:rsidR="00432BF4" w:rsidRPr="00580177" w:rsidRDefault="5BC098E0" w:rsidP="00423EB2">
      <w:pPr>
        <w:pStyle w:val="Scenario"/>
        <w:spacing w:line="360" w:lineRule="atLeast"/>
      </w:pPr>
      <w:r w:rsidRPr="00580177">
        <w:t>“You need to attend regularly to stay on track.”</w:t>
      </w:r>
    </w:p>
    <w:p w14:paraId="6836176E" w14:textId="77777777" w:rsidR="00432BF4" w:rsidRPr="00580177" w:rsidRDefault="5BC098E0" w:rsidP="00423EB2">
      <w:pPr>
        <w:pStyle w:val="Scenario"/>
        <w:spacing w:line="360" w:lineRule="atLeast"/>
      </w:pPr>
      <w:r w:rsidRPr="00580177">
        <w:t>Leanne says okay.</w:t>
      </w:r>
    </w:p>
    <w:p w14:paraId="7E2DBB70" w14:textId="77777777" w:rsidR="00432BF4" w:rsidRPr="00580177" w:rsidRDefault="5BC098E0" w:rsidP="00423EB2">
      <w:pPr>
        <w:pStyle w:val="Scenario"/>
        <w:spacing w:line="360" w:lineRule="atLeast"/>
      </w:pPr>
      <w:r w:rsidRPr="00580177">
        <w:t>After a while, it feels like she’s always trying to catch up to something that doesn’t move.</w:t>
      </w:r>
    </w:p>
    <w:p w14:paraId="3B7CA7C8" w14:textId="77777777" w:rsidR="00432BF4" w:rsidRPr="00580177" w:rsidRDefault="5BC098E0" w:rsidP="00423EB2">
      <w:pPr>
        <w:pStyle w:val="Scenario"/>
        <w:spacing w:line="360" w:lineRule="atLeast"/>
      </w:pPr>
      <w:r w:rsidRPr="00580177">
        <w:t>The plan keeps going. She doesn’t.</w:t>
      </w:r>
    </w:p>
    <w:p w14:paraId="383D734E" w14:textId="77777777" w:rsidR="00432BF4" w:rsidRPr="00580177" w:rsidRDefault="5BC098E0" w:rsidP="00423EB2">
      <w:pPr>
        <w:pStyle w:val="Scenario"/>
        <w:spacing w:line="360" w:lineRule="atLeast"/>
      </w:pPr>
      <w:r w:rsidRPr="00580177">
        <w:t>Eventually, the file is updated. “Unable to engage.”</w:t>
      </w:r>
    </w:p>
    <w:p w14:paraId="287D5466" w14:textId="116A7328" w:rsidR="00432BF4" w:rsidRPr="00432BF4" w:rsidRDefault="5BC098E0" w:rsidP="00423EB2">
      <w:pPr>
        <w:pStyle w:val="Heading5"/>
      </w:pPr>
      <w:bookmarkStart w:id="47" w:name="_Toc227336474"/>
      <w:r>
        <w:t>Scenario 2</w:t>
      </w:r>
      <w:bookmarkEnd w:id="47"/>
    </w:p>
    <w:p w14:paraId="6B1B9775" w14:textId="77777777" w:rsidR="00432BF4" w:rsidRPr="00580177" w:rsidRDefault="5BC098E0" w:rsidP="00423EB2">
      <w:pPr>
        <w:pStyle w:val="Scenario"/>
        <w:spacing w:line="360" w:lineRule="atLeast"/>
      </w:pPr>
      <w:r w:rsidRPr="00580177">
        <w:t>Leanne relies on her brother to get around.</w:t>
      </w:r>
    </w:p>
    <w:p w14:paraId="1C8E4B82" w14:textId="77777777" w:rsidR="00432BF4" w:rsidRPr="00580177" w:rsidRDefault="5BC098E0" w:rsidP="00423EB2">
      <w:pPr>
        <w:pStyle w:val="Scenario"/>
        <w:spacing w:line="360" w:lineRule="atLeast"/>
      </w:pPr>
      <w:r w:rsidRPr="00580177">
        <w:t>When he’s working, she can’t go anywhere.</w:t>
      </w:r>
    </w:p>
    <w:p w14:paraId="19F37233" w14:textId="77777777" w:rsidR="00432BF4" w:rsidRPr="00580177" w:rsidRDefault="5BC098E0" w:rsidP="00423EB2">
      <w:pPr>
        <w:pStyle w:val="Scenario"/>
        <w:spacing w:line="360" w:lineRule="atLeast"/>
      </w:pPr>
      <w:r w:rsidRPr="00580177">
        <w:t>Her appointment is at 10:00am.</w:t>
      </w:r>
    </w:p>
    <w:p w14:paraId="2B70DC4E" w14:textId="77777777" w:rsidR="00432BF4" w:rsidRPr="00580177" w:rsidRDefault="5BC098E0" w:rsidP="00423EB2">
      <w:pPr>
        <w:pStyle w:val="Scenario"/>
        <w:spacing w:line="360" w:lineRule="atLeast"/>
      </w:pPr>
      <w:r w:rsidRPr="00580177">
        <w:t>That morning, her brother gets called into work early.</w:t>
      </w:r>
    </w:p>
    <w:p w14:paraId="23C064A5" w14:textId="77777777" w:rsidR="00432BF4" w:rsidRPr="00580177" w:rsidRDefault="5BC098E0" w:rsidP="00423EB2">
      <w:pPr>
        <w:pStyle w:val="Scenario"/>
        <w:spacing w:line="360" w:lineRule="atLeast"/>
      </w:pPr>
      <w:r w:rsidRPr="00580177">
        <w:t>She sends Karen a message.</w:t>
      </w:r>
    </w:p>
    <w:p w14:paraId="26E1CC49" w14:textId="77777777" w:rsidR="00432BF4" w:rsidRPr="00580177" w:rsidRDefault="5BC098E0" w:rsidP="00423EB2">
      <w:pPr>
        <w:pStyle w:val="Scenario"/>
        <w:spacing w:line="360" w:lineRule="atLeast"/>
      </w:pPr>
      <w:r w:rsidRPr="00580177">
        <w:t>“Can’t get a lift today.”</w:t>
      </w:r>
    </w:p>
    <w:p w14:paraId="3F66C4CB" w14:textId="77777777" w:rsidR="00432BF4" w:rsidRPr="00580177" w:rsidRDefault="5BC098E0" w:rsidP="00423EB2">
      <w:pPr>
        <w:pStyle w:val="Scenario"/>
        <w:spacing w:line="360" w:lineRule="atLeast"/>
      </w:pPr>
      <w:r w:rsidRPr="00580177">
        <w:t>Karen replies straight away.</w:t>
      </w:r>
    </w:p>
    <w:p w14:paraId="64986308" w14:textId="77777777" w:rsidR="00432BF4" w:rsidRPr="00580177" w:rsidRDefault="5BC098E0" w:rsidP="00423EB2">
      <w:pPr>
        <w:pStyle w:val="Scenario"/>
        <w:spacing w:line="360" w:lineRule="atLeast"/>
      </w:pPr>
      <w:r w:rsidRPr="00580177">
        <w:t>“All good. Let’s work it out.”</w:t>
      </w:r>
    </w:p>
    <w:p w14:paraId="451C0817" w14:textId="77777777" w:rsidR="00432BF4" w:rsidRPr="00580177" w:rsidRDefault="5BC098E0" w:rsidP="00423EB2">
      <w:pPr>
        <w:pStyle w:val="Scenario"/>
        <w:spacing w:line="360" w:lineRule="atLeast"/>
      </w:pPr>
      <w:r w:rsidRPr="00580177">
        <w:t>She checks in with the local Aboriginal organisation. Someone’s already heading out that way. They organise a lift.</w:t>
      </w:r>
    </w:p>
    <w:p w14:paraId="5F6F408E" w14:textId="77777777" w:rsidR="00432BF4" w:rsidRPr="00580177" w:rsidRDefault="5BC098E0" w:rsidP="00423EB2">
      <w:pPr>
        <w:pStyle w:val="Scenario"/>
        <w:spacing w:line="360" w:lineRule="atLeast"/>
      </w:pPr>
      <w:r w:rsidRPr="00580177">
        <w:lastRenderedPageBreak/>
        <w:t>Leanne gets there, a bit later than planned, but it still happens.</w:t>
      </w:r>
    </w:p>
    <w:p w14:paraId="4A0C7E7F" w14:textId="77777777" w:rsidR="00432BF4" w:rsidRPr="00580177" w:rsidRDefault="5BC098E0" w:rsidP="00423EB2">
      <w:pPr>
        <w:pStyle w:val="Scenario"/>
        <w:spacing w:line="360" w:lineRule="atLeast"/>
      </w:pPr>
      <w:r w:rsidRPr="00580177">
        <w:t>After that, they stop booking things the same way.</w:t>
      </w:r>
    </w:p>
    <w:p w14:paraId="5C5DB217" w14:textId="77777777" w:rsidR="00432BF4" w:rsidRPr="00580177" w:rsidRDefault="5BC098E0" w:rsidP="00423EB2">
      <w:pPr>
        <w:pStyle w:val="Scenario"/>
        <w:spacing w:line="360" w:lineRule="atLeast"/>
      </w:pPr>
      <w:r w:rsidRPr="00580177">
        <w:t>They ask when her brother is usually available. They plan around that. And when things change, they adjust again.</w:t>
      </w:r>
    </w:p>
    <w:p w14:paraId="11860209" w14:textId="77777777" w:rsidR="00432BF4" w:rsidRPr="00580177" w:rsidRDefault="5BC098E0" w:rsidP="00423EB2">
      <w:pPr>
        <w:pStyle w:val="Scenario"/>
        <w:spacing w:line="360" w:lineRule="atLeast"/>
      </w:pPr>
      <w:r w:rsidRPr="00580177">
        <w:t>It’s not treated like a disruption. It’s just part of how things work.</w:t>
      </w:r>
    </w:p>
    <w:p w14:paraId="5D08D967" w14:textId="77777777" w:rsidR="00432BF4" w:rsidRDefault="5BC098E0" w:rsidP="00964023">
      <w:pPr>
        <w:pStyle w:val="Scenario"/>
        <w:spacing w:line="360" w:lineRule="atLeast"/>
      </w:pPr>
      <w:r w:rsidRPr="00580177">
        <w:t>Leanne stays connected because the service doesn’t expect her life to fit the system, it is flexible enough to fit around her life.</w:t>
      </w:r>
    </w:p>
    <w:p w14:paraId="6FB35C09" w14:textId="77777777" w:rsidR="003D0DFD" w:rsidRPr="00580177" w:rsidRDefault="003D0DFD" w:rsidP="00964023">
      <w:pPr>
        <w:pStyle w:val="Scenario"/>
        <w:spacing w:line="360" w:lineRule="atLeast"/>
      </w:pPr>
    </w:p>
    <w:p w14:paraId="198B7331" w14:textId="6C427C0D" w:rsidR="00A96AD1" w:rsidRPr="005E4476" w:rsidRDefault="1B3C76B4" w:rsidP="00423EB2">
      <w:pPr>
        <w:pStyle w:val="Heading3"/>
        <w:spacing w:line="360" w:lineRule="atLeast"/>
      </w:pPr>
      <w:bookmarkStart w:id="48" w:name="_Toc231482952"/>
      <w:r>
        <w:t>Co-designed</w:t>
      </w:r>
      <w:r w:rsidR="193C8456">
        <w:t xml:space="preserve"> and culturally safe</w:t>
      </w:r>
      <w:r>
        <w:t xml:space="preserve"> services</w:t>
      </w:r>
      <w:bookmarkEnd w:id="48"/>
    </w:p>
    <w:p w14:paraId="476C1C6E" w14:textId="5E208C59" w:rsidR="00A96AD1" w:rsidRDefault="15DD8456" w:rsidP="00423EB2">
      <w:pPr>
        <w:pStyle w:val="Heading4"/>
        <w:spacing w:line="360" w:lineRule="atLeast"/>
      </w:pPr>
      <w:r>
        <w:t xml:space="preserve">In practice </w:t>
      </w:r>
    </w:p>
    <w:p w14:paraId="5089FF77" w14:textId="4EDEB9C8" w:rsidR="000A7AB4" w:rsidRPr="005E4476" w:rsidRDefault="44F0F968" w:rsidP="003D0DFD">
      <w:pPr>
        <w:pStyle w:val="ListBullet"/>
      </w:pPr>
      <w:r>
        <w:t>Services and programs developed with Aboriginal and Torres Strait Islander peoples, rather than imposed externally</w:t>
      </w:r>
      <w:r w:rsidR="003D0DFD">
        <w:t>.</w:t>
      </w:r>
    </w:p>
    <w:p w14:paraId="591A47A7" w14:textId="66569CE9" w:rsidR="000A7AB4" w:rsidRPr="005E4476" w:rsidRDefault="44F0F968" w:rsidP="003D0DFD">
      <w:pPr>
        <w:pStyle w:val="ListBullet"/>
      </w:pPr>
      <w:r>
        <w:t>Inclusion of community Knowledges, priorities, and lived realities in design processes</w:t>
      </w:r>
      <w:r w:rsidR="003D0DFD">
        <w:t>.</w:t>
      </w:r>
    </w:p>
    <w:p w14:paraId="603BC030" w14:textId="23CE90B4" w:rsidR="000A7AB4" w:rsidRPr="005E4476" w:rsidRDefault="44F0F968" w:rsidP="003D0DFD">
      <w:pPr>
        <w:pStyle w:val="ListBullet"/>
      </w:pPr>
      <w:r>
        <w:t>Ongoing consultation, feedback, and adapt</w:t>
      </w:r>
      <w:r w:rsidRPr="006F22A6">
        <w:t>at</w:t>
      </w:r>
      <w:r>
        <w:t>ion, rather than one-off engagement</w:t>
      </w:r>
      <w:r w:rsidR="003D0DFD">
        <w:t>.</w:t>
      </w:r>
    </w:p>
    <w:p w14:paraId="6F48C834" w14:textId="46921F1C" w:rsidR="000A7AB4" w:rsidRPr="005E4476" w:rsidRDefault="44F0F968" w:rsidP="003D0DFD">
      <w:pPr>
        <w:pStyle w:val="ListBullet"/>
        <w:rPr>
          <w:rFonts w:ascii="Verdana" w:eastAsiaTheme="minorEastAsia" w:hAnsi="Verdana"/>
        </w:rPr>
      </w:pPr>
      <w:r>
        <w:t>Decision-making that reflects shared authority and local context</w:t>
      </w:r>
      <w:r w:rsidR="003D0DFD">
        <w:t>.</w:t>
      </w:r>
    </w:p>
    <w:p w14:paraId="6C49E18B" w14:textId="31610A3A" w:rsidR="000F5B10" w:rsidRDefault="3782699F" w:rsidP="00423EB2">
      <w:pPr>
        <w:pStyle w:val="Heading4"/>
        <w:spacing w:line="360" w:lineRule="atLeast"/>
      </w:pPr>
      <w:r>
        <w:t>Example from the evidence</w:t>
      </w:r>
    </w:p>
    <w:p w14:paraId="2AC6BDB0" w14:textId="2235615A" w:rsidR="00386733" w:rsidRPr="00386733" w:rsidRDefault="0F33BD5D" w:rsidP="00423EB2">
      <w:pPr>
        <w:widowControl/>
      </w:pPr>
      <w:r>
        <w:t>The evidence consistently identifie</w:t>
      </w:r>
      <w:r w:rsidRPr="006F22A6">
        <w:t>s</w:t>
      </w:r>
      <w:r>
        <w:t xml:space="preserve"> co-designed approaches, shared decision-making and community authority as important for effective service delivery (AIATSIS, 2020</w:t>
      </w:r>
      <w:r w:rsidRPr="006F22A6">
        <w:t>; NIAA, 2020</w:t>
      </w:r>
      <w:r>
        <w:t xml:space="preserve">). </w:t>
      </w:r>
      <w:r w:rsidRPr="006F22A6">
        <w:t>Many</w:t>
      </w:r>
      <w:r>
        <w:t xml:space="preserve"> mainstream services are built around </w:t>
      </w:r>
      <w:r w:rsidR="009A2028">
        <w:t>w</w:t>
      </w:r>
      <w:r>
        <w:t>estern assumptions about disability, independence and participation, which can create barriers for Aboriginal and Torres Strait Islander peoples (</w:t>
      </w:r>
      <w:r w:rsidRPr="006F22A6">
        <w:t xml:space="preserve">FPDNA, 2016; </w:t>
      </w:r>
      <w:r>
        <w:t>Gilroy et al., 2013).</w:t>
      </w:r>
      <w:r w:rsidR="1362EC15">
        <w:t xml:space="preserve"> </w:t>
      </w:r>
      <w:r>
        <w:t xml:space="preserve">In contrast, services developed in partnership with communities </w:t>
      </w:r>
      <w:r w:rsidRPr="006F22A6">
        <w:t>a</w:t>
      </w:r>
      <w:r>
        <w:t xml:space="preserve">re better able to reflect cultural understandings of disability, family responsibilities and support needs (Martin, 2008; Nakata, 2007). </w:t>
      </w:r>
      <w:r w:rsidRPr="006F22A6">
        <w:t>Ongoing</w:t>
      </w:r>
      <w:r>
        <w:t xml:space="preserve"> consultation, feedback and adaptation strengthen trust, relevance and ongoing engagement with services (AHRC, 2019; Productivity Commission, 2020). Across the evidence, co-design </w:t>
      </w:r>
      <w:r w:rsidRPr="006F22A6">
        <w:t>is</w:t>
      </w:r>
      <w:r>
        <w:t xml:space="preserve"> effective because it buil</w:t>
      </w:r>
      <w:r w:rsidRPr="006F22A6">
        <w:t>ds</w:t>
      </w:r>
      <w:r>
        <w:t xml:space="preserve"> services that </w:t>
      </w:r>
      <w:r w:rsidRPr="006F22A6">
        <w:t>a</w:t>
      </w:r>
      <w:r>
        <w:t>re more culturally appropriate, locally relevant and trusted by communities through shared decision-making and ongoing community involvement over time.</w:t>
      </w:r>
    </w:p>
    <w:p w14:paraId="7AC9C899" w14:textId="77777777" w:rsidR="003D0DFD" w:rsidRDefault="003D0DFD" w:rsidP="00423EB2">
      <w:pPr>
        <w:pStyle w:val="Heading4"/>
        <w:spacing w:line="360" w:lineRule="atLeast"/>
      </w:pPr>
      <w:r>
        <w:br w:type="page"/>
      </w:r>
    </w:p>
    <w:p w14:paraId="5C82C4A6" w14:textId="61790536" w:rsidR="006419BC" w:rsidRDefault="677393EA" w:rsidP="00423EB2">
      <w:pPr>
        <w:pStyle w:val="Heading4"/>
        <w:spacing w:line="360" w:lineRule="atLeast"/>
      </w:pPr>
      <w:r>
        <w:lastRenderedPageBreak/>
        <w:t>Scenarios</w:t>
      </w:r>
    </w:p>
    <w:p w14:paraId="10E3A337" w14:textId="77777777" w:rsidR="00C35E94" w:rsidRPr="005E4476" w:rsidRDefault="11B7F541" w:rsidP="00423EB2">
      <w:pPr>
        <w:pStyle w:val="Heading5"/>
      </w:pPr>
      <w:r>
        <w:t>Scenario 1</w:t>
      </w:r>
    </w:p>
    <w:p w14:paraId="07F92ADC" w14:textId="77777777" w:rsidR="00C35E94" w:rsidRPr="00580177" w:rsidRDefault="11B7F541" w:rsidP="00423EB2">
      <w:pPr>
        <w:pStyle w:val="Scenario"/>
        <w:spacing w:line="360" w:lineRule="atLeast"/>
      </w:pPr>
      <w:r w:rsidRPr="00580177">
        <w:t>The organisation sets up an Elders advisory group before launching the program.</w:t>
      </w:r>
    </w:p>
    <w:p w14:paraId="7CEDDE09" w14:textId="77777777" w:rsidR="00C35E94" w:rsidRPr="00580177" w:rsidRDefault="11B7F541" w:rsidP="00423EB2">
      <w:pPr>
        <w:pStyle w:val="Scenario"/>
        <w:spacing w:line="360" w:lineRule="atLeast"/>
      </w:pPr>
      <w:r w:rsidRPr="00580177">
        <w:t>Leanne’s Aunty is invited to join.</w:t>
      </w:r>
    </w:p>
    <w:p w14:paraId="4C6BEE3D" w14:textId="77777777" w:rsidR="00C35E94" w:rsidRPr="00580177" w:rsidRDefault="11B7F541" w:rsidP="00423EB2">
      <w:pPr>
        <w:pStyle w:val="Scenario"/>
        <w:spacing w:line="360" w:lineRule="atLeast"/>
      </w:pPr>
      <w:r w:rsidRPr="00580177">
        <w:t>They meet in a boardroom. There’s a presentation: slides, timelines, the program already mapped out.</w:t>
      </w:r>
    </w:p>
    <w:p w14:paraId="639F7472" w14:textId="77777777" w:rsidR="00C35E94" w:rsidRPr="00580177" w:rsidRDefault="11B7F541" w:rsidP="00423EB2">
      <w:pPr>
        <w:pStyle w:val="Scenario"/>
        <w:spacing w:line="360" w:lineRule="atLeast"/>
      </w:pPr>
      <w:r w:rsidRPr="00580177">
        <w:t>The staff walk them through it.</w:t>
      </w:r>
    </w:p>
    <w:p w14:paraId="774334E5" w14:textId="77777777" w:rsidR="00C35E94" w:rsidRPr="00580177" w:rsidRDefault="11B7F541" w:rsidP="00423EB2">
      <w:pPr>
        <w:pStyle w:val="Scenario"/>
        <w:spacing w:line="360" w:lineRule="atLeast"/>
      </w:pPr>
      <w:r w:rsidRPr="00580177">
        <w:t>“We’d really value your feedback,” they say.</w:t>
      </w:r>
    </w:p>
    <w:p w14:paraId="68511C37" w14:textId="77777777" w:rsidR="00C35E94" w:rsidRPr="00580177" w:rsidRDefault="11B7F541" w:rsidP="00423EB2">
      <w:pPr>
        <w:pStyle w:val="Scenario"/>
        <w:spacing w:line="360" w:lineRule="atLeast"/>
      </w:pPr>
      <w:r w:rsidRPr="00580177">
        <w:t>The Elders listen. They raise a few things; how family works, who should be involved, what might not sit right in community.</w:t>
      </w:r>
    </w:p>
    <w:p w14:paraId="0AB460E5" w14:textId="77777777" w:rsidR="00C35E94" w:rsidRPr="00580177" w:rsidRDefault="11B7F541" w:rsidP="00423EB2">
      <w:pPr>
        <w:pStyle w:val="Scenario"/>
        <w:spacing w:line="360" w:lineRule="atLeast"/>
      </w:pPr>
      <w:r w:rsidRPr="00580177">
        <w:t>The staff nod, take notes. “That’s really helpful.”</w:t>
      </w:r>
    </w:p>
    <w:p w14:paraId="44F5EEC8" w14:textId="77777777" w:rsidR="00C35E94" w:rsidRPr="00580177" w:rsidRDefault="11B7F541" w:rsidP="00423EB2">
      <w:pPr>
        <w:pStyle w:val="Scenario"/>
        <w:spacing w:line="360" w:lineRule="atLeast"/>
      </w:pPr>
      <w:r w:rsidRPr="00580177">
        <w:t>A few weeks later, the program rolls out. It looks mostly the same.</w:t>
      </w:r>
    </w:p>
    <w:p w14:paraId="29D65456" w14:textId="77777777" w:rsidR="00C35E94" w:rsidRPr="00580177" w:rsidRDefault="11B7F541" w:rsidP="00423EB2">
      <w:pPr>
        <w:pStyle w:val="Scenario"/>
        <w:spacing w:line="360" w:lineRule="atLeast"/>
      </w:pPr>
      <w:r w:rsidRPr="00580177">
        <w:t>Leanne’s Aunty doesn’t go back to the next meeting.</w:t>
      </w:r>
    </w:p>
    <w:p w14:paraId="1E6E2D61" w14:textId="77777777" w:rsidR="00C35E94" w:rsidRPr="00580177" w:rsidRDefault="11B7F541" w:rsidP="00423EB2">
      <w:pPr>
        <w:pStyle w:val="Scenario"/>
        <w:spacing w:line="360" w:lineRule="atLeast"/>
      </w:pPr>
      <w:r w:rsidRPr="00580177">
        <w:t>She says they’d already made up their mind.</w:t>
      </w:r>
    </w:p>
    <w:p w14:paraId="03CF9651" w14:textId="1BEFA5C2" w:rsidR="00C35E94" w:rsidRPr="005E4476" w:rsidRDefault="11B7F541" w:rsidP="00423EB2">
      <w:pPr>
        <w:pStyle w:val="Heading5"/>
      </w:pPr>
      <w:bookmarkStart w:id="49" w:name="_Toc227336479"/>
      <w:r>
        <w:t>Scenario 2</w:t>
      </w:r>
      <w:bookmarkEnd w:id="49"/>
    </w:p>
    <w:p w14:paraId="4DC65E1E" w14:textId="77777777" w:rsidR="00C35E94" w:rsidRPr="00580177" w:rsidRDefault="11B7F541" w:rsidP="00423EB2">
      <w:pPr>
        <w:pStyle w:val="Scenario"/>
        <w:spacing w:line="360" w:lineRule="atLeast"/>
      </w:pPr>
      <w:r w:rsidRPr="00580177">
        <w:t>The organisation reaches out to local Elders before anything is finalised. Not to present a program, but to start a conversation. Leanne’s Aunty is part of that group. They meet a few times. Not always in the office. Sometimes out in community. Sometimes just sitting together and talking things through.</w:t>
      </w:r>
    </w:p>
    <w:p w14:paraId="4E1583AF" w14:textId="77777777" w:rsidR="00C35E94" w:rsidRPr="00580177" w:rsidRDefault="11B7F541" w:rsidP="00423EB2">
      <w:pPr>
        <w:pStyle w:val="Scenario"/>
        <w:spacing w:line="360" w:lineRule="atLeast"/>
      </w:pPr>
      <w:r w:rsidRPr="00580177">
        <w:t>The first version of the program is rough. The Elders pull it apart. What won’t work. Who’s missing. What needs to change.</w:t>
      </w:r>
    </w:p>
    <w:p w14:paraId="2A69A1CC" w14:textId="77777777" w:rsidR="00C35E94" w:rsidRPr="00580177" w:rsidRDefault="11B7F541" w:rsidP="00423EB2">
      <w:pPr>
        <w:pStyle w:val="Scenario"/>
        <w:spacing w:line="360" w:lineRule="atLeast"/>
      </w:pPr>
      <w:r w:rsidRPr="00580177">
        <w:t>The staff don’t move ahead without that.</w:t>
      </w:r>
    </w:p>
    <w:p w14:paraId="3170E50E" w14:textId="77777777" w:rsidR="00C35E94" w:rsidRPr="00580177" w:rsidRDefault="11B7F541" w:rsidP="00423EB2">
      <w:pPr>
        <w:pStyle w:val="Scenario"/>
        <w:spacing w:line="360" w:lineRule="atLeast"/>
      </w:pPr>
      <w:r w:rsidRPr="00580177">
        <w:t>They come back again, with something different.</w:t>
      </w:r>
    </w:p>
    <w:p w14:paraId="53100AAC" w14:textId="77777777" w:rsidR="00C35E94" w:rsidRPr="00580177" w:rsidRDefault="11B7F541" w:rsidP="00423EB2">
      <w:pPr>
        <w:pStyle w:val="Scenario"/>
        <w:spacing w:line="360" w:lineRule="atLeast"/>
      </w:pPr>
      <w:r w:rsidRPr="00580177">
        <w:t>This keeps happening. Decisions shift. Timelines shift. The way the service runs starts to reflect what’s been said, not just once, but over time.</w:t>
      </w:r>
    </w:p>
    <w:p w14:paraId="2976585B" w14:textId="77777777" w:rsidR="00C35E94" w:rsidRPr="00580177" w:rsidRDefault="11B7F541" w:rsidP="00423EB2">
      <w:pPr>
        <w:pStyle w:val="Scenario"/>
        <w:spacing w:line="360" w:lineRule="atLeast"/>
      </w:pPr>
      <w:r w:rsidRPr="00580177">
        <w:t>Leanne’s Aunty sees those changes. She keeps showing up.</w:t>
      </w:r>
    </w:p>
    <w:p w14:paraId="3C2855CE" w14:textId="42C088C3" w:rsidR="00C35E94" w:rsidRPr="00580177" w:rsidRDefault="11B7F541" w:rsidP="00423EB2">
      <w:pPr>
        <w:pStyle w:val="Scenario"/>
        <w:spacing w:line="360" w:lineRule="atLeast"/>
      </w:pPr>
      <w:r w:rsidRPr="00580177">
        <w:t>Because this time, they’re not just asking, they’re listening and changing things because of it.</w:t>
      </w:r>
    </w:p>
    <w:p w14:paraId="10C255E7" w14:textId="77777777" w:rsidR="006A41B5" w:rsidRDefault="006A41B5" w:rsidP="00423EB2">
      <w:pPr>
        <w:pStyle w:val="Heading3"/>
        <w:spacing w:line="360" w:lineRule="atLeast"/>
      </w:pPr>
      <w:bookmarkStart w:id="50" w:name="_Toc227336486"/>
      <w:bookmarkStart w:id="51" w:name="_Toc944692523"/>
      <w:r>
        <w:br w:type="page"/>
      </w:r>
    </w:p>
    <w:p w14:paraId="776F819E" w14:textId="5A97E894" w:rsidR="00AB4F5A" w:rsidRPr="005E4476" w:rsidRDefault="01E78F80" w:rsidP="00423EB2">
      <w:pPr>
        <w:pStyle w:val="Heading3"/>
        <w:spacing w:line="360" w:lineRule="atLeast"/>
      </w:pPr>
      <w:bookmarkStart w:id="52" w:name="_Toc231482953"/>
      <w:r>
        <w:lastRenderedPageBreak/>
        <w:t>Workforce capability and culturally appropriate support</w:t>
      </w:r>
      <w:bookmarkEnd w:id="50"/>
      <w:bookmarkEnd w:id="51"/>
      <w:bookmarkEnd w:id="52"/>
    </w:p>
    <w:p w14:paraId="0BCC8E6D" w14:textId="77777777" w:rsidR="00AB4F5A" w:rsidRDefault="01E78F80" w:rsidP="00423EB2">
      <w:pPr>
        <w:pStyle w:val="Heading4"/>
        <w:spacing w:line="360" w:lineRule="atLeast"/>
      </w:pPr>
      <w:r>
        <w:t xml:space="preserve">In practice </w:t>
      </w:r>
    </w:p>
    <w:p w14:paraId="0B549A3A" w14:textId="0A66341F" w:rsidR="000C73D6" w:rsidRPr="005E4476" w:rsidRDefault="7CD41345" w:rsidP="003D0DFD">
      <w:pPr>
        <w:pStyle w:val="ListBullet"/>
      </w:pPr>
      <w:r>
        <w:t>Staff with cultural capability and awareness of Aboriginal and Torres Strait Islander contexts</w:t>
      </w:r>
      <w:r w:rsidR="006A41B5">
        <w:t>.</w:t>
      </w:r>
    </w:p>
    <w:p w14:paraId="47AD4DC8" w14:textId="0DEA3B64" w:rsidR="000C73D6" w:rsidRPr="005E4476" w:rsidRDefault="7CD41345" w:rsidP="003D0DFD">
      <w:pPr>
        <w:pStyle w:val="ListBullet"/>
      </w:pPr>
      <w:r>
        <w:t>Understanding of historical, social and community dynamics shaping engagement</w:t>
      </w:r>
      <w:r w:rsidR="006A41B5">
        <w:t>.</w:t>
      </w:r>
    </w:p>
    <w:p w14:paraId="5E8DB9A9" w14:textId="6DF532A8" w:rsidR="000C73D6" w:rsidRPr="005E4476" w:rsidRDefault="7CD41345" w:rsidP="003D0DFD">
      <w:pPr>
        <w:pStyle w:val="ListBullet"/>
      </w:pPr>
      <w:r>
        <w:t>Ability to communicate in culturally appropriate and accessible ways</w:t>
      </w:r>
      <w:r w:rsidR="006A41B5">
        <w:t>.</w:t>
      </w:r>
    </w:p>
    <w:p w14:paraId="7E187796" w14:textId="72A5543C" w:rsidR="000C73D6" w:rsidRPr="005E4476" w:rsidRDefault="7CD41345" w:rsidP="003D0DFD">
      <w:pPr>
        <w:pStyle w:val="ListBullet"/>
      </w:pPr>
      <w:r>
        <w:t xml:space="preserve">Service delivery that </w:t>
      </w:r>
      <w:r w:rsidR="00580177">
        <w:t>is trauma</w:t>
      </w:r>
      <w:r w:rsidR="00FD1154" w:rsidRPr="006F22A6">
        <w:noBreakHyphen/>
      </w:r>
      <w:r w:rsidR="00580177">
        <w:t xml:space="preserve">informed and </w:t>
      </w:r>
      <w:r>
        <w:t>reflects respect, responsiveness, and relational accountability</w:t>
      </w:r>
      <w:r w:rsidR="006A41B5">
        <w:t>.</w:t>
      </w:r>
    </w:p>
    <w:p w14:paraId="0BB0A49D" w14:textId="4B9D6FB7" w:rsidR="000C73D6" w:rsidRPr="005E4476" w:rsidRDefault="7CD41345" w:rsidP="003D0DFD">
      <w:pPr>
        <w:pStyle w:val="ListBullet"/>
      </w:pPr>
      <w:r>
        <w:t>Inclusion of organisational practices that support ongoing learning and adaptation, not one-off training</w:t>
      </w:r>
      <w:r w:rsidR="006A41B5">
        <w:t>.</w:t>
      </w:r>
    </w:p>
    <w:p w14:paraId="0A53FC43" w14:textId="0E93A591" w:rsidR="000F5B10" w:rsidRDefault="07D00667" w:rsidP="00423EB2">
      <w:pPr>
        <w:pStyle w:val="Heading4"/>
        <w:spacing w:line="360" w:lineRule="atLeast"/>
      </w:pPr>
      <w:r>
        <w:t xml:space="preserve">Example from evidence </w:t>
      </w:r>
    </w:p>
    <w:p w14:paraId="66CC0E03" w14:textId="5B0DC12B" w:rsidR="00C26A30" w:rsidRPr="00C26A30" w:rsidRDefault="7C219858" w:rsidP="00423EB2">
      <w:pPr>
        <w:widowControl/>
      </w:pPr>
      <w:r>
        <w:t>The evidence identifie</w:t>
      </w:r>
      <w:r w:rsidRPr="006F22A6">
        <w:t>s</w:t>
      </w:r>
      <w:r>
        <w:t xml:space="preserve"> limited cultural capability within the workforce as a major barrier to effective service delivery (Leroy-Dyer &amp; Olssen, 2026). Low levels of cultural understanding in assessment, planning and communication can lead to misunderstanding, mistrust and poor engagement, particularly when services rely on standardised approaches that do not reflect Aboriginal and Torres Strait Islander community contexts or ways of understanding the world (Avery, 2016; Leroy-Dyer, </w:t>
      </w:r>
      <w:r w:rsidRPr="006F22A6">
        <w:t xml:space="preserve">2026a; Parmenter et al., 2024). This demonstrates that workforce capability is a structural condition: training alone is insufficient unless organisational systems enable staff to apply </w:t>
      </w:r>
      <w:r w:rsidR="00423EB2">
        <w:t>culturally-informed</w:t>
      </w:r>
      <w:r w:rsidRPr="006F22A6">
        <w:t xml:space="preserve"> practice.</w:t>
      </w:r>
    </w:p>
    <w:p w14:paraId="3A386F56" w14:textId="722A8CEF" w:rsidR="00C26A30" w:rsidRPr="00C26A30" w:rsidRDefault="7C219858" w:rsidP="00423EB2">
      <w:pPr>
        <w:widowControl/>
      </w:pPr>
      <w:r>
        <w:t xml:space="preserve">In contrast, service providers who communicate respectfully, remain open to learning and adapt their practice to different cultural contexts </w:t>
      </w:r>
      <w:r w:rsidRPr="006F22A6">
        <w:t>a</w:t>
      </w:r>
      <w:r>
        <w:t>re more likely to support ongoing engagement</w:t>
      </w:r>
      <w:r w:rsidRPr="006F22A6">
        <w:t xml:space="preserve"> (</w:t>
      </w:r>
      <w:proofErr w:type="spellStart"/>
      <w:r w:rsidRPr="006F22A6">
        <w:t>Lowitja</w:t>
      </w:r>
      <w:proofErr w:type="spellEnd"/>
      <w:r w:rsidRPr="006F22A6">
        <w:t xml:space="preserve"> Institute, 2017; NACCHO, 2021).</w:t>
      </w:r>
      <w:r>
        <w:t xml:space="preserve"> The evidence also show</w:t>
      </w:r>
      <w:r w:rsidRPr="006F22A6">
        <w:t>s</w:t>
      </w:r>
      <w:r>
        <w:t xml:space="preserve"> that important cultural and relational work</w:t>
      </w:r>
      <w:r w:rsidRPr="006F22A6">
        <w:t>, including</w:t>
      </w:r>
      <w:r>
        <w:t xml:space="preserve"> responsibilities to kin, community and Country</w:t>
      </w:r>
      <w:r w:rsidRPr="006F22A6">
        <w:t>,</w:t>
      </w:r>
      <w:r>
        <w:t xml:space="preserve"> is often not recognised within role descriptions, workloads or performance systems, despite being central to effective service delivery and participation</w:t>
      </w:r>
      <w:r w:rsidRPr="006F22A6">
        <w:t xml:space="preserve"> (Avery, 2018; Brown et al., 2020; Leroy-Dyer &amp; Olssen, 2026). Overall,</w:t>
      </w:r>
      <w:r>
        <w:t xml:space="preserve"> workforce capability is not only about the knowledge or skills of individual workers. It is also shaped by organisational conditions, including how staff are trained, supported and retained, and whether </w:t>
      </w:r>
      <w:r w:rsidR="00423EB2">
        <w:t>culturally-informed</w:t>
      </w:r>
      <w:r>
        <w:t xml:space="preserve"> practice is treated as a core part of service delivery rather than an optional extra (Avery, 2016; Gilroy et al., 2013</w:t>
      </w:r>
      <w:r w:rsidRPr="006F22A6">
        <w:t>; Talbot et al., 2025</w:t>
      </w:r>
      <w:r>
        <w:t>).</w:t>
      </w:r>
    </w:p>
    <w:p w14:paraId="4D5ABE04" w14:textId="77777777" w:rsidR="006A41B5" w:rsidRDefault="006A41B5" w:rsidP="00423EB2">
      <w:pPr>
        <w:pStyle w:val="Heading4"/>
        <w:spacing w:line="360" w:lineRule="atLeast"/>
      </w:pPr>
      <w:r>
        <w:br w:type="page"/>
      </w:r>
    </w:p>
    <w:p w14:paraId="20B64FE1" w14:textId="605F916C" w:rsidR="00E07A49" w:rsidRDefault="37A9861B" w:rsidP="00423EB2">
      <w:pPr>
        <w:pStyle w:val="Heading4"/>
        <w:spacing w:line="360" w:lineRule="atLeast"/>
      </w:pPr>
      <w:r>
        <w:lastRenderedPageBreak/>
        <w:t>Scenarios</w:t>
      </w:r>
    </w:p>
    <w:p w14:paraId="202F5EF0" w14:textId="77777777" w:rsidR="003A6A3C" w:rsidRPr="005E4476" w:rsidRDefault="4FBF5B8E" w:rsidP="00423EB2">
      <w:pPr>
        <w:pStyle w:val="Heading5"/>
      </w:pPr>
      <w:r>
        <w:t>Scenario 1</w:t>
      </w:r>
    </w:p>
    <w:p w14:paraId="5459D30F" w14:textId="77777777" w:rsidR="003A6A3C" w:rsidRPr="00580177" w:rsidRDefault="4FBF5B8E" w:rsidP="00423EB2">
      <w:pPr>
        <w:pStyle w:val="Scenario"/>
        <w:spacing w:line="360" w:lineRule="atLeast"/>
      </w:pPr>
      <w:r w:rsidRPr="00580177">
        <w:t>The worker has done the training.</w:t>
      </w:r>
    </w:p>
    <w:p w14:paraId="1502D74B" w14:textId="77777777" w:rsidR="003A6A3C" w:rsidRPr="00580177" w:rsidRDefault="4FBF5B8E" w:rsidP="00423EB2">
      <w:pPr>
        <w:pStyle w:val="Scenario"/>
        <w:spacing w:line="360" w:lineRule="atLeast"/>
      </w:pPr>
      <w:r w:rsidRPr="00580177">
        <w:t>There’s a certificate on the wall. A folder on the desk with cultural awareness notes.</w:t>
      </w:r>
    </w:p>
    <w:p w14:paraId="290A20DA" w14:textId="77777777" w:rsidR="003A6A3C" w:rsidRPr="00580177" w:rsidRDefault="4FBF5B8E" w:rsidP="00423EB2">
      <w:pPr>
        <w:pStyle w:val="Scenario"/>
        <w:spacing w:line="360" w:lineRule="atLeast"/>
      </w:pPr>
      <w:r w:rsidRPr="00580177">
        <w:t>When the young man comes in, she follows the process.</w:t>
      </w:r>
    </w:p>
    <w:p w14:paraId="049B256A" w14:textId="77777777" w:rsidR="003A6A3C" w:rsidRPr="00580177" w:rsidRDefault="4FBF5B8E" w:rsidP="00423EB2">
      <w:pPr>
        <w:pStyle w:val="Scenario"/>
        <w:spacing w:line="360" w:lineRule="atLeast"/>
      </w:pPr>
      <w:r w:rsidRPr="00580177">
        <w:t>Assessment questions. Checklists. Structured conversation.</w:t>
      </w:r>
    </w:p>
    <w:p w14:paraId="4EF6FB4B" w14:textId="77777777" w:rsidR="003A6A3C" w:rsidRPr="00580177" w:rsidRDefault="4FBF5B8E" w:rsidP="00423EB2">
      <w:pPr>
        <w:pStyle w:val="Scenario"/>
        <w:spacing w:line="360" w:lineRule="atLeast"/>
      </w:pPr>
      <w:r w:rsidRPr="00580177">
        <w:t>She asks about his living situation.</w:t>
      </w:r>
    </w:p>
    <w:p w14:paraId="74135764" w14:textId="77777777" w:rsidR="003A6A3C" w:rsidRPr="00580177" w:rsidRDefault="4FBF5B8E" w:rsidP="00423EB2">
      <w:pPr>
        <w:pStyle w:val="Scenario"/>
        <w:spacing w:line="360" w:lineRule="atLeast"/>
      </w:pPr>
      <w:r w:rsidRPr="00580177">
        <w:t>He tries to explain, who stays where, who comes and goes, who he’s responsible for.</w:t>
      </w:r>
    </w:p>
    <w:p w14:paraId="250C8DCB" w14:textId="77777777" w:rsidR="003A6A3C" w:rsidRPr="00580177" w:rsidRDefault="4FBF5B8E" w:rsidP="00423EB2">
      <w:pPr>
        <w:pStyle w:val="Scenario"/>
        <w:spacing w:line="360" w:lineRule="atLeast"/>
      </w:pPr>
      <w:r w:rsidRPr="00580177">
        <w:t>It doesn’t fit the boxes.</w:t>
      </w:r>
    </w:p>
    <w:p w14:paraId="6DA85EF7" w14:textId="77777777" w:rsidR="003A6A3C" w:rsidRPr="00580177" w:rsidRDefault="4FBF5B8E" w:rsidP="00423EB2">
      <w:pPr>
        <w:pStyle w:val="Scenario"/>
        <w:spacing w:line="360" w:lineRule="atLeast"/>
      </w:pPr>
      <w:r w:rsidRPr="00580177">
        <w:t>She pauses, then simplifies it. “</w:t>
      </w:r>
      <w:proofErr w:type="gramStart"/>
      <w:r w:rsidRPr="00580177">
        <w:t>So</w:t>
      </w:r>
      <w:proofErr w:type="gramEnd"/>
      <w:r w:rsidRPr="00580177">
        <w:t xml:space="preserve"> you live alone?”</w:t>
      </w:r>
    </w:p>
    <w:p w14:paraId="6F5008BD" w14:textId="77777777" w:rsidR="003A6A3C" w:rsidRPr="00580177" w:rsidRDefault="4FBF5B8E" w:rsidP="00423EB2">
      <w:pPr>
        <w:pStyle w:val="Scenario"/>
        <w:spacing w:line="360" w:lineRule="atLeast"/>
      </w:pPr>
      <w:r w:rsidRPr="00580177">
        <w:t>He hesitates. Then nods. It’s easier.</w:t>
      </w:r>
    </w:p>
    <w:p w14:paraId="6C6C20C9" w14:textId="77777777" w:rsidR="003A6A3C" w:rsidRPr="00580177" w:rsidRDefault="4FBF5B8E" w:rsidP="00423EB2">
      <w:pPr>
        <w:pStyle w:val="Scenario"/>
        <w:spacing w:line="360" w:lineRule="atLeast"/>
      </w:pPr>
      <w:r w:rsidRPr="00580177">
        <w:t>Later, she builds a plan based on what she’s understood.</w:t>
      </w:r>
    </w:p>
    <w:p w14:paraId="0B32AF0A" w14:textId="77777777" w:rsidR="003A6A3C" w:rsidRPr="00580177" w:rsidRDefault="4FBF5B8E" w:rsidP="00423EB2">
      <w:pPr>
        <w:pStyle w:val="Scenario"/>
        <w:spacing w:line="360" w:lineRule="atLeast"/>
      </w:pPr>
      <w:r w:rsidRPr="00580177">
        <w:t>It looks clear. Logical. Complete.</w:t>
      </w:r>
    </w:p>
    <w:p w14:paraId="3271DB64" w14:textId="77777777" w:rsidR="003A6A3C" w:rsidRPr="00580177" w:rsidRDefault="4FBF5B8E" w:rsidP="00423EB2">
      <w:pPr>
        <w:pStyle w:val="Scenario"/>
        <w:spacing w:line="360" w:lineRule="atLeast"/>
      </w:pPr>
      <w:r w:rsidRPr="00580177">
        <w:t>But it doesn’t match his life.</w:t>
      </w:r>
    </w:p>
    <w:p w14:paraId="54FA4D1D" w14:textId="77777777" w:rsidR="003A6A3C" w:rsidRPr="00580177" w:rsidRDefault="4FBF5B8E" w:rsidP="00423EB2">
      <w:pPr>
        <w:pStyle w:val="Scenario"/>
        <w:spacing w:line="360" w:lineRule="atLeast"/>
      </w:pPr>
      <w:r w:rsidRPr="00580177">
        <w:t>When things don’t work out, the notes say he didn’t follow through.</w:t>
      </w:r>
    </w:p>
    <w:p w14:paraId="216D3DCF" w14:textId="5A138273" w:rsidR="003A6A3C" w:rsidRPr="00580177" w:rsidRDefault="4FBF5B8E" w:rsidP="00423EB2">
      <w:pPr>
        <w:pStyle w:val="Scenario"/>
        <w:spacing w:line="360" w:lineRule="atLeast"/>
      </w:pPr>
      <w:r w:rsidRPr="00580177">
        <w:t>She wonders why engagement is so difficult. She’s done the training.</w:t>
      </w:r>
      <w:bookmarkStart w:id="53" w:name="_Toc227336489"/>
    </w:p>
    <w:p w14:paraId="76E8F3BB" w14:textId="6B78E056" w:rsidR="003A6A3C" w:rsidRPr="005E4476" w:rsidRDefault="4FBF5B8E" w:rsidP="00423EB2">
      <w:pPr>
        <w:pStyle w:val="Heading5"/>
      </w:pPr>
      <w:r>
        <w:t>Scenario 2</w:t>
      </w:r>
      <w:bookmarkEnd w:id="53"/>
    </w:p>
    <w:p w14:paraId="61DB3C5A" w14:textId="77777777" w:rsidR="003A6A3C" w:rsidRPr="00580177" w:rsidRDefault="4FBF5B8E" w:rsidP="00423EB2">
      <w:pPr>
        <w:pStyle w:val="Scenario"/>
        <w:spacing w:line="360" w:lineRule="atLeast"/>
      </w:pPr>
      <w:r w:rsidRPr="00580177">
        <w:t>The worker doesn’t rush into the assessment.</w:t>
      </w:r>
    </w:p>
    <w:p w14:paraId="32A7266F" w14:textId="1A86CC19" w:rsidR="003A6A3C" w:rsidRPr="00580177" w:rsidRDefault="4FBF5B8E" w:rsidP="00423EB2">
      <w:pPr>
        <w:pStyle w:val="Scenario"/>
        <w:spacing w:line="360" w:lineRule="atLeast"/>
      </w:pPr>
      <w:r w:rsidRPr="00580177">
        <w:t xml:space="preserve">She starts with a yarn. </w:t>
      </w:r>
      <w:proofErr w:type="spellStart"/>
      <w:proofErr w:type="gramStart"/>
      <w:r w:rsidRPr="00580177">
        <w:t>Lets</w:t>
      </w:r>
      <w:proofErr w:type="spellEnd"/>
      <w:proofErr w:type="gramEnd"/>
      <w:r w:rsidRPr="00580177">
        <w:t xml:space="preserve"> things come out in their own way.</w:t>
      </w:r>
    </w:p>
    <w:p w14:paraId="517A2CB7" w14:textId="77777777" w:rsidR="003A6A3C" w:rsidRPr="00580177" w:rsidRDefault="4FBF5B8E" w:rsidP="00423EB2">
      <w:pPr>
        <w:pStyle w:val="Scenario"/>
        <w:spacing w:line="360" w:lineRule="atLeast"/>
      </w:pPr>
      <w:r w:rsidRPr="00580177">
        <w:t>When the young man talks about where he’s staying, she listens carefully.</w:t>
      </w:r>
    </w:p>
    <w:p w14:paraId="571251C1" w14:textId="77777777" w:rsidR="003A6A3C" w:rsidRPr="00580177" w:rsidRDefault="4FBF5B8E" w:rsidP="00423EB2">
      <w:pPr>
        <w:pStyle w:val="Scenario"/>
        <w:spacing w:line="360" w:lineRule="atLeast"/>
      </w:pPr>
      <w:r w:rsidRPr="00580177">
        <w:t>Who’s there. Who moves through. Who he looks after.</w:t>
      </w:r>
    </w:p>
    <w:p w14:paraId="74D73AD1" w14:textId="77777777" w:rsidR="003A6A3C" w:rsidRPr="00580177" w:rsidRDefault="4FBF5B8E" w:rsidP="00423EB2">
      <w:pPr>
        <w:pStyle w:val="Scenario"/>
        <w:spacing w:line="360" w:lineRule="atLeast"/>
      </w:pPr>
      <w:r w:rsidRPr="00580177">
        <w:t>She doesn’t try to simplify it straight away.</w:t>
      </w:r>
    </w:p>
    <w:p w14:paraId="7FF85EBB" w14:textId="77777777" w:rsidR="003A6A3C" w:rsidRPr="00580177" w:rsidRDefault="4FBF5B8E" w:rsidP="00423EB2">
      <w:pPr>
        <w:pStyle w:val="Scenario"/>
        <w:spacing w:line="360" w:lineRule="atLeast"/>
      </w:pPr>
      <w:r w:rsidRPr="00580177">
        <w:t>She asks questions instead. “Who’s usually around?”</w:t>
      </w:r>
    </w:p>
    <w:p w14:paraId="7657210B" w14:textId="77777777" w:rsidR="003A6A3C" w:rsidRPr="00580177" w:rsidRDefault="4FBF5B8E" w:rsidP="00423EB2">
      <w:pPr>
        <w:pStyle w:val="Scenario"/>
        <w:spacing w:line="360" w:lineRule="atLeast"/>
      </w:pPr>
      <w:r w:rsidRPr="00580177">
        <w:t>“Who do you need to think about when you’re making plans?”</w:t>
      </w:r>
    </w:p>
    <w:p w14:paraId="079B9F9B" w14:textId="77777777" w:rsidR="003A6A3C" w:rsidRPr="00580177" w:rsidRDefault="4FBF5B8E" w:rsidP="00423EB2">
      <w:pPr>
        <w:pStyle w:val="Scenario"/>
        <w:spacing w:line="360" w:lineRule="atLeast"/>
      </w:pPr>
      <w:r w:rsidRPr="00580177">
        <w:t>Slowly, a clearer picture forms, not a neat one, but a real one.</w:t>
      </w:r>
    </w:p>
    <w:p w14:paraId="7846B37B" w14:textId="77777777" w:rsidR="003A6A3C" w:rsidRPr="00580177" w:rsidRDefault="4FBF5B8E" w:rsidP="00423EB2">
      <w:pPr>
        <w:pStyle w:val="Scenario"/>
        <w:spacing w:line="360" w:lineRule="atLeast"/>
      </w:pPr>
      <w:r w:rsidRPr="00580177">
        <w:t>The plan they build reflects that.</w:t>
      </w:r>
    </w:p>
    <w:p w14:paraId="4B605C09" w14:textId="77777777" w:rsidR="003A6A3C" w:rsidRPr="00580177" w:rsidRDefault="4FBF5B8E" w:rsidP="00423EB2">
      <w:pPr>
        <w:pStyle w:val="Scenario"/>
        <w:spacing w:line="360" w:lineRule="atLeast"/>
      </w:pPr>
      <w:r w:rsidRPr="00580177">
        <w:t>It leaves space. Accounts for people. For movement. For change.</w:t>
      </w:r>
    </w:p>
    <w:p w14:paraId="4AB7A3E7" w14:textId="77777777" w:rsidR="003A6A3C" w:rsidRPr="00580177" w:rsidRDefault="4FBF5B8E" w:rsidP="00423EB2">
      <w:pPr>
        <w:pStyle w:val="Scenario"/>
        <w:spacing w:line="360" w:lineRule="atLeast"/>
      </w:pPr>
      <w:r w:rsidRPr="00580177">
        <w:t>When things shift, the plan shifts too.</w:t>
      </w:r>
    </w:p>
    <w:p w14:paraId="0217BE92" w14:textId="77777777" w:rsidR="003A6A3C" w:rsidRPr="00580177" w:rsidRDefault="4FBF5B8E" w:rsidP="00423EB2">
      <w:pPr>
        <w:pStyle w:val="Scenario"/>
        <w:spacing w:line="360" w:lineRule="atLeast"/>
      </w:pPr>
      <w:r w:rsidRPr="00580177">
        <w:t>The worker checks in, adjusts, keeps learning as they go.</w:t>
      </w:r>
    </w:p>
    <w:p w14:paraId="63F69EDC" w14:textId="77777777" w:rsidR="003A6A3C" w:rsidRPr="00580177" w:rsidRDefault="4FBF5B8E" w:rsidP="00423EB2">
      <w:pPr>
        <w:pStyle w:val="Scenario"/>
        <w:spacing w:line="360" w:lineRule="atLeast"/>
      </w:pPr>
      <w:r w:rsidRPr="00580177">
        <w:t>It’s not perfect. But it works. Because she’s not trying to make him fit his life into the system, she’s adapting the system to fit his life.</w:t>
      </w:r>
    </w:p>
    <w:p w14:paraId="0A73D778" w14:textId="77777777" w:rsidR="006A41B5" w:rsidRDefault="006A41B5" w:rsidP="00423EB2">
      <w:pPr>
        <w:pStyle w:val="Heading3"/>
        <w:spacing w:line="360" w:lineRule="atLeast"/>
      </w:pPr>
      <w:r>
        <w:br w:type="page"/>
      </w:r>
    </w:p>
    <w:p w14:paraId="432BCFCC" w14:textId="6ACE6133" w:rsidR="00E13E5A" w:rsidRDefault="32719255" w:rsidP="00423EB2">
      <w:pPr>
        <w:pStyle w:val="Heading3"/>
        <w:spacing w:line="360" w:lineRule="atLeast"/>
      </w:pPr>
      <w:bookmarkStart w:id="54" w:name="_Toc231482954"/>
      <w:r>
        <w:lastRenderedPageBreak/>
        <w:t>Identifying and addressing racism</w:t>
      </w:r>
      <w:bookmarkEnd w:id="54"/>
    </w:p>
    <w:p w14:paraId="404F0FBD" w14:textId="20BF12DE" w:rsidR="00815E9E" w:rsidRPr="00815E9E" w:rsidRDefault="72B693E1" w:rsidP="00423EB2">
      <w:pPr>
        <w:pStyle w:val="Heading4"/>
        <w:spacing w:line="360" w:lineRule="atLeast"/>
      </w:pPr>
      <w:r>
        <w:t xml:space="preserve">In practice </w:t>
      </w:r>
    </w:p>
    <w:p w14:paraId="7D36B9A4" w14:textId="191DC653" w:rsidR="002E2441" w:rsidRPr="005E4476" w:rsidRDefault="247A81C3" w:rsidP="003D0DFD">
      <w:pPr>
        <w:pStyle w:val="ListBullet"/>
      </w:pPr>
      <w:r>
        <w:t>Active recognition of how racism manifests in everyday interactions, policies and service delivery</w:t>
      </w:r>
      <w:r w:rsidR="006A41B5">
        <w:t>.</w:t>
      </w:r>
    </w:p>
    <w:p w14:paraId="377CCB8E" w14:textId="264E2CAE" w:rsidR="002E2441" w:rsidRPr="005E4476" w:rsidRDefault="247A81C3" w:rsidP="003D0DFD">
      <w:pPr>
        <w:pStyle w:val="ListBullet"/>
      </w:pPr>
      <w:r>
        <w:t>Staff who are able to identify and respond to both overt and subtle forms of racism</w:t>
      </w:r>
      <w:r w:rsidR="006A41B5">
        <w:t>.</w:t>
      </w:r>
    </w:p>
    <w:p w14:paraId="4999CD8B" w14:textId="2014D07A" w:rsidR="002E2441" w:rsidRPr="005E4476" w:rsidRDefault="247A81C3" w:rsidP="003D0DFD">
      <w:pPr>
        <w:pStyle w:val="ListBullet"/>
      </w:pPr>
      <w:r>
        <w:t>Clear organisational expectations and processes for addressing racism when it occurs</w:t>
      </w:r>
      <w:r w:rsidR="006A41B5">
        <w:t>.</w:t>
      </w:r>
    </w:p>
    <w:p w14:paraId="2C6F27DC" w14:textId="598E93D0" w:rsidR="002E2441" w:rsidRPr="005E4476" w:rsidRDefault="247A81C3" w:rsidP="003D0DFD">
      <w:pPr>
        <w:pStyle w:val="ListBullet"/>
      </w:pPr>
      <w:r>
        <w:t>Workplace cultures that support reflection, accountability, and learning rather than avoidance</w:t>
      </w:r>
      <w:r w:rsidR="006A41B5">
        <w:t>.</w:t>
      </w:r>
    </w:p>
    <w:p w14:paraId="3F58FF02" w14:textId="4DC974F1" w:rsidR="002E2441" w:rsidRPr="005E4476" w:rsidRDefault="247A81C3" w:rsidP="003D0DFD">
      <w:pPr>
        <w:pStyle w:val="ListBullet"/>
      </w:pPr>
      <w:r>
        <w:t>Approaches that prioritise respectful engagement, listening and ongoing relationship building</w:t>
      </w:r>
      <w:r w:rsidR="006A41B5">
        <w:t>.</w:t>
      </w:r>
    </w:p>
    <w:p w14:paraId="543BD2A2" w14:textId="77777777" w:rsidR="002E2441" w:rsidRPr="005E4476" w:rsidRDefault="247A81C3" w:rsidP="003D0DFD">
      <w:pPr>
        <w:pStyle w:val="ListBullet"/>
        <w:rPr>
          <w:rFonts w:eastAsia="Times New Roman"/>
          <w:color w:val="000000"/>
          <w:lang w:eastAsia="en-AU"/>
        </w:rPr>
      </w:pPr>
      <w:r>
        <w:t>Recognition that addressing racism is a part of effective service delivery, not separate from it.</w:t>
      </w:r>
    </w:p>
    <w:p w14:paraId="3ACDBF0A" w14:textId="1E545892" w:rsidR="00815E9E" w:rsidRDefault="72B693E1" w:rsidP="00423EB2">
      <w:pPr>
        <w:pStyle w:val="Heading4"/>
        <w:spacing w:line="360" w:lineRule="atLeast"/>
        <w:rPr>
          <w:lang w:eastAsia="en-AU"/>
        </w:rPr>
      </w:pPr>
      <w:r w:rsidRPr="435BEB47">
        <w:rPr>
          <w:lang w:eastAsia="en-AU"/>
        </w:rPr>
        <w:t xml:space="preserve">Example from the evidence </w:t>
      </w:r>
    </w:p>
    <w:p w14:paraId="789ED2E3" w14:textId="77777777" w:rsidR="009F4593" w:rsidRDefault="72B693E1" w:rsidP="00423EB2">
      <w:pPr>
        <w:widowControl/>
      </w:pPr>
      <w:r w:rsidRPr="435BEB47">
        <w:rPr>
          <w:lang w:eastAsia="en-AU"/>
        </w:rPr>
        <w:t>The evidence identifie</w:t>
      </w:r>
      <w:r w:rsidRPr="006F22A6">
        <w:t>s</w:t>
      </w:r>
      <w:r w:rsidRPr="435BEB47">
        <w:rPr>
          <w:lang w:eastAsia="en-AU"/>
        </w:rPr>
        <w:t xml:space="preserve"> racism as a major barrier affecting access to, and experiences within, employment and disability services for Aboriginal and Torres Strait Islander peoples with disability (Avery, 2018; Paradies, 2016; Sherwood, 2013). Racism </w:t>
      </w:r>
      <w:r w:rsidRPr="006F22A6">
        <w:t>is</w:t>
      </w:r>
      <w:r w:rsidRPr="435BEB47">
        <w:rPr>
          <w:lang w:eastAsia="en-AU"/>
        </w:rPr>
        <w:t xml:space="preserve"> not only experienced through obvious discrimination, but also through everyday assumptions, stereotypes and organisational practices that </w:t>
      </w:r>
      <w:r w:rsidRPr="006F22A6">
        <w:t>do</w:t>
      </w:r>
      <w:r w:rsidRPr="435BEB47">
        <w:rPr>
          <w:lang w:eastAsia="en-AU"/>
        </w:rPr>
        <w:t xml:space="preserve"> not reflect Aboriginal and Torres Strait Islander realities and lived experiences (</w:t>
      </w:r>
      <w:proofErr w:type="spellStart"/>
      <w:r w:rsidRPr="435BEB47">
        <w:rPr>
          <w:lang w:eastAsia="en-AU"/>
        </w:rPr>
        <w:t>D’Aprano</w:t>
      </w:r>
      <w:proofErr w:type="spellEnd"/>
      <w:r w:rsidRPr="435BEB47">
        <w:rPr>
          <w:lang w:eastAsia="en-AU"/>
        </w:rPr>
        <w:t xml:space="preserve"> et al., 2024; Gilroy et al., 2023).</w:t>
      </w:r>
      <w:r w:rsidRPr="006F22A6">
        <w:t xml:space="preserve"> </w:t>
      </w:r>
      <w:r w:rsidR="009F4593">
        <w:t>Anti-racism is understood as a core part of service design, supervision, and accountability, rather than a separate values statement.</w:t>
      </w:r>
    </w:p>
    <w:p w14:paraId="236C51EA" w14:textId="49DE84F0" w:rsidR="00815E9E" w:rsidRPr="00815E9E" w:rsidRDefault="72B693E1" w:rsidP="00423EB2">
      <w:pPr>
        <w:widowControl/>
        <w:rPr>
          <w:lang w:eastAsia="en-AU"/>
        </w:rPr>
      </w:pPr>
      <w:r w:rsidRPr="44816BA5">
        <w:rPr>
          <w:lang w:eastAsia="en-AU"/>
        </w:rPr>
        <w:t>Across the evidence, seemingly small interactions</w:t>
      </w:r>
      <w:r w:rsidRPr="006F22A6">
        <w:t xml:space="preserve">, </w:t>
      </w:r>
      <w:r w:rsidRPr="44816BA5">
        <w:rPr>
          <w:lang w:eastAsia="en-AU"/>
        </w:rPr>
        <w:t>such as dismissive language, stereotyping or failing to recognise cultural and family responsibilities</w:t>
      </w:r>
      <w:r w:rsidR="5B90C55B" w:rsidRPr="44816BA5">
        <w:rPr>
          <w:lang w:eastAsia="en-AU"/>
        </w:rPr>
        <w:t xml:space="preserve">, </w:t>
      </w:r>
      <w:r w:rsidRPr="006F22A6">
        <w:t>can</w:t>
      </w:r>
      <w:r w:rsidRPr="44816BA5">
        <w:rPr>
          <w:lang w:eastAsia="en-AU"/>
        </w:rPr>
        <w:t xml:space="preserve"> damage trust and contribute to disengagement from services (Avery, 2018; Temple et al., 2020). When racism or harmful assumptions </w:t>
      </w:r>
      <w:r w:rsidRPr="006F22A6">
        <w:t>a</w:t>
      </w:r>
      <w:r w:rsidRPr="44816BA5">
        <w:rPr>
          <w:lang w:eastAsia="en-AU"/>
        </w:rPr>
        <w:t xml:space="preserve">re not recognised or addressed, services </w:t>
      </w:r>
      <w:r w:rsidRPr="006F22A6">
        <w:t>a</w:t>
      </w:r>
      <w:r w:rsidRPr="44816BA5">
        <w:rPr>
          <w:lang w:eastAsia="en-AU"/>
        </w:rPr>
        <w:t>re more likely to be experienced as unsafe and untrustworthy, reducing ongoing participation and engagement (Paradies, 2016; Sherwood, 2013).</w:t>
      </w:r>
      <w:r w:rsidRPr="006F22A6">
        <w:t xml:space="preserve"> This indicates that everyday practice is a policy implementation site: the success of policy depends on how frontline interactions are recognised, corrected and learned from.</w:t>
      </w:r>
    </w:p>
    <w:p w14:paraId="0D8F4E1C" w14:textId="3982CF16" w:rsidR="00815E9E" w:rsidRPr="00815E9E" w:rsidRDefault="72B693E1" w:rsidP="00423EB2">
      <w:pPr>
        <w:widowControl/>
        <w:rPr>
          <w:lang w:eastAsia="en-AU"/>
        </w:rPr>
      </w:pPr>
      <w:r w:rsidRPr="435BEB47">
        <w:rPr>
          <w:lang w:eastAsia="en-AU"/>
        </w:rPr>
        <w:t>The evidence also show</w:t>
      </w:r>
      <w:r w:rsidRPr="006F22A6">
        <w:t>s</w:t>
      </w:r>
      <w:r w:rsidRPr="435BEB47">
        <w:rPr>
          <w:lang w:eastAsia="en-AU"/>
        </w:rPr>
        <w:t xml:space="preserve"> that responding to racism is an important part of effective service delivery. Services </w:t>
      </w:r>
      <w:r w:rsidRPr="006F22A6">
        <w:t>a</w:t>
      </w:r>
      <w:r w:rsidRPr="435BEB47">
        <w:rPr>
          <w:lang w:eastAsia="en-AU"/>
        </w:rPr>
        <w:t xml:space="preserve">re more effective when organisations support reflection, accountability and </w:t>
      </w:r>
      <w:r w:rsidR="00423EB2">
        <w:rPr>
          <w:lang w:eastAsia="en-AU"/>
        </w:rPr>
        <w:t>culturally-informed</w:t>
      </w:r>
      <w:r w:rsidRPr="435BEB47">
        <w:rPr>
          <w:lang w:eastAsia="en-AU"/>
        </w:rPr>
        <w:t xml:space="preserve"> practice among staff </w:t>
      </w:r>
      <w:r w:rsidRPr="435BEB47">
        <w:rPr>
          <w:lang w:eastAsia="en-AU"/>
        </w:rPr>
        <w:lastRenderedPageBreak/>
        <w:t xml:space="preserve">(AIATSIS, 2020; </w:t>
      </w:r>
      <w:proofErr w:type="spellStart"/>
      <w:r w:rsidRPr="435BEB47">
        <w:rPr>
          <w:lang w:eastAsia="en-AU"/>
        </w:rPr>
        <w:t>Lowitja</w:t>
      </w:r>
      <w:proofErr w:type="spellEnd"/>
      <w:r w:rsidRPr="435BEB47">
        <w:rPr>
          <w:lang w:eastAsia="en-AU"/>
        </w:rPr>
        <w:t xml:space="preserve"> Institute, 2020). Across the literature, anti-racist practice </w:t>
      </w:r>
      <w:r w:rsidRPr="006F22A6">
        <w:t>is</w:t>
      </w:r>
      <w:r w:rsidRPr="435BEB47">
        <w:rPr>
          <w:lang w:eastAsia="en-AU"/>
        </w:rPr>
        <w:t xml:space="preserve"> not separate from service delivery</w:t>
      </w:r>
      <w:r w:rsidRPr="006F22A6">
        <w:t>; it is</w:t>
      </w:r>
      <w:r w:rsidRPr="435BEB47">
        <w:rPr>
          <w:lang w:eastAsia="en-AU"/>
        </w:rPr>
        <w:t xml:space="preserve"> a core part of building trust, cultural safety and sustainable engagement over time (</w:t>
      </w:r>
      <w:proofErr w:type="spellStart"/>
      <w:r w:rsidRPr="006F22A6">
        <w:t>Lowitja</w:t>
      </w:r>
      <w:proofErr w:type="spellEnd"/>
      <w:r w:rsidRPr="006F22A6">
        <w:t xml:space="preserve"> Institute, 2020; </w:t>
      </w:r>
      <w:r w:rsidRPr="435BEB47">
        <w:rPr>
          <w:lang w:eastAsia="en-AU"/>
        </w:rPr>
        <w:t>Paradies, 2016; Sherwood, 2013).</w:t>
      </w:r>
    </w:p>
    <w:p w14:paraId="200A171F" w14:textId="329FDA2E" w:rsidR="00281C77" w:rsidRPr="00F36CD0" w:rsidRDefault="72B693E1" w:rsidP="00423EB2">
      <w:pPr>
        <w:pStyle w:val="Heading4"/>
        <w:spacing w:line="360" w:lineRule="atLeast"/>
      </w:pPr>
      <w:r>
        <w:t>Scenarios</w:t>
      </w:r>
    </w:p>
    <w:p w14:paraId="79D5AEEA" w14:textId="77777777" w:rsidR="00F161F0" w:rsidRPr="005E4476" w:rsidRDefault="48DB224F" w:rsidP="00423EB2">
      <w:pPr>
        <w:pStyle w:val="Heading5"/>
      </w:pPr>
      <w:r w:rsidRPr="00E12F77">
        <w:t>Scenario 1</w:t>
      </w:r>
    </w:p>
    <w:p w14:paraId="15A451A1" w14:textId="77777777" w:rsidR="00F161F0" w:rsidRPr="00580177" w:rsidRDefault="48DB224F" w:rsidP="00423EB2">
      <w:pPr>
        <w:pStyle w:val="Scenario"/>
        <w:spacing w:line="360" w:lineRule="atLeast"/>
      </w:pPr>
      <w:r w:rsidRPr="00580177">
        <w:t>A young man attends a group job readiness workshop.</w:t>
      </w:r>
    </w:p>
    <w:p w14:paraId="5BDC4276" w14:textId="77777777" w:rsidR="00F161F0" w:rsidRPr="00580177" w:rsidRDefault="48DB224F" w:rsidP="00423EB2">
      <w:pPr>
        <w:pStyle w:val="Scenario"/>
        <w:spacing w:line="360" w:lineRule="atLeast"/>
      </w:pPr>
      <w:r w:rsidRPr="00580177">
        <w:t>During the session, the facilitator asks participants to talk about their “barriers to employment”.</w:t>
      </w:r>
    </w:p>
    <w:p w14:paraId="2BEE92D1" w14:textId="77777777" w:rsidR="00F161F0" w:rsidRPr="00580177" w:rsidRDefault="48DB224F" w:rsidP="00423EB2">
      <w:pPr>
        <w:pStyle w:val="Scenario"/>
        <w:spacing w:line="360" w:lineRule="atLeast"/>
      </w:pPr>
      <w:r w:rsidRPr="00580177">
        <w:t>When it’s his turn, he mentions helping care for younger family members and being involved in community obligations.</w:t>
      </w:r>
    </w:p>
    <w:p w14:paraId="7A832F9E" w14:textId="77777777" w:rsidR="00F161F0" w:rsidRPr="00580177" w:rsidRDefault="48DB224F" w:rsidP="00423EB2">
      <w:pPr>
        <w:pStyle w:val="Scenario"/>
        <w:spacing w:line="360" w:lineRule="atLeast"/>
      </w:pPr>
      <w:r w:rsidRPr="00580177">
        <w:t>The facilitator nods, then responds,</w:t>
      </w:r>
    </w:p>
    <w:p w14:paraId="15C6BC7C" w14:textId="77777777" w:rsidR="00F161F0" w:rsidRPr="00580177" w:rsidRDefault="48DB224F" w:rsidP="00423EB2">
      <w:pPr>
        <w:pStyle w:val="Scenario"/>
        <w:spacing w:line="360" w:lineRule="atLeast"/>
      </w:pPr>
      <w:r w:rsidRPr="00580177">
        <w:t>“Sometimes family can hold you back from getting ahead. You might need to start putting yourself first”.</w:t>
      </w:r>
    </w:p>
    <w:p w14:paraId="04398CBC" w14:textId="77777777" w:rsidR="00F161F0" w:rsidRPr="00580177" w:rsidRDefault="48DB224F" w:rsidP="00423EB2">
      <w:pPr>
        <w:pStyle w:val="Scenario"/>
        <w:spacing w:line="360" w:lineRule="atLeast"/>
      </w:pPr>
      <w:r w:rsidRPr="00580177">
        <w:t>A few people in the room glance over.</w:t>
      </w:r>
    </w:p>
    <w:p w14:paraId="42C73D21" w14:textId="77777777" w:rsidR="00F161F0" w:rsidRPr="00580177" w:rsidRDefault="48DB224F" w:rsidP="00423EB2">
      <w:pPr>
        <w:pStyle w:val="Scenario"/>
        <w:spacing w:line="360" w:lineRule="atLeast"/>
      </w:pPr>
      <w:r w:rsidRPr="00580177">
        <w:t>The young man shrugs it off, doesn’t say anything more.</w:t>
      </w:r>
    </w:p>
    <w:p w14:paraId="7080FBB8" w14:textId="77777777" w:rsidR="00F161F0" w:rsidRPr="00580177" w:rsidRDefault="48DB224F" w:rsidP="00423EB2">
      <w:pPr>
        <w:pStyle w:val="Scenario"/>
        <w:spacing w:line="360" w:lineRule="atLeast"/>
      </w:pPr>
      <w:r w:rsidRPr="00580177">
        <w:t xml:space="preserve">For the rest of the session, he keeps his answers short. </w:t>
      </w:r>
    </w:p>
    <w:p w14:paraId="1F45AECB" w14:textId="77777777" w:rsidR="00F161F0" w:rsidRPr="00580177" w:rsidRDefault="48DB224F" w:rsidP="00423EB2">
      <w:pPr>
        <w:pStyle w:val="Scenario"/>
        <w:spacing w:line="360" w:lineRule="atLeast"/>
      </w:pPr>
      <w:r w:rsidRPr="00580177">
        <w:t>When asked about future goals, he just says, “Anything’s fine”.</w:t>
      </w:r>
    </w:p>
    <w:p w14:paraId="4F4F596B" w14:textId="77777777" w:rsidR="00F161F0" w:rsidRPr="00580177" w:rsidRDefault="48DB224F" w:rsidP="00423EB2">
      <w:pPr>
        <w:pStyle w:val="Scenario"/>
        <w:spacing w:line="360" w:lineRule="atLeast"/>
      </w:pPr>
      <w:r w:rsidRPr="00580177">
        <w:t xml:space="preserve">He doesn’t come back the following week. </w:t>
      </w:r>
    </w:p>
    <w:p w14:paraId="32263623" w14:textId="4ABA57FC" w:rsidR="00F161F0" w:rsidRPr="005E4476" w:rsidRDefault="48DB224F" w:rsidP="00423EB2">
      <w:pPr>
        <w:pStyle w:val="Heading5"/>
      </w:pPr>
      <w:r w:rsidRPr="00E12F77">
        <w:t>Scenario 2</w:t>
      </w:r>
    </w:p>
    <w:p w14:paraId="7EF7B580" w14:textId="77777777" w:rsidR="00F161F0" w:rsidRPr="00580177" w:rsidRDefault="48DB224F" w:rsidP="00423EB2">
      <w:pPr>
        <w:pStyle w:val="Scenario"/>
        <w:spacing w:line="360" w:lineRule="atLeast"/>
      </w:pPr>
      <w:r w:rsidRPr="00580177">
        <w:t>A participant explains that community and family responsibilities have led to missed appointments.</w:t>
      </w:r>
    </w:p>
    <w:p w14:paraId="7FFAF911" w14:textId="77777777" w:rsidR="00F161F0" w:rsidRPr="00580177" w:rsidRDefault="48DB224F" w:rsidP="00423EB2">
      <w:pPr>
        <w:pStyle w:val="Scenario"/>
        <w:spacing w:line="360" w:lineRule="atLeast"/>
      </w:pPr>
      <w:r w:rsidRPr="00580177">
        <w:t>The facilitator responds, “You need to be careful that those commitments aren’t getting in the way of your employment goals”.</w:t>
      </w:r>
    </w:p>
    <w:p w14:paraId="5A31EDE5" w14:textId="77777777" w:rsidR="00F161F0" w:rsidRPr="00580177" w:rsidRDefault="48DB224F" w:rsidP="00423EB2">
      <w:pPr>
        <w:pStyle w:val="Scenario"/>
        <w:spacing w:line="360" w:lineRule="atLeast"/>
      </w:pPr>
      <w:r w:rsidRPr="00580177">
        <w:t>There’s a pause.</w:t>
      </w:r>
    </w:p>
    <w:p w14:paraId="4880599C" w14:textId="77777777" w:rsidR="00F161F0" w:rsidRPr="00580177" w:rsidRDefault="48DB224F" w:rsidP="00423EB2">
      <w:pPr>
        <w:pStyle w:val="Scenario"/>
        <w:spacing w:line="360" w:lineRule="atLeast"/>
      </w:pPr>
      <w:r w:rsidRPr="00580177">
        <w:t xml:space="preserve">Another staff member in the room gently steps in. </w:t>
      </w:r>
    </w:p>
    <w:p w14:paraId="7EFA9354" w14:textId="77777777" w:rsidR="00F161F0" w:rsidRPr="00580177" w:rsidRDefault="48DB224F" w:rsidP="00423EB2">
      <w:pPr>
        <w:pStyle w:val="Scenario"/>
        <w:spacing w:line="360" w:lineRule="atLeast"/>
      </w:pPr>
      <w:r w:rsidRPr="00580177">
        <w:t>“Can we rethink that a bit? Those responsibilities are important. Maybe ask how work can fit around them”.</w:t>
      </w:r>
    </w:p>
    <w:p w14:paraId="1E470A3B" w14:textId="77777777" w:rsidR="00F161F0" w:rsidRPr="00580177" w:rsidRDefault="48DB224F" w:rsidP="00423EB2">
      <w:pPr>
        <w:pStyle w:val="Scenario"/>
        <w:spacing w:line="360" w:lineRule="atLeast"/>
      </w:pPr>
      <w:r w:rsidRPr="00580177">
        <w:t>The facilitator stops. Nods.</w:t>
      </w:r>
    </w:p>
    <w:p w14:paraId="26603B73" w14:textId="77777777" w:rsidR="00F161F0" w:rsidRPr="00580177" w:rsidRDefault="48DB224F" w:rsidP="00423EB2">
      <w:pPr>
        <w:pStyle w:val="Scenario"/>
        <w:spacing w:line="360" w:lineRule="atLeast"/>
      </w:pPr>
      <w:r w:rsidRPr="00580177">
        <w:t>“Yeah, you</w:t>
      </w:r>
      <w:r w:rsidRPr="006F22A6">
        <w:t>’</w:t>
      </w:r>
      <w:r w:rsidRPr="00580177">
        <w:t>r</w:t>
      </w:r>
      <w:r w:rsidRPr="006F22A6">
        <w:t>e</w:t>
      </w:r>
      <w:r w:rsidRPr="00580177">
        <w:t xml:space="preserve"> right. Thanks for pulling me up”.</w:t>
      </w:r>
    </w:p>
    <w:p w14:paraId="54D55F3A" w14:textId="77777777" w:rsidR="00F161F0" w:rsidRPr="00580177" w:rsidRDefault="48DB224F" w:rsidP="00423EB2">
      <w:pPr>
        <w:pStyle w:val="Scenario"/>
        <w:spacing w:line="360" w:lineRule="atLeast"/>
      </w:pPr>
      <w:r w:rsidRPr="00580177">
        <w:t>They turn back to the participant.</w:t>
      </w:r>
    </w:p>
    <w:p w14:paraId="18B3139B" w14:textId="2520A155" w:rsidR="00F161F0" w:rsidRPr="00580177" w:rsidRDefault="48DB224F" w:rsidP="00423EB2">
      <w:pPr>
        <w:pStyle w:val="Scenario"/>
        <w:spacing w:line="360" w:lineRule="atLeast"/>
      </w:pPr>
      <w:r w:rsidRPr="00580177">
        <w:t>“</w:t>
      </w:r>
      <w:r w:rsidRPr="006F22A6">
        <w:t>S</w:t>
      </w:r>
      <w:r w:rsidRPr="00580177">
        <w:t>orry about that. Can you tell us what your week actually looks like? Let’s work out something that fits”.</w:t>
      </w:r>
    </w:p>
    <w:p w14:paraId="2903EB7D" w14:textId="77777777" w:rsidR="00F161F0" w:rsidRPr="00580177" w:rsidRDefault="48DB224F" w:rsidP="00423EB2">
      <w:pPr>
        <w:pStyle w:val="Scenario"/>
        <w:spacing w:line="360" w:lineRule="atLeast"/>
      </w:pPr>
      <w:r w:rsidRPr="00580177">
        <w:t xml:space="preserve">After the session, </w:t>
      </w:r>
      <w:r w:rsidRPr="006F22A6">
        <w:t>the</w:t>
      </w:r>
      <w:r w:rsidRPr="00580177">
        <w:t xml:space="preserve"> facilitator reflects with the team. </w:t>
      </w:r>
    </w:p>
    <w:p w14:paraId="166DED82" w14:textId="77777777" w:rsidR="00F161F0" w:rsidRPr="00580177" w:rsidRDefault="48DB224F" w:rsidP="00423EB2">
      <w:pPr>
        <w:pStyle w:val="Scenario"/>
        <w:spacing w:line="360" w:lineRule="atLeast"/>
      </w:pPr>
      <w:r w:rsidRPr="00580177">
        <w:t xml:space="preserve">They talk about how assumptions show up in practice, and how to respond differently next time. </w:t>
      </w:r>
    </w:p>
    <w:p w14:paraId="123D5890" w14:textId="1D36DC48" w:rsidR="00F161F0" w:rsidRPr="00580177" w:rsidRDefault="48DB224F" w:rsidP="00423EB2">
      <w:pPr>
        <w:pStyle w:val="Scenario"/>
        <w:spacing w:line="360" w:lineRule="atLeast"/>
      </w:pPr>
      <w:r w:rsidRPr="00580177">
        <w:t>The participant return</w:t>
      </w:r>
      <w:r w:rsidR="006A41B5">
        <w:t>s</w:t>
      </w:r>
      <w:r w:rsidRPr="00580177">
        <w:t xml:space="preserve"> the following week. </w:t>
      </w:r>
    </w:p>
    <w:p w14:paraId="3807E356" w14:textId="6A0DE3C2" w:rsidR="0012258F" w:rsidRPr="005435A6" w:rsidRDefault="34D8CF47" w:rsidP="00423EB2">
      <w:pPr>
        <w:pStyle w:val="Heading1"/>
        <w:spacing w:line="360" w:lineRule="atLeast"/>
        <w:jc w:val="left"/>
      </w:pPr>
      <w:bookmarkStart w:id="55" w:name="_Toc231482955"/>
      <w:r>
        <w:lastRenderedPageBreak/>
        <w:t>Discussion</w:t>
      </w:r>
      <w:bookmarkEnd w:id="37"/>
      <w:bookmarkEnd w:id="55"/>
    </w:p>
    <w:p w14:paraId="75DE2136" w14:textId="30275F18" w:rsidR="00BD75EC" w:rsidRPr="005E4476" w:rsidRDefault="310D3D17" w:rsidP="00423EB2">
      <w:pPr>
        <w:widowControl/>
      </w:pPr>
      <w:r w:rsidRPr="5C99C6EE">
        <w:rPr>
          <w:rFonts w:eastAsia="Montserrat" w:cs="Montserrat"/>
        </w:rPr>
        <w:t>Effective employment outcomes for Aboriginal and Torres Strait Islander peoples with disability are not achieved through isolated initiatives or discrete interventions.</w:t>
      </w:r>
      <w:bookmarkStart w:id="56" w:name="_Toc228284900"/>
      <w:r w:rsidR="1E39ED20">
        <w:t xml:space="preserve"> Outcomes are shaped by multiple interdependent conditions embedded within service systems, and the absence of one condition</w:t>
      </w:r>
      <w:r w:rsidRPr="006F22A6">
        <w:t>, such as</w:t>
      </w:r>
      <w:r w:rsidR="1E39ED20">
        <w:t xml:space="preserve"> cultural safety or relational continuity</w:t>
      </w:r>
      <w:r w:rsidRPr="006F22A6">
        <w:t>,</w:t>
      </w:r>
      <w:r w:rsidR="1E39ED20">
        <w:t xml:space="preserve"> can undermine the effectiveness of others</w:t>
      </w:r>
      <w:r w:rsidRPr="006F22A6">
        <w:t xml:space="preserve"> (AIATSIS, 2020; Cooms &amp; </w:t>
      </w:r>
      <w:proofErr w:type="spellStart"/>
      <w:r w:rsidRPr="006F22A6">
        <w:t>Muurlink</w:t>
      </w:r>
      <w:proofErr w:type="spellEnd"/>
      <w:r w:rsidRPr="006F22A6">
        <w:t xml:space="preserve">, 2025; </w:t>
      </w:r>
      <w:proofErr w:type="spellStart"/>
      <w:r w:rsidRPr="006F22A6">
        <w:t>Lowitja</w:t>
      </w:r>
      <w:proofErr w:type="spellEnd"/>
      <w:r w:rsidRPr="006F22A6">
        <w:t xml:space="preserve"> Institute, 2020).</w:t>
      </w:r>
      <w:r w:rsidR="1E39ED20">
        <w:t xml:space="preserve"> Accordingly, we focus this discussion on the steps, elements and ingredients of effective practice as system configurations rather than stand-alone interventions.</w:t>
      </w:r>
    </w:p>
    <w:p w14:paraId="33151479" w14:textId="318B8D3D" w:rsidR="679BE0C3" w:rsidRDefault="679BE0C3" w:rsidP="00423EB2">
      <w:pPr>
        <w:widowControl/>
      </w:pPr>
      <w:r w:rsidRPr="45BE7F4C">
        <w:rPr>
          <w:rFonts w:eastAsia="Montserrat" w:cs="Montserrat"/>
        </w:rPr>
        <w:t>There are limited outcome-focused publications that specifically address effective employment practices for Aboriginal and Torres Strait Islander peoples with disability. Consistent with the broader evidence profile described earlier, Indigenous-authored scholarship and related qualitative, policy, and practice evidence are brought together to clarify the mechanisms and enabling conditions that support effective practice (Cooms &amp; Muurlink, 2025; Gilroy et al., 2023; James et al., 2024; Temple et al., 2020). In this context, the absence of program trials is not treated as an absence of knowledge (Lowitja Institute, 2020; Productivity Commission, 2020). Instead, converging explanatory evidence is understood as essential for explaining why systems succeed or fail.</w:t>
      </w:r>
    </w:p>
    <w:p w14:paraId="3AF09A74" w14:textId="5DBFD6AC" w:rsidR="00BD75EC" w:rsidRPr="00A517DB" w:rsidRDefault="1E39ED20" w:rsidP="00423EB2">
      <w:pPr>
        <w:pStyle w:val="Heading2"/>
        <w:spacing w:line="360" w:lineRule="atLeast"/>
        <w:jc w:val="left"/>
      </w:pPr>
      <w:bookmarkStart w:id="57" w:name="_Toc227336514"/>
      <w:bookmarkStart w:id="58" w:name="_Toc278641684"/>
      <w:bookmarkStart w:id="59" w:name="_Toc231482956"/>
      <w:r w:rsidRPr="00A517DB">
        <w:t>Steps, elements and ingredients of effective practice</w:t>
      </w:r>
      <w:bookmarkEnd w:id="57"/>
      <w:bookmarkEnd w:id="58"/>
      <w:bookmarkEnd w:id="59"/>
    </w:p>
    <w:p w14:paraId="3B621A20" w14:textId="4733E4F6" w:rsidR="00BD75EC" w:rsidRPr="005E4476" w:rsidRDefault="1E39ED20" w:rsidP="00423EB2">
      <w:pPr>
        <w:widowControl/>
      </w:pPr>
      <w:r>
        <w:t>Across the evidence, effective practice emerges through interrelated elements that must be present and sustained over time</w:t>
      </w:r>
      <w:r w:rsidRPr="006F22A6">
        <w:t xml:space="preserve">: Indigenous authority, cultural safety, relational continuity, flexibility, shared decision-making, workforce capability and active anti-racism (AIATSIS, 2020; FPDNA, 2016; </w:t>
      </w:r>
      <w:proofErr w:type="spellStart"/>
      <w:r w:rsidRPr="006F22A6">
        <w:t>Lowitja</w:t>
      </w:r>
      <w:proofErr w:type="spellEnd"/>
      <w:r w:rsidRPr="006F22A6">
        <w:t xml:space="preserve"> Institute, 2020; NACCHO, 2021)</w:t>
      </w:r>
      <w:r>
        <w:t>.</w:t>
      </w:r>
    </w:p>
    <w:p w14:paraId="3D910A21" w14:textId="606496A9" w:rsidR="00BD75EC" w:rsidRPr="00A517DB" w:rsidRDefault="1E39ED20" w:rsidP="00423EB2">
      <w:pPr>
        <w:pStyle w:val="Heading3"/>
        <w:spacing w:line="360" w:lineRule="atLeast"/>
      </w:pPr>
      <w:bookmarkStart w:id="60" w:name="_Toc227336515"/>
      <w:bookmarkStart w:id="61" w:name="_Toc1762661508"/>
      <w:bookmarkStart w:id="62" w:name="_Toc231482957"/>
      <w:r w:rsidRPr="00A517DB">
        <w:t>Establishing Indigenous-led authority and governance</w:t>
      </w:r>
      <w:bookmarkEnd w:id="60"/>
      <w:bookmarkEnd w:id="61"/>
      <w:bookmarkEnd w:id="62"/>
    </w:p>
    <w:p w14:paraId="003E58ED" w14:textId="7F9B4198" w:rsidR="00BD75EC" w:rsidRPr="005E4476" w:rsidRDefault="1E39ED20" w:rsidP="00423EB2">
      <w:pPr>
        <w:widowControl/>
      </w:pPr>
      <w:r>
        <w:t>Effective practice begins with the positioning of Aboriginal and Torres Strait Islander peoples in roles of authority, decision-making and governance. This includes the design, delivery and oversight of services through Indigenous-led and community-controlled organisations. The evidence indicates that when authority is held within community, services are more likely to reflect local priorities, cultural obligations and collective understandings of work (</w:t>
      </w:r>
      <w:r w:rsidRPr="006F22A6">
        <w:t>AHRC, 2019</w:t>
      </w:r>
      <w:r>
        <w:t xml:space="preserve">; NACCHO, 2021; </w:t>
      </w:r>
      <w:r w:rsidRPr="006F22A6">
        <w:t>NIAA, 2020</w:t>
      </w:r>
      <w:r>
        <w:t xml:space="preserve">). Indigenous scholarship further emphasises that self-determination and political integrity are essential to ensuring that </w:t>
      </w:r>
      <w:r>
        <w:lastRenderedPageBreak/>
        <w:t>programs are accountable to community Knowledges and governance structures (Rigney, 1999; Walter &amp; Andersen, 2013). This step is foundational</w:t>
      </w:r>
      <w:r w:rsidRPr="006F22A6">
        <w:t xml:space="preserve"> because</w:t>
      </w:r>
      <w:r>
        <w:t xml:space="preserve"> it determines how all subsequent elements are configured and enacted, shaping the legitimacy, responsiveness and sustainability of services (Cooms</w:t>
      </w:r>
      <w:r w:rsidR="6452E1F1">
        <w:t xml:space="preserve"> et al., </w:t>
      </w:r>
      <w:r>
        <w:t xml:space="preserve">2024; </w:t>
      </w:r>
      <w:proofErr w:type="spellStart"/>
      <w:r>
        <w:t>Lowitja</w:t>
      </w:r>
      <w:proofErr w:type="spellEnd"/>
      <w:r>
        <w:t xml:space="preserve"> Institute, 2017).</w:t>
      </w:r>
    </w:p>
    <w:p w14:paraId="72E633C4" w14:textId="6FA7AC57" w:rsidR="00BD75EC" w:rsidRPr="00A517DB" w:rsidRDefault="1E39ED20" w:rsidP="00423EB2">
      <w:pPr>
        <w:pStyle w:val="Heading3"/>
        <w:spacing w:line="360" w:lineRule="atLeast"/>
      </w:pPr>
      <w:bookmarkStart w:id="63" w:name="_Toc912831154"/>
      <w:bookmarkStart w:id="64" w:name="_Toc227336516"/>
      <w:bookmarkStart w:id="65" w:name="_Toc231482958"/>
      <w:r w:rsidRPr="00A517DB">
        <w:t>Embedding cultural safety as a precondition</w:t>
      </w:r>
      <w:bookmarkEnd w:id="63"/>
      <w:bookmarkEnd w:id="64"/>
      <w:bookmarkEnd w:id="65"/>
    </w:p>
    <w:p w14:paraId="045CE4D6" w14:textId="1A9A831C" w:rsidR="00BD75EC" w:rsidRPr="005E4476" w:rsidRDefault="1E39ED20" w:rsidP="00423EB2">
      <w:pPr>
        <w:widowControl/>
      </w:pPr>
      <w:r>
        <w:t xml:space="preserve">Cultural safety operates as a </w:t>
      </w:r>
      <w:r w:rsidRPr="006F22A6">
        <w:t>precondition</w:t>
      </w:r>
      <w:r>
        <w:t xml:space="preserve"> for engagement rather than an outcome of service delivery. Effective services recognise the historical and ongoing impacts of colonisation, racism and exclusion at both national and local levels. They actively create environments where individuals feel respected, understood and safe to participate. Without this condition, engagement is unlikely to occur, regardless of program design or intent (</w:t>
      </w:r>
      <w:r w:rsidRPr="006F22A6">
        <w:t>AHMAC, 2016</w:t>
      </w:r>
      <w:r>
        <w:t xml:space="preserve">; Paradies, 2016; </w:t>
      </w:r>
      <w:r w:rsidRPr="006F22A6">
        <w:t>Sherwood, 2013</w:t>
      </w:r>
      <w:r>
        <w:t>). Indigenous-led evidence further demonstrates that culturally safe environments are grounded in respect for identity, community authority and cultural Knowledges, which underpin trust and sustained participation (</w:t>
      </w:r>
      <w:r w:rsidRPr="006F22A6">
        <w:t xml:space="preserve">AHRC, 2019; </w:t>
      </w:r>
      <w:proofErr w:type="spellStart"/>
      <w:r>
        <w:t>Lowitja</w:t>
      </w:r>
      <w:proofErr w:type="spellEnd"/>
      <w:r>
        <w:t xml:space="preserve"> Institute, 2017; Temple et al., 2020). This includes recognising how racism operates within everyday service interactions, and embedding capacity within systems to identify, respond to and learn from these moments in practice.</w:t>
      </w:r>
    </w:p>
    <w:p w14:paraId="7AC3A68D" w14:textId="3CA5B129" w:rsidR="00BD75EC" w:rsidRPr="005E4476" w:rsidRDefault="1E39ED20" w:rsidP="00423EB2">
      <w:pPr>
        <w:widowControl/>
      </w:pPr>
      <w:r>
        <w:t>The evidence further indicates that cultural safety cannot be achieved without active attention to racism as it occurs in practice. Racism is often embedded in routine interactions, assumptions and institutional norms rather than isolated incidents</w:t>
      </w:r>
      <w:r w:rsidRPr="006F22A6">
        <w:t xml:space="preserve"> (Paradies, 2016; Sherwood, 2013; Temple et al., 2020).</w:t>
      </w:r>
      <w:r>
        <w:t xml:space="preserve"> Effective services therefore require not only awareness, but the capacity to identify, interrupt and respond to these dynamics in real time. This includes organisational expectations, reflective practice and accountability mechanisms that support staff to learn from mistakes and repair relationships</w:t>
      </w:r>
      <w:r w:rsidRPr="006F22A6">
        <w:t xml:space="preserve"> (AIATSIS, 2020; </w:t>
      </w:r>
      <w:proofErr w:type="spellStart"/>
      <w:r w:rsidRPr="006F22A6">
        <w:t>Lowitja</w:t>
      </w:r>
      <w:proofErr w:type="spellEnd"/>
      <w:r w:rsidRPr="006F22A6">
        <w:t xml:space="preserve"> Institute, 2020).</w:t>
      </w:r>
      <w:r>
        <w:t xml:space="preserve"> In this sense, anti-racism operates as a core mechanism of service effectiveness, shaping whether trust is eroded or strengthened through interaction.</w:t>
      </w:r>
    </w:p>
    <w:p w14:paraId="3ED973FF" w14:textId="5C385152" w:rsidR="00BD75EC" w:rsidRPr="00A517DB" w:rsidRDefault="1E39ED20" w:rsidP="00423EB2">
      <w:pPr>
        <w:pStyle w:val="Heading3"/>
        <w:spacing w:line="360" w:lineRule="atLeast"/>
      </w:pPr>
      <w:bookmarkStart w:id="66" w:name="_Toc227336517"/>
      <w:bookmarkStart w:id="67" w:name="_Toc1697337907"/>
      <w:bookmarkStart w:id="68" w:name="_Toc231482959"/>
      <w:r w:rsidRPr="00A517DB">
        <w:t>Building and sustaining relational, trust-based engagement</w:t>
      </w:r>
      <w:bookmarkEnd w:id="66"/>
      <w:bookmarkEnd w:id="67"/>
      <w:bookmarkEnd w:id="68"/>
    </w:p>
    <w:p w14:paraId="3743D262" w14:textId="0012CC79" w:rsidR="00BD75EC" w:rsidRPr="005E4476" w:rsidRDefault="1E39ED20" w:rsidP="00423EB2">
      <w:pPr>
        <w:widowControl/>
      </w:pPr>
      <w:r>
        <w:t xml:space="preserve">The evidence consistently identifies relational practice as a central mechanism through which services become accessible. This involves continuity of staff, time invested in relationships, local presence and respectful communication. Trust is developed gradually and maintained through consistency and accountability (Cooms, 2023; Nakata, 2007; Walter &amp; Andersen, 2013). Evidence from </w:t>
      </w:r>
      <w:r>
        <w:lastRenderedPageBreak/>
        <w:t>Indigenous-led research further demonstrates that sustained engagement and relational accountability are essential for culturally safe and effective service delivery, particularly in disability and employment contexts (</w:t>
      </w:r>
      <w:r w:rsidRPr="006F22A6">
        <w:t xml:space="preserve">AHRC, 2019; FPDNA, 2016; </w:t>
      </w:r>
      <w:r>
        <w:t>Talbot et al., 2025). Effective practice therefore requires services to prioritise long-term engagement over short-term compliance targets, as discontinuity of staff and fragmented service arrangements undermine trust and participation (Gilroy et al., 2013; Productivity Commission, 2018).</w:t>
      </w:r>
    </w:p>
    <w:p w14:paraId="3FEABDC9" w14:textId="6A23C56E" w:rsidR="00BD75EC" w:rsidRPr="00A517DB" w:rsidRDefault="1E39ED20" w:rsidP="00423EB2">
      <w:pPr>
        <w:pStyle w:val="Heading3"/>
        <w:spacing w:line="360" w:lineRule="atLeast"/>
      </w:pPr>
      <w:bookmarkStart w:id="69" w:name="_Toc1588816451"/>
      <w:bookmarkStart w:id="70" w:name="_Toc227336518"/>
      <w:bookmarkStart w:id="71" w:name="_Toc231482960"/>
      <w:r w:rsidRPr="00A517DB">
        <w:t>Enabling flexibility and context-responsive delivery</w:t>
      </w:r>
      <w:bookmarkEnd w:id="69"/>
      <w:bookmarkEnd w:id="70"/>
      <w:bookmarkEnd w:id="71"/>
    </w:p>
    <w:p w14:paraId="2B7FAD19" w14:textId="2D311032" w:rsidR="00BD75EC" w:rsidRPr="005E4476" w:rsidRDefault="1E39ED20" w:rsidP="00423EB2">
      <w:pPr>
        <w:widowControl/>
        <w:rPr>
          <w:b/>
          <w:bCs/>
        </w:rPr>
      </w:pPr>
      <w:r>
        <w:t>Effective services are responsive to the realities of peoples’ lives, including family responsibilities, health fluctuations, community contexts and system complexity. Flexibility is reflected in how services are accessed, how participation is structured and how employment pathways are navigated over time. This element requires services to move away from rigid, standardised models toward adaptive and locally responsive approaches (FPDN</w:t>
      </w:r>
      <w:r w:rsidR="08055515">
        <w:t>A</w:t>
      </w:r>
      <w:r>
        <w:t xml:space="preserve">, 2016; Gilroy et al., 2013; </w:t>
      </w:r>
      <w:proofErr w:type="spellStart"/>
      <w:r>
        <w:t>Soldatic</w:t>
      </w:r>
      <w:proofErr w:type="spellEnd"/>
      <w:r>
        <w:t>, 2018). Evidence from policy and program evaluations further demonstrates that inflexible compliance-driven systems can undermine engagement and fail to accommodate cultural and community obligations (</w:t>
      </w:r>
      <w:r w:rsidRPr="006F22A6">
        <w:t xml:space="preserve">Jordan, 2016; </w:t>
      </w:r>
      <w:r>
        <w:t>Productivity Commission, 2018). Conversely, approaches grounded in Indigenous leadership and community priorities enable services to align with local contexts and support sustained participation (</w:t>
      </w:r>
      <w:proofErr w:type="spellStart"/>
      <w:r>
        <w:t>Lowitja</w:t>
      </w:r>
      <w:proofErr w:type="spellEnd"/>
      <w:r>
        <w:t xml:space="preserve"> Institute, 2017</w:t>
      </w:r>
      <w:r w:rsidRPr="006F22A6">
        <w:t>; NIAA, 2020</w:t>
      </w:r>
      <w:r>
        <w:t>).</w:t>
      </w:r>
    </w:p>
    <w:p w14:paraId="5C207332" w14:textId="3AD849E7" w:rsidR="00BD75EC" w:rsidRPr="00A517DB" w:rsidRDefault="1E39ED20" w:rsidP="00423EB2">
      <w:pPr>
        <w:pStyle w:val="Heading3"/>
        <w:spacing w:line="360" w:lineRule="atLeast"/>
      </w:pPr>
      <w:bookmarkStart w:id="72" w:name="_Toc941540455"/>
      <w:bookmarkStart w:id="73" w:name="_Toc227336519"/>
      <w:bookmarkStart w:id="74" w:name="_Toc231482961"/>
      <w:r w:rsidRPr="00A517DB">
        <w:t>Supporting co-design and shared decision-making</w:t>
      </w:r>
      <w:bookmarkEnd w:id="72"/>
      <w:bookmarkEnd w:id="73"/>
      <w:bookmarkEnd w:id="74"/>
    </w:p>
    <w:p w14:paraId="63F01A35" w14:textId="17EACD52" w:rsidR="00BD75EC" w:rsidRPr="005E4476" w:rsidRDefault="1E39ED20" w:rsidP="00423EB2">
      <w:pPr>
        <w:widowControl/>
      </w:pPr>
      <w:r>
        <w:t>Co-design emerges as a critical element where services are shaped in partnership with Aboriginal and Torres Strait Islander peoples. Effective co-design is ongoing and iterative, rather than limited to one-off consultation. It involves shared authority in decision-making and continuous adaptation based on feedback and changing circumstances. This ensures that services remain relevant, legitimate and aligned with community needs (AIATSIS</w:t>
      </w:r>
      <w:r w:rsidRPr="006F22A6">
        <w:t>,</w:t>
      </w:r>
      <w:r>
        <w:t xml:space="preserve"> 2020; FPDN</w:t>
      </w:r>
      <w:r w:rsidR="77BDB742">
        <w:t>A</w:t>
      </w:r>
      <w:r>
        <w:t>, 2016</w:t>
      </w:r>
      <w:r w:rsidRPr="006F22A6">
        <w:t>; NIAA, 2020</w:t>
      </w:r>
      <w:r>
        <w:t>). Indigenous scholarship further emphasises that privileging Indigenous voices and governance structures is essential to ensuring accountability and cultural legitimacy in service design (</w:t>
      </w:r>
      <w:r w:rsidR="008E5423" w:rsidRPr="008E5423">
        <w:t>Bennett et al., 2026</w:t>
      </w:r>
      <w:r w:rsidR="008E5423">
        <w:t xml:space="preserve">; </w:t>
      </w:r>
      <w:proofErr w:type="spellStart"/>
      <w:r>
        <w:t>Lowitja</w:t>
      </w:r>
      <w:proofErr w:type="spellEnd"/>
      <w:r>
        <w:t xml:space="preserve"> Institute, 2020</w:t>
      </w:r>
      <w:r w:rsidRPr="006F22A6">
        <w:t>; Rigney, 1999</w:t>
      </w:r>
      <w:r>
        <w:t>). Evidence also indicates that services perceived as externally imposed are less likely to be trusted or used, reinforcing the importance of sustained partnership and shared authority (AHRC, 2019; Cooms</w:t>
      </w:r>
      <w:r w:rsidR="47D37967">
        <w:t xml:space="preserve"> et al., </w:t>
      </w:r>
      <w:r>
        <w:t>2024).</w:t>
      </w:r>
    </w:p>
    <w:p w14:paraId="0D2A4351" w14:textId="1E2A98C8" w:rsidR="00BD75EC" w:rsidRPr="00A517DB" w:rsidRDefault="1E39ED20" w:rsidP="00423EB2">
      <w:pPr>
        <w:pStyle w:val="Heading3"/>
        <w:spacing w:line="360" w:lineRule="atLeast"/>
      </w:pPr>
      <w:bookmarkStart w:id="75" w:name="_Toc140709750"/>
      <w:bookmarkStart w:id="76" w:name="_Toc227336520"/>
      <w:bookmarkStart w:id="77" w:name="_Toc231482962"/>
      <w:r w:rsidRPr="00A517DB">
        <w:lastRenderedPageBreak/>
        <w:t>Strengthening workforce capability and organisational conditions</w:t>
      </w:r>
      <w:bookmarkEnd w:id="75"/>
      <w:bookmarkEnd w:id="76"/>
      <w:bookmarkEnd w:id="77"/>
    </w:p>
    <w:p w14:paraId="296528A9" w14:textId="6181D535" w:rsidR="00BD75EC" w:rsidRPr="005E4476" w:rsidRDefault="1E39ED20" w:rsidP="00423EB2">
      <w:pPr>
        <w:widowControl/>
      </w:pPr>
      <w:bookmarkStart w:id="78" w:name="_Toc1809889771"/>
      <w:r>
        <w:t xml:space="preserve">Workforce capability and workplace conditions are system-level factors shaping whether services are experienced as usable and whether employment can be sustained. While much of the evidence focuses on service design, outcomes are also influenced by employer practices, workplace cultures and the extent to which workplaces are inclusive and culturally safe. Effective practice requires staff and organisations </w:t>
      </w:r>
      <w:r w:rsidRPr="006F22A6">
        <w:t>to be resourced</w:t>
      </w:r>
      <w:r>
        <w:t xml:space="preserve"> to develop cultural capability, engage relationally and adapt to diverse contexts, enabled through stable employment, cultural supervision, ongoing learning and recognition of Indigenous Knowledges (Gilroy et al., 2017; </w:t>
      </w:r>
      <w:r w:rsidRPr="006F22A6">
        <w:t xml:space="preserve">NACCHO, 2021; </w:t>
      </w:r>
      <w:r>
        <w:t>Talbot et al., 2025).</w:t>
      </w:r>
    </w:p>
    <w:p w14:paraId="28D591A5" w14:textId="36070829" w:rsidR="00BD75EC" w:rsidRPr="005E4476" w:rsidRDefault="1E39ED20" w:rsidP="00423EB2">
      <w:pPr>
        <w:widowControl/>
      </w:pPr>
      <w:r>
        <w:t xml:space="preserve">Indigenous scholarship emphasises culturally grounded </w:t>
      </w:r>
      <w:r w:rsidR="00261785">
        <w:t xml:space="preserve">and trauma-informed </w:t>
      </w:r>
      <w:r>
        <w:t>organisational practice and relational accountability in effective delivery (</w:t>
      </w:r>
      <w:r w:rsidR="5D980BF7">
        <w:t xml:space="preserve">Atkinson, </w:t>
      </w:r>
      <w:r w:rsidRPr="006F22A6">
        <w:t xml:space="preserve">2002; </w:t>
      </w:r>
      <w:r w:rsidR="003E3067" w:rsidRPr="003E3067">
        <w:t>Bennett et al., 2026</w:t>
      </w:r>
      <w:r w:rsidR="00FC60E3">
        <w:t xml:space="preserve">; </w:t>
      </w:r>
      <w:r w:rsidRPr="006F22A6">
        <w:t xml:space="preserve">Cooms &amp; Okimoto, 2025; </w:t>
      </w:r>
      <w:proofErr w:type="spellStart"/>
      <w:r>
        <w:t>Lowitja</w:t>
      </w:r>
      <w:proofErr w:type="spellEnd"/>
      <w:r>
        <w:t xml:space="preserve"> Institute, 2017; </w:t>
      </w:r>
      <w:r w:rsidR="3534411A">
        <w:t xml:space="preserve">Menzies, 2019; </w:t>
      </w:r>
      <w:r>
        <w:t>Mohamed, 2021). The evidence also shows barriers extend into workplaces: discrimination,</w:t>
      </w:r>
      <w:r w:rsidR="00250BB2">
        <w:t xml:space="preserve"> lack of trauma-informed practice, </w:t>
      </w:r>
      <w:r>
        <w:t>low cultural understanding and inflexible expectations can limit entry and retention, especially for Aboriginal and Torres Strait Islander peoples with disability (</w:t>
      </w:r>
      <w:r w:rsidR="00AD110A">
        <w:t xml:space="preserve">Cooms &amp; Okimoto, </w:t>
      </w:r>
      <w:r w:rsidR="00261785">
        <w:t xml:space="preserve">2025; </w:t>
      </w:r>
      <w:r>
        <w:t>Paradies, 2016; Productivity Commission, 2018). Conversely, workplaces that demonstrate cultural capability and flexibility are more likely to sustain employment. Synthesising across sources, improving outcomes requires alignment between service conditions and workplace conditions</w:t>
      </w:r>
      <w:r w:rsidR="07A23D9B">
        <w:t xml:space="preserve">, </w:t>
      </w:r>
      <w:r w:rsidRPr="006F22A6">
        <w:t xml:space="preserve">including </w:t>
      </w:r>
      <w:r>
        <w:t>cultural safety, relational understanding and flexibility</w:t>
      </w:r>
      <w:r w:rsidR="788B19A4">
        <w:t xml:space="preserve">, </w:t>
      </w:r>
      <w:r>
        <w:t>rather than treating employment as separate from the environments in which it occurs (FPDN</w:t>
      </w:r>
      <w:r w:rsidR="5496B8E0">
        <w:t>A</w:t>
      </w:r>
      <w:r>
        <w:t>, 2016; Walter &amp; Andersen, 2013).</w:t>
      </w:r>
    </w:p>
    <w:p w14:paraId="24412DE7" w14:textId="77777777" w:rsidR="00BD75EC" w:rsidRPr="00A517DB" w:rsidRDefault="1E39ED20" w:rsidP="00423EB2">
      <w:pPr>
        <w:pStyle w:val="Heading3"/>
        <w:spacing w:line="360" w:lineRule="atLeast"/>
      </w:pPr>
      <w:bookmarkStart w:id="79" w:name="_Toc231482963"/>
      <w:r w:rsidRPr="00A517DB">
        <w:t>Recognising and addressing racism</w:t>
      </w:r>
      <w:bookmarkEnd w:id="79"/>
      <w:r w:rsidRPr="00A517DB">
        <w:t xml:space="preserve"> </w:t>
      </w:r>
    </w:p>
    <w:p w14:paraId="56589602" w14:textId="713A2FF2" w:rsidR="02D2EBA0" w:rsidRDefault="02D2EBA0" w:rsidP="00423EB2">
      <w:pPr>
        <w:widowControl/>
        <w:rPr>
          <w:lang w:eastAsia="en-AU"/>
        </w:rPr>
      </w:pPr>
      <w:r w:rsidRPr="5C99C6EE">
        <w:rPr>
          <w:rFonts w:eastAsia="Montserrat" w:cs="Montserrat"/>
        </w:rPr>
        <w:t>Racism is a central factor affecting whether Aboriginal and Torres Strait Islander peoples with disability access and stay engaged with employment services</w:t>
      </w:r>
      <w:r w:rsidR="1E39ED20" w:rsidRPr="5C99C6EE">
        <w:rPr>
          <w:lang w:eastAsia="en-AU"/>
        </w:rPr>
        <w:t xml:space="preserve">. </w:t>
      </w:r>
      <w:r w:rsidR="18C09584" w:rsidRPr="5C99C6EE">
        <w:rPr>
          <w:rFonts w:eastAsia="Montserrat" w:cs="Montserrat"/>
        </w:rPr>
        <w:t xml:space="preserve">It often manifests through routine interactions, assumptions and institutional norms, such as deficit narratives and misunderstandings of cultural responsibilities, which undermine trust and lead to disengagement </w:t>
      </w:r>
      <w:r w:rsidR="18C09584" w:rsidRPr="5C99C6EE">
        <w:rPr>
          <w:lang w:eastAsia="en-AU"/>
        </w:rPr>
        <w:t>(Brown et al., 2020; Leroy-Dyer &amp; Olssen, 2026</w:t>
      </w:r>
      <w:r w:rsidRPr="006F22A6">
        <w:t>; Paradies, 2016; Temple et al., 2020). This means racism needs to be analysed as a system mechanism that shapes access, engagement and outcomes.</w:t>
      </w:r>
    </w:p>
    <w:p w14:paraId="29CBD576" w14:textId="4EC3F842" w:rsidR="00BD75EC" w:rsidRPr="005E4476" w:rsidRDefault="1E39ED20" w:rsidP="00423EB2">
      <w:pPr>
        <w:widowControl/>
        <w:rPr>
          <w:lang w:eastAsia="en-AU"/>
        </w:rPr>
      </w:pPr>
      <w:r w:rsidRPr="5C99C6EE">
        <w:rPr>
          <w:lang w:eastAsia="en-AU"/>
        </w:rPr>
        <w:t>Effective practice therefore requires more than general commitments to cultural safety; it requires the capacity to recognise and respond to racism in real time. Seemingly minor interactions</w:t>
      </w:r>
      <w:r w:rsidRPr="006F22A6">
        <w:t xml:space="preserve">, </w:t>
      </w:r>
      <w:r w:rsidRPr="5C99C6EE">
        <w:rPr>
          <w:lang w:eastAsia="en-AU"/>
        </w:rPr>
        <w:t xml:space="preserve">such as stereotyping or reframing </w:t>
      </w:r>
      <w:r w:rsidRPr="5C99C6EE">
        <w:rPr>
          <w:lang w:eastAsia="en-AU"/>
        </w:rPr>
        <w:lastRenderedPageBreak/>
        <w:t>cultural obligations as barriers</w:t>
      </w:r>
      <w:r w:rsidRPr="006F22A6">
        <w:t>,</w:t>
      </w:r>
      <w:r w:rsidRPr="5C99C6EE">
        <w:rPr>
          <w:lang w:eastAsia="en-AU"/>
        </w:rPr>
        <w:t xml:space="preserve"> can cumulatively erode trust if left unexamined</w:t>
      </w:r>
      <w:r w:rsidRPr="006F22A6">
        <w:t xml:space="preserve"> (Avery, 2018; Temple et al., 2020).</w:t>
      </w:r>
      <w:r w:rsidRPr="5C99C6EE">
        <w:rPr>
          <w:lang w:eastAsia="en-AU"/>
        </w:rPr>
        <w:t xml:space="preserve"> In contrast, when acknowledged and addressed, these moments can support learning and relationship-building.</w:t>
      </w:r>
      <w:r w:rsidRPr="006F22A6">
        <w:t xml:space="preserve"> This makes accountability and repair part of the service model, not an informal interpersonal response.</w:t>
      </w:r>
    </w:p>
    <w:p w14:paraId="50E204E5" w14:textId="03A44C4A" w:rsidR="0D6167DF" w:rsidRDefault="0D6167DF" w:rsidP="00423EB2">
      <w:pPr>
        <w:widowControl/>
      </w:pPr>
      <w:r w:rsidRPr="5C99C6EE">
        <w:rPr>
          <w:rFonts w:eastAsia="Montserrat" w:cs="Montserrat"/>
        </w:rPr>
        <w:t>Addressing racism is essential for effective service</w:t>
      </w:r>
      <w:r w:rsidRPr="006F22A6">
        <w:t xml:space="preserve"> because</w:t>
      </w:r>
      <w:r w:rsidRPr="5C99C6EE">
        <w:rPr>
          <w:rFonts w:eastAsia="Montserrat" w:cs="Montserrat"/>
        </w:rPr>
        <w:t xml:space="preserve"> it influences ongoing engagement. Success relies on environments that encourage reflection, accountability and continuous learning</w:t>
      </w:r>
      <w:r w:rsidRPr="006F22A6">
        <w:t xml:space="preserve"> (AIATSIS, 2020; </w:t>
      </w:r>
      <w:proofErr w:type="spellStart"/>
      <w:r w:rsidRPr="006F22A6">
        <w:t>Lowitja</w:t>
      </w:r>
      <w:proofErr w:type="spellEnd"/>
      <w:r w:rsidRPr="006F22A6">
        <w:t xml:space="preserve"> Institute, 2020).</w:t>
      </w:r>
      <w:r w:rsidRPr="5C99C6EE">
        <w:rPr>
          <w:rFonts w:eastAsia="Montserrat" w:cs="Montserrat"/>
        </w:rPr>
        <w:t xml:space="preserve"> Effective practice means acknowledging and correcting errors to maintain trust. Anti-racism is fundamental to service delivery, cultural safety and accountability</w:t>
      </w:r>
      <w:r w:rsidR="53A62C86" w:rsidRPr="5C99C6EE">
        <w:rPr>
          <w:rFonts w:eastAsia="Montserrat" w:cs="Montserrat"/>
        </w:rPr>
        <w:t xml:space="preserve">, </w:t>
      </w:r>
      <w:r w:rsidRPr="5C99C6EE">
        <w:rPr>
          <w:rFonts w:eastAsia="Montserrat" w:cs="Montserrat"/>
        </w:rPr>
        <w:t>not a compliance requirement</w:t>
      </w:r>
      <w:r w:rsidRPr="006F22A6">
        <w:t xml:space="preserve"> alone (Paradies, 2016; Sherwood, 2013).</w:t>
      </w:r>
    </w:p>
    <w:p w14:paraId="315988DD" w14:textId="69655253" w:rsidR="00BD75EC" w:rsidRPr="00A517DB" w:rsidRDefault="1E39ED20" w:rsidP="00423EB2">
      <w:pPr>
        <w:pStyle w:val="Heading3"/>
        <w:spacing w:line="360" w:lineRule="atLeast"/>
        <w:rPr>
          <w:kern w:val="2"/>
        </w:rPr>
      </w:pPr>
      <w:bookmarkStart w:id="80" w:name="_Toc231482964"/>
      <w:r w:rsidRPr="00A517DB">
        <w:t>What</w:t>
      </w:r>
      <w:bookmarkStart w:id="81" w:name="_Toc227336521"/>
      <w:r w:rsidRPr="00A517DB">
        <w:t xml:space="preserve"> the solution looks like in practice</w:t>
      </w:r>
      <w:bookmarkEnd w:id="78"/>
      <w:bookmarkEnd w:id="80"/>
      <w:bookmarkEnd w:id="81"/>
    </w:p>
    <w:p w14:paraId="52E45BA1" w14:textId="6567E746" w:rsidR="00BD75EC" w:rsidRPr="005E4476" w:rsidRDefault="6327F565" w:rsidP="00423EB2">
      <w:pPr>
        <w:widowControl/>
      </w:pPr>
      <w:r w:rsidRPr="44816BA5">
        <w:rPr>
          <w:rFonts w:eastAsia="Montserrat" w:cs="Montserrat"/>
        </w:rPr>
        <w:t>Effective employment support for Aboriginal and Torres Strait Islander peoples with disability requires the reconfiguration of service systems rather than the addition of standalone programs.</w:t>
      </w:r>
      <w:r>
        <w:t xml:space="preserve"> </w:t>
      </w:r>
      <w:r w:rsidR="1E39ED20">
        <w:t xml:space="preserve">In practice, this means Indigenous-led and community-controlled governance, with decision-making and accountability embedded within community (NACCHO, 2021; </w:t>
      </w:r>
      <w:r w:rsidRPr="006F22A6">
        <w:t xml:space="preserve">NIAA, 2020; </w:t>
      </w:r>
      <w:r w:rsidR="1E39ED20">
        <w:t>Rigney, 1999). Delivery is grounded in cultural Knowledges and relational accountability, prioritising trust, continuity and long-term engagement (</w:t>
      </w:r>
      <w:r w:rsidRPr="006F22A6">
        <w:t>AHRC, 2019</w:t>
      </w:r>
      <w:r w:rsidR="1E39ED20">
        <w:t xml:space="preserve">; </w:t>
      </w:r>
      <w:proofErr w:type="spellStart"/>
      <w:r w:rsidR="1E39ED20">
        <w:t>Lowitja</w:t>
      </w:r>
      <w:proofErr w:type="spellEnd"/>
      <w:r w:rsidR="1E39ED20">
        <w:t xml:space="preserve"> Institute, 2017; </w:t>
      </w:r>
      <w:r w:rsidRPr="006F22A6">
        <w:t>Walter &amp; Andersen, 2013</w:t>
      </w:r>
      <w:r w:rsidR="1E39ED20">
        <w:t>). Employment pathways are treated as adaptive rather than linear, allowing movement in and out of work in ways aligned with circumstances and responsibilities (FPDN</w:t>
      </w:r>
      <w:r w:rsidR="39E770B5">
        <w:t>A</w:t>
      </w:r>
      <w:r w:rsidR="1E39ED20">
        <w:t>, 2016; Gilroy et al., 2013; Jordan, 2016).</w:t>
      </w:r>
    </w:p>
    <w:p w14:paraId="1D9C050F" w14:textId="19D7C708" w:rsidR="00BD75EC" w:rsidRPr="005E4476" w:rsidRDefault="1E39ED20" w:rsidP="00423EB2">
      <w:pPr>
        <w:widowControl/>
      </w:pPr>
      <w:r>
        <w:t>Services are locally embedded and responsive, with flexible delivery that reduces administrative burden and varies how, when and where support is accessed (</w:t>
      </w:r>
      <w:proofErr w:type="spellStart"/>
      <w:r>
        <w:t>Lowitja</w:t>
      </w:r>
      <w:proofErr w:type="spellEnd"/>
      <w:r>
        <w:t xml:space="preserve"> Institute, 2017; </w:t>
      </w:r>
      <w:r w:rsidRPr="006F22A6">
        <w:t xml:space="preserve">NIAA, 2020; </w:t>
      </w:r>
      <w:r>
        <w:t xml:space="preserve">Productivity Commission, 2018; </w:t>
      </w:r>
      <w:proofErr w:type="spellStart"/>
      <w:r>
        <w:t>Soldatic</w:t>
      </w:r>
      <w:proofErr w:type="spellEnd"/>
      <w:r>
        <w:t>, 2018). Family and community are treated as central to decision-making and participation, not peripheral (</w:t>
      </w:r>
      <w:r w:rsidRPr="006F22A6">
        <w:t xml:space="preserve">AHRC, 2019; </w:t>
      </w:r>
      <w:r>
        <w:t xml:space="preserve">Walter &amp; Andersen, 2013). Workforces are supported to deliver </w:t>
      </w:r>
      <w:r w:rsidR="00423EB2">
        <w:t>culturally-informed</w:t>
      </w:r>
      <w:r>
        <w:t xml:space="preserve"> practice through stability, supervision and organisational learning, and cultural safety is actively maintained through respectful communication and responsiveness to different understandings of disability (</w:t>
      </w:r>
      <w:r w:rsidRPr="006F22A6">
        <w:t xml:space="preserve">AHMAC, 2016; </w:t>
      </w:r>
      <w:r>
        <w:t>FPDN</w:t>
      </w:r>
      <w:r w:rsidR="486C850E">
        <w:t>A</w:t>
      </w:r>
      <w:r>
        <w:t xml:space="preserve">, 2016; </w:t>
      </w:r>
      <w:proofErr w:type="spellStart"/>
      <w:r>
        <w:t>Lowitja</w:t>
      </w:r>
      <w:proofErr w:type="spellEnd"/>
      <w:r>
        <w:t xml:space="preserve"> Institute, 2017</w:t>
      </w:r>
      <w:r w:rsidRPr="006F22A6">
        <w:t>; Mohamed, 2021; NACCHO, 2021; Sherwood, 2013</w:t>
      </w:r>
      <w:r>
        <w:t>).</w:t>
      </w:r>
    </w:p>
    <w:p w14:paraId="057AD490" w14:textId="08277CC8" w:rsidR="00BD75EC" w:rsidRPr="005E4476" w:rsidRDefault="1E39ED20" w:rsidP="00423EB2">
      <w:pPr>
        <w:widowControl/>
      </w:pPr>
      <w:r>
        <w:t>The evidence does not support a single model to replicate uniformly. Instead, it identifies conditions that must be interpreted and enacted locally, with effectiveness emerging through grounded responsiveness and accountability to community (AIATSIS, 2020;</w:t>
      </w:r>
      <w:r w:rsidR="00FA22C8">
        <w:t xml:space="preserve"> Lovett, 2016</w:t>
      </w:r>
      <w:r w:rsidRPr="006F22A6">
        <w:t>; NIAA, 2020</w:t>
      </w:r>
      <w:r>
        <w:t xml:space="preserve">). </w:t>
      </w:r>
      <w:r w:rsidR="00FD649F" w:rsidRPr="00FD649F">
        <w:t xml:space="preserve">The synthesis therefore </w:t>
      </w:r>
      <w:r w:rsidR="00FD649F" w:rsidRPr="00FD649F">
        <w:lastRenderedPageBreak/>
        <w:t>reframes what works as a situated configuration of governance, cultural safety, relational practice and flexibility, rather than a transferable menu of discrete components.</w:t>
      </w:r>
      <w:r w:rsidRPr="006F22A6">
        <w:t xml:space="preserve"> This framing is important for education services because learning, transition and employment pathways need local interpretation rather than standardised replication</w:t>
      </w:r>
      <w:r w:rsidR="00FD649F" w:rsidRPr="00FD649F">
        <w:t>.</w:t>
      </w:r>
    </w:p>
    <w:p w14:paraId="4D28E540" w14:textId="77777777" w:rsidR="00861DBC" w:rsidRPr="006F22A6" w:rsidRDefault="0043069B" w:rsidP="00423EB2">
      <w:pPr>
        <w:widowControl/>
      </w:pPr>
      <w:r w:rsidRPr="006F22A6">
        <w:t xml:space="preserve">Policy translation for education services follows the same logic. Education and training services that prepare Aboriginal and Torres Strait Islander peoples with disability for employment need Indigenous-led governance, culturally safe learning environments, relational continuity, flexible participation arrangements and accountability to community (AIATSIS, 2020; FPDNA, 2016; </w:t>
      </w:r>
      <w:proofErr w:type="spellStart"/>
      <w:r w:rsidRPr="006F22A6">
        <w:t>Lowitja</w:t>
      </w:r>
      <w:proofErr w:type="spellEnd"/>
      <w:r w:rsidRPr="006F22A6">
        <w:t xml:space="preserve"> Institute, 2020; NACCHO, 2021). This does not convert the report from an employment synthesis into an education review; rather, it clarifies how the employment evidence informs education-to-employment policy where learning, training, disability support and work pathways intersect.</w:t>
      </w:r>
    </w:p>
    <w:p w14:paraId="35C12EAF" w14:textId="5EBEBFDE" w:rsidR="00BD75EC" w:rsidRPr="005E4476" w:rsidRDefault="47966615" w:rsidP="00423EB2">
      <w:pPr>
        <w:widowControl/>
      </w:pPr>
      <w:r w:rsidRPr="5C99C6EE">
        <w:rPr>
          <w:rFonts w:eastAsia="Montserrat" w:cs="Montserrat"/>
        </w:rPr>
        <w:t>Enhancing employment outcomes necessitates comprehensive system-level reform rather than supplementary standalone programs.</w:t>
      </w:r>
      <w:r w:rsidR="1E39ED20">
        <w:t xml:space="preserve"> Current service systems are often shaped by short-term funding cycles, compliance-driven performance measures, and fragmented policy responsibilities across disability, employment and community sectors (</w:t>
      </w:r>
      <w:r w:rsidRPr="006F22A6">
        <w:t xml:space="preserve">ANAO, 2017; </w:t>
      </w:r>
      <w:r w:rsidR="1E39ED20">
        <w:t xml:space="preserve">Productivity Commission, 2018). These settings can constrain relational, flexible and culturally grounded approaches, even where they are recognised as effective. For example, relational and cultural labour </w:t>
      </w:r>
      <w:r w:rsidRPr="006F22A6">
        <w:t xml:space="preserve">needs to be recognised </w:t>
      </w:r>
      <w:r w:rsidR="1E39ED20">
        <w:t>as core service delivery</w:t>
      </w:r>
      <w:r w:rsidRPr="006F22A6">
        <w:t xml:space="preserve"> work</w:t>
      </w:r>
      <w:r w:rsidR="1E39ED20">
        <w:t xml:space="preserve"> and </w:t>
      </w:r>
      <w:r w:rsidRPr="006F22A6">
        <w:t>embedded</w:t>
      </w:r>
      <w:r w:rsidR="1E39ED20">
        <w:t xml:space="preserve"> within workforce design, resourcing and accountability structures, rather than relying on individual First Nations peoples to carry this work</w:t>
      </w:r>
      <w:r w:rsidRPr="006F22A6">
        <w:t xml:space="preserve"> without formal recognition (Avery, 2018; Brown et al., 2020; Leroy-Dyer &amp; Olssen, 2026).</w:t>
      </w:r>
      <w:r w:rsidR="1E39ED20">
        <w:t xml:space="preserve"> In particular, funding models that prioritise throughput</w:t>
      </w:r>
      <w:r w:rsidRPr="006F22A6">
        <w:t xml:space="preserve"> and</w:t>
      </w:r>
      <w:r w:rsidR="1E39ED20">
        <w:t xml:space="preserve"> short-term outcomes are misaligned with the time, continuity and trust required to support sustained engagement.</w:t>
      </w:r>
    </w:p>
    <w:p w14:paraId="4F28C43E" w14:textId="5E7D3AAF" w:rsidR="00BD75EC" w:rsidRPr="005E4476" w:rsidRDefault="1E39ED20" w:rsidP="00423EB2">
      <w:pPr>
        <w:widowControl/>
      </w:pPr>
      <w:r>
        <w:t xml:space="preserve">Policy responses </w:t>
      </w:r>
      <w:r w:rsidRPr="006F22A6">
        <w:t>need to</w:t>
      </w:r>
      <w:r>
        <w:t xml:space="preserve"> focus on enabling conditions</w:t>
      </w:r>
      <w:r w:rsidRPr="006F22A6">
        <w:t xml:space="preserve"> identified consistently across Indigenous-authored scholarship, Indigenous organisations and policy evidence (AIATSIS, 2020; FPDNA, 2016; </w:t>
      </w:r>
      <w:proofErr w:type="spellStart"/>
      <w:r w:rsidRPr="006F22A6">
        <w:t>Lowitja</w:t>
      </w:r>
      <w:proofErr w:type="spellEnd"/>
      <w:r w:rsidRPr="006F22A6">
        <w:t xml:space="preserve"> Institute, 2020; NACCHO, 2021):</w:t>
      </w:r>
    </w:p>
    <w:p w14:paraId="69FD621A" w14:textId="73F761B7" w:rsidR="00BD75EC" w:rsidRPr="005E4476" w:rsidRDefault="1E39ED20" w:rsidP="003D0DFD">
      <w:pPr>
        <w:pStyle w:val="ListBullet"/>
      </w:pPr>
      <w:r>
        <w:t>Resourc</w:t>
      </w:r>
      <w:r w:rsidRPr="006F22A6">
        <w:t>e</w:t>
      </w:r>
      <w:r>
        <w:t xml:space="preserve"> Indigenous-led and/or community-controlled organisations as primary service providers</w:t>
      </w:r>
      <w:r w:rsidR="00382D79">
        <w:t>.</w:t>
      </w:r>
    </w:p>
    <w:p w14:paraId="38A968A5" w14:textId="746C9C1E" w:rsidR="00BD75EC" w:rsidRPr="005E4476" w:rsidRDefault="1E39ED20" w:rsidP="003D0DFD">
      <w:pPr>
        <w:pStyle w:val="ListBullet"/>
      </w:pPr>
      <w:r>
        <w:t>Support longer-term, flexible funding arrangements that enable relational practice</w:t>
      </w:r>
      <w:r w:rsidR="00382D79">
        <w:t>.</w:t>
      </w:r>
    </w:p>
    <w:p w14:paraId="56205CAE" w14:textId="33EF6C3B" w:rsidR="00BD75EC" w:rsidRPr="005E4476" w:rsidRDefault="1E39ED20" w:rsidP="003D0DFD">
      <w:pPr>
        <w:pStyle w:val="ListBullet"/>
      </w:pPr>
      <w:r>
        <w:t xml:space="preserve">Recognise that employment includes both paid and unpaid contributions, and design services that </w:t>
      </w:r>
      <w:r w:rsidRPr="006F22A6">
        <w:t>enable</w:t>
      </w:r>
      <w:r>
        <w:t xml:space="preserve"> participation across these forms of work, </w:t>
      </w:r>
      <w:r>
        <w:lastRenderedPageBreak/>
        <w:t>including care for kin, community and Country alongside engagement in paid employment</w:t>
      </w:r>
      <w:r w:rsidR="00382D79">
        <w:t>.</w:t>
      </w:r>
    </w:p>
    <w:p w14:paraId="329057C7" w14:textId="0317EC61" w:rsidR="00BD75EC" w:rsidRPr="005E4476" w:rsidRDefault="1E39ED20" w:rsidP="003D0DFD">
      <w:pPr>
        <w:pStyle w:val="ListBullet"/>
      </w:pPr>
      <w:r>
        <w:t xml:space="preserve">Align policy and funding across disability, </w:t>
      </w:r>
      <w:r w:rsidRPr="006F22A6">
        <w:t xml:space="preserve">education, </w:t>
      </w:r>
      <w:r>
        <w:t>employment and community systems</w:t>
      </w:r>
      <w:r w:rsidR="00382D79">
        <w:t>.</w:t>
      </w:r>
    </w:p>
    <w:p w14:paraId="66843B97" w14:textId="47D3E9A7" w:rsidR="00BD75EC" w:rsidRPr="005E4476" w:rsidRDefault="1E39ED20" w:rsidP="003D0DFD">
      <w:pPr>
        <w:pStyle w:val="ListBullet"/>
      </w:pPr>
      <w:r>
        <w:t xml:space="preserve">Invest in Indigenous workforce development and </w:t>
      </w:r>
      <w:r w:rsidRPr="006F22A6">
        <w:t xml:space="preserve">Indigenous disability </w:t>
      </w:r>
      <w:r>
        <w:t>leadership pathways</w:t>
      </w:r>
      <w:r w:rsidR="00382D79">
        <w:t>.</w:t>
      </w:r>
    </w:p>
    <w:p w14:paraId="79EF08F0" w14:textId="5DCD7F80" w:rsidR="00BD75EC" w:rsidRPr="005E4476" w:rsidRDefault="1E39ED20" w:rsidP="003D0DFD">
      <w:pPr>
        <w:pStyle w:val="ListBullet"/>
      </w:pPr>
      <w:r>
        <w:t>Embed accountability mechanisms that recognise cultural governance and community priorities.</w:t>
      </w:r>
    </w:p>
    <w:p w14:paraId="6236CD68" w14:textId="27CF6B74" w:rsidR="00BD75EC" w:rsidRDefault="1E39ED20" w:rsidP="00423EB2">
      <w:pPr>
        <w:widowControl/>
      </w:pPr>
      <w:r>
        <w:t xml:space="preserve">These shifts </w:t>
      </w:r>
      <w:r w:rsidRPr="006F22A6">
        <w:t>will</w:t>
      </w:r>
      <w:r>
        <w:t xml:space="preserve"> better align system settings with the conditions consistently identified in the evidence as enabling participation</w:t>
      </w:r>
      <w:r w:rsidRPr="006F22A6">
        <w:t>, particularly where policy design treats disability, education, training and employment as connected systems rather than separate service silos (AIATSIS, 2020; FPDNA, 2016; Productivity Commission, 2020).</w:t>
      </w:r>
    </w:p>
    <w:p w14:paraId="3C6EBEE4" w14:textId="01247141" w:rsidR="00A34B1C" w:rsidRPr="005435A6" w:rsidRDefault="46ABBFF8" w:rsidP="00423EB2">
      <w:pPr>
        <w:pStyle w:val="Heading1"/>
        <w:spacing w:line="360" w:lineRule="atLeast"/>
        <w:jc w:val="left"/>
      </w:pPr>
      <w:bookmarkStart w:id="82" w:name="_Toc231482965"/>
      <w:r>
        <w:t>Conclusion</w:t>
      </w:r>
      <w:bookmarkEnd w:id="56"/>
      <w:bookmarkEnd w:id="82"/>
    </w:p>
    <w:p w14:paraId="3EC6F2EB" w14:textId="6CBA6B5C" w:rsidR="0086431F" w:rsidRPr="0086431F" w:rsidRDefault="0C3AC2DE" w:rsidP="00423EB2">
      <w:pPr>
        <w:widowControl/>
      </w:pPr>
      <w:r w:rsidRPr="44816BA5">
        <w:rPr>
          <w:rFonts w:eastAsia="Montserrat" w:cs="Montserrat"/>
        </w:rPr>
        <w:t>The</w:t>
      </w:r>
      <w:r w:rsidR="02C831CA" w:rsidRPr="44816BA5">
        <w:rPr>
          <w:rFonts w:eastAsia="Montserrat" w:cs="Montserrat"/>
        </w:rPr>
        <w:t xml:space="preserve"> </w:t>
      </w:r>
      <w:r w:rsidR="45BB579C" w:rsidRPr="44816BA5">
        <w:rPr>
          <w:rFonts w:eastAsia="Montserrat" w:cs="Montserrat"/>
        </w:rPr>
        <w:t xml:space="preserve">synthesis </w:t>
      </w:r>
      <w:r w:rsidRPr="006F22A6">
        <w:t>finds</w:t>
      </w:r>
      <w:r w:rsidR="45BB579C" w:rsidRPr="44816BA5">
        <w:rPr>
          <w:rFonts w:eastAsia="Montserrat" w:cs="Montserrat"/>
        </w:rPr>
        <w:t xml:space="preserve"> </w:t>
      </w:r>
      <w:r w:rsidR="02C831CA" w:rsidRPr="44816BA5">
        <w:rPr>
          <w:rFonts w:eastAsia="Montserrat" w:cs="Montserrat"/>
        </w:rPr>
        <w:t>that employment outcomes for Aboriginal and Torres Strait Islander peoples with disability are influenced more by interconnected conditions within service systems than by standalone programs.</w:t>
      </w:r>
      <w:r w:rsidR="02C831CA" w:rsidRPr="00A517DB">
        <w:t xml:space="preserve"> </w:t>
      </w:r>
      <w:bookmarkStart w:id="83" w:name="_Toc228284901"/>
      <w:r w:rsidR="0086431F">
        <w:t>This requires a broader understanding of work that includes both paid and unpaid contributions, recognising the central role of care for kin, community and Country alongside the importance of paid employment in supporting economic participation</w:t>
      </w:r>
      <w:r w:rsidRPr="006F22A6">
        <w:t xml:space="preserve"> (Leroy-Dyer, 2022; </w:t>
      </w:r>
      <w:proofErr w:type="spellStart"/>
      <w:r w:rsidRPr="006F22A6">
        <w:t>Lowitja</w:t>
      </w:r>
      <w:proofErr w:type="spellEnd"/>
      <w:r w:rsidRPr="006F22A6">
        <w:t xml:space="preserve"> Institute, 2020; Walter &amp; Andersen, 2013).</w:t>
      </w:r>
    </w:p>
    <w:p w14:paraId="7161F8E2" w14:textId="70BE97CD" w:rsidR="0086431F" w:rsidRPr="0086431F" w:rsidRDefault="0086431F" w:rsidP="00423EB2">
      <w:pPr>
        <w:widowControl/>
      </w:pPr>
      <w:r>
        <w:t xml:space="preserve">Across the evidence, the most consistently supported practices are </w:t>
      </w:r>
      <w:r w:rsidR="4D5D40F7">
        <w:t>Indigenous</w:t>
      </w:r>
      <w:r w:rsidRPr="006F22A6">
        <w:t>-</w:t>
      </w:r>
      <w:r w:rsidR="4D5D40F7">
        <w:t>led</w:t>
      </w:r>
      <w:r>
        <w:t xml:space="preserve">, culturally grounded and relationally organised. These include Indigenous-led and community-controlled governance, cultural safety as a precondition for engagement, relational and trust-based service delivery, flexible and context-responsive approaches, ongoing co-design, workforce capability supported at an organisational level, </w:t>
      </w:r>
      <w:r w:rsidRPr="006F22A6">
        <w:t>and</w:t>
      </w:r>
      <w:r>
        <w:t xml:space="preserve"> trauma-informed practice</w:t>
      </w:r>
      <w:r w:rsidRPr="006F22A6">
        <w:t xml:space="preserve"> (AIATSIS, 2020; Cooms &amp; Muurlink, 2025; FPDNA, 2016; </w:t>
      </w:r>
      <w:proofErr w:type="spellStart"/>
      <w:r w:rsidRPr="006F22A6">
        <w:t>Lowitja</w:t>
      </w:r>
      <w:proofErr w:type="spellEnd"/>
      <w:r w:rsidRPr="006F22A6">
        <w:t xml:space="preserve"> Institute, 2020; NACCHO, 2021). These</w:t>
      </w:r>
      <w:r>
        <w:t xml:space="preserve"> practices do not operate independently. </w:t>
      </w:r>
      <w:r w:rsidR="7ADD4CA7" w:rsidRPr="4C72B0F6">
        <w:rPr>
          <w:rFonts w:eastAsia="Montserrat" w:cs="Montserrat"/>
        </w:rPr>
        <w:t>The evidence suggests</w:t>
      </w:r>
      <w:r w:rsidRPr="4C72B0F6">
        <w:rPr>
          <w:rFonts w:eastAsia="Montserrat" w:cs="Montserrat"/>
        </w:rPr>
        <w:t xml:space="preserve"> that effectiveness emerges when these elements are aligned and sustained together, shaping how services are experienced and accessed over time.</w:t>
      </w:r>
      <w:r>
        <w:t xml:space="preserve"> Where one or more of these conditions are absent, such as in standardised, compliance-driven models, services are less accessible, less trusted and less effective in supporting meaningful and sustained employment participation. This reinforces </w:t>
      </w:r>
      <w:r w:rsidR="00E849FA">
        <w:t>the</w:t>
      </w:r>
      <w:r>
        <w:t xml:space="preserve"> central finding: what works is best understood as a configuration of system conditions, rather than a set of replicable interventions.</w:t>
      </w:r>
    </w:p>
    <w:p w14:paraId="5695FC4C" w14:textId="3FE01D74" w:rsidR="0086431F" w:rsidRPr="0086431F" w:rsidRDefault="0086431F" w:rsidP="00423EB2">
      <w:pPr>
        <w:widowControl/>
      </w:pPr>
      <w:r>
        <w:lastRenderedPageBreak/>
        <w:t xml:space="preserve">The evidence base underpinning these findings is both a strength and a limitation. </w:t>
      </w:r>
      <w:r w:rsidR="43AADEA0" w:rsidRPr="3885E160">
        <w:rPr>
          <w:rFonts w:eastAsia="Montserrat" w:cs="Montserrat"/>
        </w:rPr>
        <w:t>There is</w:t>
      </w:r>
      <w:r w:rsidRPr="3885E160">
        <w:rPr>
          <w:rFonts w:eastAsia="Montserrat" w:cs="Montserrat"/>
        </w:rPr>
        <w:t xml:space="preserve"> strong and consistent agreement across Indigenous-authored scholarship, qualitative research, policy literature</w:t>
      </w:r>
      <w:r w:rsidR="43AADEA0" w:rsidRPr="3885E160">
        <w:rPr>
          <w:rFonts w:eastAsia="Montserrat" w:cs="Montserrat"/>
        </w:rPr>
        <w:t>,</w:t>
      </w:r>
      <w:r w:rsidRPr="3885E160">
        <w:rPr>
          <w:rFonts w:eastAsia="Montserrat" w:cs="Montserrat"/>
        </w:rPr>
        <w:t xml:space="preserve"> and community-led practice on the key barriers and enabling conditions shaping employment participation (Cooms &amp; Muurlink, 2025; Gilroy et al., 2023; James et al., 2024; Temple et al., 2020</w:t>
      </w:r>
      <w:r w:rsidR="43AADEA0" w:rsidRPr="3171BCC8">
        <w:rPr>
          <w:rFonts w:eastAsia="Montserrat" w:cs="Montserrat"/>
        </w:rPr>
        <w:t>).</w:t>
      </w:r>
      <w:r>
        <w:t xml:space="preserve"> This consistency provides a high level of confidence in the identification of core elements such as Indigenous leadership, cultural safety, relationality, flexibility and workforce capability. At the same time, the evidence base remains fragmented and unevenly developed. Much of the knowledge is explanatory and context-specific, with limited longitudinal or outcome-based evaluation demonstrating how these conditions translate into sustained employment outcomes over time.</w:t>
      </w:r>
    </w:p>
    <w:p w14:paraId="52FCD5BC" w14:textId="1333CBE8" w:rsidR="0086431F" w:rsidRPr="0086431F" w:rsidRDefault="0086431F" w:rsidP="00423EB2">
      <w:pPr>
        <w:widowControl/>
      </w:pPr>
      <w:r>
        <w:t xml:space="preserve">These limitations highlight the need for a shift in how evidence is generated, valued and resourced. Addressing current gaps </w:t>
      </w:r>
      <w:r w:rsidRPr="006F22A6">
        <w:t>requires</w:t>
      </w:r>
      <w:r>
        <w:t xml:space="preserve"> investment in Indigenous-led research and evaluation approaches capable of capturing outcomes in ways that reflect cultural, relational and contextual realities</w:t>
      </w:r>
      <w:r w:rsidRPr="006F22A6">
        <w:t xml:space="preserve"> (AIATSIS, 2020; Lovett, 2016; </w:t>
      </w:r>
      <w:proofErr w:type="spellStart"/>
      <w:r w:rsidRPr="006F22A6">
        <w:t>Lowitja</w:t>
      </w:r>
      <w:proofErr w:type="spellEnd"/>
      <w:r w:rsidRPr="006F22A6">
        <w:t xml:space="preserve"> Institute, 2020; MNWIDSC, 2018). Greater</w:t>
      </w:r>
      <w:r>
        <w:t xml:space="preserve"> integration </w:t>
      </w:r>
      <w:r w:rsidRPr="006F22A6">
        <w:t xml:space="preserve">is also needed </w:t>
      </w:r>
      <w:r>
        <w:t xml:space="preserve">across disability, </w:t>
      </w:r>
      <w:r w:rsidRPr="006F22A6">
        <w:t xml:space="preserve">education, </w:t>
      </w:r>
      <w:r>
        <w:t xml:space="preserve">employment and workforce systems, alongside funding models that </w:t>
      </w:r>
      <w:r w:rsidRPr="006F22A6">
        <w:t>sustain</w:t>
      </w:r>
      <w:r>
        <w:t xml:space="preserve"> long-term, relational and locally responsive service delivery. Strengthening the evidence base </w:t>
      </w:r>
      <w:r w:rsidRPr="006F22A6">
        <w:t>depends</w:t>
      </w:r>
      <w:r>
        <w:t xml:space="preserve"> not only on producing new data but also on recognising and elevating existing Indigenous Knowledges, community-led practice and lived experience as central to understanding what works.</w:t>
      </w:r>
    </w:p>
    <w:p w14:paraId="48A07D3D" w14:textId="33A93FB3" w:rsidR="0086431F" w:rsidRPr="0086431F" w:rsidRDefault="73125CC4" w:rsidP="00423EB2">
      <w:pPr>
        <w:widowControl/>
      </w:pPr>
      <w:r w:rsidRPr="5836A914">
        <w:rPr>
          <w:rFonts w:eastAsia="Montserrat" w:cs="Montserrat"/>
        </w:rPr>
        <w:t>Overall, the findings demonstrate that improving employment outcomes for Aboriginal and Torres Strait Islander peoples with disability requires more than incremental reform.</w:t>
      </w:r>
      <w:r>
        <w:t xml:space="preserve"> </w:t>
      </w:r>
      <w:r w:rsidR="0086431F">
        <w:t xml:space="preserve">It calls for a reorientation of policy, funding and service design toward approaches that are </w:t>
      </w:r>
      <w:r w:rsidR="42E3649D">
        <w:t>Indigenous</w:t>
      </w:r>
      <w:r w:rsidRPr="006F22A6">
        <w:t>-</w:t>
      </w:r>
      <w:r w:rsidR="42E3649D">
        <w:t>led</w:t>
      </w:r>
      <w:r w:rsidR="0086431F">
        <w:t>, culturally grounded and accountable to community</w:t>
      </w:r>
      <w:r w:rsidRPr="006F22A6">
        <w:t xml:space="preserve"> (AIATSIS, 2020; FPDNA, 2016; NACCHO, 2021).</w:t>
      </w:r>
      <w:r w:rsidR="0086431F">
        <w:t xml:space="preserve"> The evidence is clear that when these conditions are in place, employment pathways become more accessible, meaningful and sustainable. The challenge moving forward is not identifying what works, but ensuring that systems are structured, resourced and governed in ways that enable it to occur. Without this shift, employment systems will continue to overlook key forms of contribution and remain misaligned with the realities of Aboriginal and Torres Strait Islander peoples’ lives. This includes recognising that how services respond to moments of misunderstanding, bias, racism or harm is central to whether engagement is sustained or lost</w:t>
      </w:r>
      <w:r w:rsidRPr="006F22A6">
        <w:t xml:space="preserve"> (Avery, 2018; Temple et al., 2020).</w:t>
      </w:r>
    </w:p>
    <w:p w14:paraId="12DAAA55" w14:textId="4E2754C1" w:rsidR="00BC6E6C" w:rsidRDefault="00064F55" w:rsidP="00423EB2">
      <w:pPr>
        <w:pStyle w:val="Heading1"/>
        <w:spacing w:line="360" w:lineRule="atLeast"/>
        <w:jc w:val="left"/>
      </w:pPr>
      <w:r>
        <w:br w:type="page"/>
      </w:r>
      <w:bookmarkStart w:id="84" w:name="_Toc231482966"/>
      <w:r w:rsidR="714856AF">
        <w:lastRenderedPageBreak/>
        <w:t>Reference</w:t>
      </w:r>
      <w:r w:rsidR="5BF7D813">
        <w:t>s</w:t>
      </w:r>
      <w:bookmarkEnd w:id="84"/>
    </w:p>
    <w:p w14:paraId="3F1390BD" w14:textId="70506F19" w:rsidR="51CC4871" w:rsidRDefault="51CC4871" w:rsidP="00423EB2">
      <w:pPr>
        <w:widowControl/>
        <w:spacing w:before="120" w:after="0"/>
        <w:ind w:left="720" w:hanging="720"/>
      </w:pPr>
      <w:r w:rsidRPr="5C99C6EE">
        <w:rPr>
          <w:rFonts w:eastAsia="Montserrat" w:cs="Montserrat"/>
        </w:rPr>
        <w:t xml:space="preserve">Adams, R. J., Smart, P., &amp; Huff, A. S. (2017). Shades of grey: Guidelines for working with the grey literature in systematic reviews for management and organizational studies. </w:t>
      </w:r>
      <w:r w:rsidRPr="5C99C6EE">
        <w:rPr>
          <w:rFonts w:eastAsia="Montserrat" w:cs="Montserrat"/>
          <w:i/>
          <w:iCs/>
        </w:rPr>
        <w:t>International Journal of Management Reviews, 19</w:t>
      </w:r>
      <w:r w:rsidRPr="5C99C6EE">
        <w:rPr>
          <w:rFonts w:eastAsia="Montserrat" w:cs="Montserrat"/>
        </w:rPr>
        <w:t xml:space="preserve">(4), 432–454. </w:t>
      </w:r>
      <w:hyperlink r:id="rId19">
        <w:r w:rsidRPr="009F76B3">
          <w:rPr>
            <w:rStyle w:val="Hyperlink"/>
            <w:rFonts w:ascii="Montserrat" w:eastAsia="Verdana" w:hAnsi="Montserrat" w:cs="Verdana"/>
            <w:sz w:val="24"/>
          </w:rPr>
          <w:t>https://doi.org/10.1111/ijmr.12102</w:t>
        </w:r>
      </w:hyperlink>
    </w:p>
    <w:p w14:paraId="087013CA" w14:textId="5BAF5A69" w:rsidR="51CC4871" w:rsidRDefault="51CC4871" w:rsidP="00423EB2">
      <w:pPr>
        <w:widowControl/>
        <w:spacing w:before="120" w:after="0"/>
        <w:ind w:left="720" w:hanging="720"/>
      </w:pPr>
      <w:r w:rsidRPr="5C99C6EE">
        <w:rPr>
          <w:rFonts w:eastAsia="Montserrat" w:cs="Montserrat"/>
        </w:rPr>
        <w:t xml:space="preserve">Atkinson, J. (2002). </w:t>
      </w:r>
      <w:r w:rsidRPr="5C99C6EE">
        <w:rPr>
          <w:rFonts w:eastAsia="Montserrat" w:cs="Montserrat"/>
          <w:i/>
          <w:iCs/>
        </w:rPr>
        <w:t>Trauma trails: Recreating song lines—The transgenerational effects of trauma in Indigenous Australia</w:t>
      </w:r>
      <w:r w:rsidRPr="5C99C6EE">
        <w:rPr>
          <w:rFonts w:eastAsia="Montserrat" w:cs="Montserrat"/>
        </w:rPr>
        <w:t>. Spinifex Press.</w:t>
      </w:r>
    </w:p>
    <w:p w14:paraId="062F3E48" w14:textId="5FD87147" w:rsidR="51CC4871" w:rsidRDefault="51CC4871" w:rsidP="00423EB2">
      <w:pPr>
        <w:widowControl/>
        <w:spacing w:before="120" w:after="0"/>
        <w:ind w:left="720" w:hanging="720"/>
      </w:pPr>
      <w:r w:rsidRPr="5C99C6EE">
        <w:rPr>
          <w:rFonts w:eastAsia="Montserrat" w:cs="Montserrat"/>
        </w:rPr>
        <w:t>Australian Health Ministers’ Advisory Council (AHMAC). (2016). Cultural respect framework 2016-2026 for Aboriginal and Torres Strait Islander Health: A national approach to building a culturally respectful health system. Australian Health Ministers’ Advisory Council, Canberra, ACT.</w:t>
      </w:r>
    </w:p>
    <w:p w14:paraId="2D841C74" w14:textId="20EA9770" w:rsidR="51CC4871" w:rsidRDefault="51CC4871" w:rsidP="00423EB2">
      <w:pPr>
        <w:widowControl/>
        <w:spacing w:before="120" w:after="0"/>
        <w:ind w:left="720" w:hanging="720"/>
      </w:pPr>
      <w:r w:rsidRPr="5C99C6EE">
        <w:rPr>
          <w:rFonts w:eastAsia="Montserrat" w:cs="Montserrat"/>
        </w:rPr>
        <w:t xml:space="preserve">Australian Human Rights Commission (AHRC). (2019). </w:t>
      </w:r>
      <w:proofErr w:type="spellStart"/>
      <w:r w:rsidRPr="5C99C6EE">
        <w:rPr>
          <w:rFonts w:eastAsia="Montserrat" w:cs="Montserrat"/>
          <w:i/>
          <w:iCs/>
        </w:rPr>
        <w:t>Wiyi</w:t>
      </w:r>
      <w:proofErr w:type="spellEnd"/>
      <w:r w:rsidRPr="5C99C6EE">
        <w:rPr>
          <w:rFonts w:eastAsia="Montserrat" w:cs="Montserrat"/>
          <w:i/>
          <w:iCs/>
        </w:rPr>
        <w:t xml:space="preserve"> Yani U </w:t>
      </w:r>
      <w:proofErr w:type="spellStart"/>
      <w:r w:rsidRPr="5C99C6EE">
        <w:rPr>
          <w:rFonts w:eastAsia="Montserrat" w:cs="Montserrat"/>
          <w:i/>
          <w:iCs/>
        </w:rPr>
        <w:t>Thangani</w:t>
      </w:r>
      <w:proofErr w:type="spellEnd"/>
      <w:r w:rsidRPr="5C99C6EE">
        <w:rPr>
          <w:rFonts w:eastAsia="Montserrat" w:cs="Montserrat"/>
          <w:i/>
          <w:iCs/>
        </w:rPr>
        <w:t xml:space="preserve"> (Women’s Voices): Securing our rights, securing our future</w:t>
      </w:r>
      <w:r w:rsidRPr="5C99C6EE">
        <w:rPr>
          <w:rFonts w:eastAsia="Montserrat" w:cs="Montserrat"/>
        </w:rPr>
        <w:t>.</w:t>
      </w:r>
    </w:p>
    <w:p w14:paraId="0C26276D" w14:textId="5858C797" w:rsidR="51CC4871" w:rsidRDefault="51CC4871" w:rsidP="00423EB2">
      <w:pPr>
        <w:widowControl/>
        <w:spacing w:before="120" w:after="0"/>
        <w:ind w:left="720" w:hanging="720"/>
      </w:pPr>
      <w:r w:rsidRPr="00A517DB">
        <w:t xml:space="preserve">Australian Institute of Aboriginal and Torres Strait Islander Studies (AIATSIS). (2020). </w:t>
      </w:r>
      <w:r w:rsidRPr="00A517DB">
        <w:rPr>
          <w:i/>
        </w:rPr>
        <w:t xml:space="preserve">AIATSIS code of </w:t>
      </w:r>
      <w:r w:rsidRPr="00A517DB">
        <w:t>ethics</w:t>
      </w:r>
      <w:r w:rsidRPr="00A517DB">
        <w:rPr>
          <w:i/>
        </w:rPr>
        <w:t xml:space="preserve"> for Aboriginal and Torres Strait Islander research</w:t>
      </w:r>
      <w:r w:rsidRPr="00A517DB">
        <w:t>. Australian Institute of Aboriginal and Torres Strait Islander Studies.</w:t>
      </w:r>
      <w:r w:rsidRPr="5C99C6EE">
        <w:rPr>
          <w:rFonts w:eastAsia="Montserrat" w:cs="Montserrat"/>
        </w:rPr>
        <w:t xml:space="preserve"> </w:t>
      </w:r>
    </w:p>
    <w:p w14:paraId="666FCCFD" w14:textId="5CB66BF8" w:rsidR="51CC4871" w:rsidRDefault="51CC4871" w:rsidP="00423EB2">
      <w:pPr>
        <w:widowControl/>
        <w:spacing w:before="120" w:after="0"/>
        <w:ind w:left="720" w:hanging="720"/>
      </w:pPr>
      <w:r w:rsidRPr="5C99C6EE">
        <w:rPr>
          <w:rFonts w:eastAsia="Montserrat" w:cs="Montserrat"/>
        </w:rPr>
        <w:t xml:space="preserve">Australian Institute of Health and Welfare (AIHW). (2023). </w:t>
      </w:r>
      <w:r w:rsidRPr="5C99C6EE">
        <w:rPr>
          <w:rFonts w:eastAsia="Montserrat" w:cs="Montserrat"/>
          <w:i/>
          <w:iCs/>
        </w:rPr>
        <w:t>Australia’s welfare 2023 data insights</w:t>
      </w:r>
      <w:r w:rsidRPr="5C99C6EE">
        <w:rPr>
          <w:rFonts w:eastAsia="Montserrat" w:cs="Montserrat"/>
        </w:rPr>
        <w:t xml:space="preserve">, catalogue number AUS 246, AIHW, Australian Government. </w:t>
      </w:r>
    </w:p>
    <w:p w14:paraId="524FEC77" w14:textId="108AF870" w:rsidR="51CC4871" w:rsidRDefault="51CC4871" w:rsidP="00423EB2">
      <w:pPr>
        <w:widowControl/>
        <w:spacing w:before="120" w:after="0"/>
        <w:ind w:left="720" w:hanging="720"/>
      </w:pPr>
      <w:r w:rsidRPr="5C99C6EE">
        <w:rPr>
          <w:rFonts w:eastAsia="Montserrat" w:cs="Montserrat"/>
        </w:rPr>
        <w:t xml:space="preserve">Australian National Audit Office (ANAO). (2017). </w:t>
      </w:r>
      <w:r w:rsidRPr="5C99C6EE">
        <w:rPr>
          <w:rFonts w:eastAsia="Montserrat" w:cs="Montserrat"/>
          <w:i/>
          <w:iCs/>
        </w:rPr>
        <w:t>Indigenous employment in remote areas</w:t>
      </w:r>
      <w:r w:rsidRPr="5C99C6EE">
        <w:rPr>
          <w:rFonts w:eastAsia="Montserrat" w:cs="Montserrat"/>
        </w:rPr>
        <w:t xml:space="preserve">. </w:t>
      </w:r>
      <w:hyperlink r:id="rId20">
        <w:r w:rsidRPr="5C99C6EE">
          <w:rPr>
            <w:rStyle w:val="Hyperlink"/>
            <w:rFonts w:ascii="Montserrat" w:eastAsia="Montserrat" w:hAnsi="Montserrat" w:cs="Montserrat"/>
            <w:color w:val="000000" w:themeColor="text1"/>
            <w:sz w:val="24"/>
          </w:rPr>
          <w:t>https://www.anao.gov.au/work/performance-audit/remote-employment-programs</w:t>
        </w:r>
      </w:hyperlink>
      <w:r w:rsidR="004E1A91">
        <w:t xml:space="preserve"> </w:t>
      </w:r>
    </w:p>
    <w:p w14:paraId="2E802AA0" w14:textId="6D637984" w:rsidR="51CC4871" w:rsidRDefault="51CC4871" w:rsidP="00423EB2">
      <w:pPr>
        <w:widowControl/>
        <w:spacing w:before="120" w:after="0"/>
        <w:ind w:left="720" w:hanging="720"/>
      </w:pPr>
      <w:r w:rsidRPr="5C99C6EE">
        <w:rPr>
          <w:rFonts w:eastAsia="Montserrat" w:cs="Montserrat"/>
        </w:rPr>
        <w:t xml:space="preserve">Avery, S. (2018). </w:t>
      </w:r>
      <w:r w:rsidRPr="5C99C6EE">
        <w:rPr>
          <w:rFonts w:eastAsia="Montserrat" w:cs="Montserrat"/>
          <w:i/>
          <w:iCs/>
        </w:rPr>
        <w:t>Culture is inclusion: A narrative of Aboriginal and Torres Strait Islander people with disability</w:t>
      </w:r>
      <w:r w:rsidRPr="5C99C6EE">
        <w:rPr>
          <w:rFonts w:eastAsia="Montserrat" w:cs="Montserrat"/>
        </w:rPr>
        <w:t>. First Peoples Disability Network.</w:t>
      </w:r>
    </w:p>
    <w:p w14:paraId="6B326246" w14:textId="759A33FB" w:rsidR="51CC4871" w:rsidRDefault="51CC4871" w:rsidP="00423EB2">
      <w:pPr>
        <w:widowControl/>
        <w:spacing w:before="120" w:after="0"/>
        <w:ind w:left="720" w:hanging="720"/>
      </w:pPr>
      <w:r w:rsidRPr="5C99C6EE">
        <w:rPr>
          <w:rFonts w:eastAsia="Montserrat" w:cs="Montserrat"/>
        </w:rPr>
        <w:t xml:space="preserve">Avery, S. (2022). Intersections in Human Rights and Public Policy for Indigenous People with Disability. In: Felder, F., Davy, L., </w:t>
      </w:r>
      <w:proofErr w:type="spellStart"/>
      <w:r w:rsidRPr="5C99C6EE">
        <w:rPr>
          <w:rFonts w:eastAsia="Montserrat" w:cs="Montserrat"/>
        </w:rPr>
        <w:t>Kayess</w:t>
      </w:r>
      <w:proofErr w:type="spellEnd"/>
      <w:r w:rsidRPr="5C99C6EE">
        <w:rPr>
          <w:rFonts w:eastAsia="Montserrat" w:cs="Montserrat"/>
        </w:rPr>
        <w:t xml:space="preserve">, R. (eds) </w:t>
      </w:r>
      <w:r w:rsidRPr="5C99C6EE">
        <w:rPr>
          <w:rFonts w:eastAsia="Montserrat" w:cs="Montserrat"/>
          <w:i/>
          <w:iCs/>
        </w:rPr>
        <w:t xml:space="preserve">Disability Law and Human Rights. Palgrave Studies in Disability and International Development. </w:t>
      </w:r>
      <w:r w:rsidRPr="5C99C6EE">
        <w:rPr>
          <w:rFonts w:eastAsia="Montserrat" w:cs="Montserrat"/>
        </w:rPr>
        <w:t xml:space="preserve">Palgrave Macmillan, Cham. </w:t>
      </w:r>
      <w:hyperlink r:id="rId21">
        <w:r w:rsidRPr="009F76B3">
          <w:rPr>
            <w:rStyle w:val="Hyperlink"/>
            <w:rFonts w:ascii="Montserrat" w:eastAsia="Verdana" w:hAnsi="Montserrat" w:cs="Verdana"/>
            <w:sz w:val="24"/>
          </w:rPr>
          <w:t>https://doi.org/10.1007/978-3-030-86545-0_11</w:t>
        </w:r>
      </w:hyperlink>
    </w:p>
    <w:p w14:paraId="5545BB1E" w14:textId="15E0CA17" w:rsidR="51CC4871" w:rsidRDefault="51CC4871" w:rsidP="00423EB2">
      <w:pPr>
        <w:widowControl/>
        <w:spacing w:before="120" w:after="0"/>
        <w:ind w:left="720" w:hanging="720"/>
      </w:pPr>
      <w:r w:rsidRPr="5C99C6EE">
        <w:rPr>
          <w:rFonts w:eastAsia="Montserrat" w:cs="Montserrat"/>
        </w:rPr>
        <w:t xml:space="preserve">Beetson, S. J., Pradhan, S., Gordon, G., &amp; Ford, J. (2020). Building a Ngemba Digital Entrepreneurial Platform through local community activity and digital skills with Ngemba First Nation, Australia. </w:t>
      </w:r>
      <w:r w:rsidRPr="5C99C6EE">
        <w:rPr>
          <w:rFonts w:eastAsia="Montserrat" w:cs="Montserrat"/>
          <w:i/>
          <w:iCs/>
        </w:rPr>
        <w:t>International Indigenous Policy Journal</w:t>
      </w:r>
      <w:r w:rsidRPr="5C99C6EE">
        <w:rPr>
          <w:rFonts w:eastAsia="Montserrat" w:cs="Montserrat"/>
        </w:rPr>
        <w:t>,</w:t>
      </w:r>
      <w:r w:rsidRPr="5C99C6EE">
        <w:rPr>
          <w:rFonts w:eastAsia="Montserrat" w:cs="Montserrat"/>
          <w:i/>
          <w:iCs/>
        </w:rPr>
        <w:t xml:space="preserve"> 11</w:t>
      </w:r>
      <w:r w:rsidRPr="5C99C6EE">
        <w:rPr>
          <w:rFonts w:eastAsia="Montserrat" w:cs="Montserrat"/>
        </w:rPr>
        <w:t xml:space="preserve">(1), 20. </w:t>
      </w:r>
      <w:hyperlink r:id="rId22">
        <w:r w:rsidRPr="009F76B3">
          <w:rPr>
            <w:rStyle w:val="Hyperlink"/>
            <w:rFonts w:ascii="Montserrat" w:eastAsia="Verdana" w:hAnsi="Montserrat" w:cs="Verdana"/>
            <w:sz w:val="24"/>
          </w:rPr>
          <w:t>https://doi.org/10.18584/iipj.2020.11.1.10211</w:t>
        </w:r>
      </w:hyperlink>
    </w:p>
    <w:p w14:paraId="6F26B2A1" w14:textId="55AFBD16" w:rsidR="51CC4871" w:rsidRDefault="51CC4871" w:rsidP="00423EB2">
      <w:pPr>
        <w:widowControl/>
        <w:spacing w:before="120" w:after="0"/>
        <w:ind w:left="720" w:hanging="720"/>
      </w:pPr>
      <w:r w:rsidRPr="5C99C6EE">
        <w:rPr>
          <w:rFonts w:eastAsia="Montserrat" w:cs="Montserrat"/>
        </w:rPr>
        <w:t xml:space="preserve">Brown, C., D’Almada-Remedios, R., Gilbert, J., O’Leary, J., &amp; Young, N. (2020). </w:t>
      </w:r>
      <w:r w:rsidRPr="5C99C6EE">
        <w:rPr>
          <w:rFonts w:eastAsia="Montserrat" w:cs="Montserrat"/>
          <w:i/>
          <w:iCs/>
        </w:rPr>
        <w:t xml:space="preserve">Gari </w:t>
      </w:r>
      <w:proofErr w:type="spellStart"/>
      <w:r w:rsidRPr="5C99C6EE">
        <w:rPr>
          <w:rFonts w:eastAsia="Montserrat" w:cs="Montserrat"/>
          <w:i/>
          <w:iCs/>
        </w:rPr>
        <w:t>yala</w:t>
      </w:r>
      <w:proofErr w:type="spellEnd"/>
      <w:r w:rsidRPr="5C99C6EE">
        <w:rPr>
          <w:rFonts w:eastAsia="Montserrat" w:cs="Montserrat"/>
          <w:i/>
          <w:iCs/>
        </w:rPr>
        <w:t xml:space="preserve"> (Speak the truth): </w:t>
      </w:r>
      <w:proofErr w:type="spellStart"/>
      <w:r w:rsidRPr="5C99C6EE">
        <w:rPr>
          <w:rFonts w:eastAsia="Montserrat" w:cs="Montserrat"/>
          <w:i/>
          <w:iCs/>
        </w:rPr>
        <w:t>Centreing</w:t>
      </w:r>
      <w:proofErr w:type="spellEnd"/>
      <w:r w:rsidRPr="5C99C6EE">
        <w:rPr>
          <w:rFonts w:eastAsia="Montserrat" w:cs="Montserrat"/>
          <w:i/>
          <w:iCs/>
        </w:rPr>
        <w:t xml:space="preserve"> the work experiences of Aboriginal </w:t>
      </w:r>
      <w:r w:rsidRPr="5C99C6EE">
        <w:rPr>
          <w:rFonts w:eastAsia="Montserrat" w:cs="Montserrat"/>
          <w:i/>
          <w:iCs/>
        </w:rPr>
        <w:lastRenderedPageBreak/>
        <w:t>and/or Torres Strait Islander Australians</w:t>
      </w:r>
      <w:r w:rsidRPr="5C99C6EE">
        <w:rPr>
          <w:rFonts w:eastAsia="Montserrat" w:cs="Montserrat"/>
        </w:rPr>
        <w:t>. Diversity Council Australia/Jumbunna Institute.</w:t>
      </w:r>
    </w:p>
    <w:p w14:paraId="7B6C5ACC" w14:textId="2D331BDC" w:rsidR="7042D9B0" w:rsidRPr="009F76B3" w:rsidRDefault="7042D9B0" w:rsidP="00423EB2">
      <w:pPr>
        <w:widowControl/>
        <w:spacing w:before="120" w:after="0"/>
        <w:ind w:left="720" w:hanging="720"/>
        <w:rPr>
          <w:rFonts w:eastAsia="Montserrat" w:cs="Montserrat"/>
        </w:rPr>
      </w:pPr>
      <w:r w:rsidRPr="009F76B3">
        <w:t xml:space="preserve">Carey, G., Malbon, E., </w:t>
      </w:r>
      <w:proofErr w:type="spellStart"/>
      <w:r w:rsidRPr="009F76B3">
        <w:t>Reeders</w:t>
      </w:r>
      <w:proofErr w:type="spellEnd"/>
      <w:r w:rsidRPr="009F76B3">
        <w:t xml:space="preserve">, D., Kavanagh, A., &amp; Llewellyn, G. (2018). </w:t>
      </w:r>
      <w:r w:rsidRPr="009F76B3">
        <w:rPr>
          <w:rFonts w:eastAsia="Montserrat" w:cs="Montserrat"/>
        </w:rPr>
        <w:t xml:space="preserve">NDIS </w:t>
      </w:r>
      <w:r w:rsidRPr="009F76B3">
        <w:t>thin markets. In</w:t>
      </w:r>
      <w:r w:rsidRPr="009F76B3">
        <w:rPr>
          <w:rFonts w:eastAsia="Montserrat" w:cs="Montserrat"/>
        </w:rPr>
        <w:t xml:space="preserve"> The National Disability Insurance Scheme: An Australian </w:t>
      </w:r>
      <w:r w:rsidRPr="009F76B3">
        <w:t>public policy experiment (pp.</w:t>
      </w:r>
      <w:r w:rsidRPr="009F76B3">
        <w:rPr>
          <w:rFonts w:eastAsia="Montserrat" w:cs="Montserrat"/>
        </w:rPr>
        <w:t xml:space="preserve"> 245</w:t>
      </w:r>
      <w:r w:rsidRPr="009F76B3">
        <w:t>–</w:t>
      </w:r>
      <w:r w:rsidRPr="009F76B3">
        <w:rPr>
          <w:rFonts w:eastAsia="Montserrat" w:cs="Montserrat"/>
        </w:rPr>
        <w:t>255</w:t>
      </w:r>
      <w:r w:rsidRPr="009F76B3">
        <w:t>).</w:t>
      </w:r>
    </w:p>
    <w:p w14:paraId="0EE3DEAB" w14:textId="3B7020EE" w:rsidR="51CC4871" w:rsidRPr="009F76B3" w:rsidRDefault="51CC4871" w:rsidP="00423EB2">
      <w:pPr>
        <w:widowControl/>
        <w:spacing w:before="120" w:after="0"/>
        <w:ind w:left="720" w:hanging="720"/>
        <w:rPr>
          <w:rFonts w:eastAsia="Montserrat" w:cs="Montserrat"/>
        </w:rPr>
      </w:pPr>
      <w:r w:rsidRPr="009F76B3">
        <w:t xml:space="preserve">Cooms, S. (2023). Decolonising disability: Weaving a Quandamooka conceptualisation of disability and care. Disability &amp; Society, 40(2), 1–24. </w:t>
      </w:r>
      <w:hyperlink r:id="rId23">
        <w:r w:rsidRPr="009F76B3">
          <w:rPr>
            <w:rStyle w:val="Hyperlink"/>
            <w:rFonts w:ascii="Montserrat" w:hAnsi="Montserrat"/>
            <w:sz w:val="24"/>
          </w:rPr>
          <w:t>https://doi.org/10.1080/09687599.2023.2287409</w:t>
        </w:r>
      </w:hyperlink>
      <w:r w:rsidR="0207D0CD" w:rsidRPr="009F76B3">
        <w:t xml:space="preserve"> </w:t>
      </w:r>
    </w:p>
    <w:p w14:paraId="1539BCE5" w14:textId="12DFD63C" w:rsidR="51CC4871" w:rsidRPr="009F76B3" w:rsidRDefault="51CC4871" w:rsidP="00423EB2">
      <w:pPr>
        <w:widowControl/>
        <w:spacing w:before="120" w:after="0"/>
        <w:ind w:left="720" w:hanging="720"/>
      </w:pPr>
      <w:r w:rsidRPr="009F76B3">
        <w:rPr>
          <w:rFonts w:eastAsia="Montserrat" w:cs="Montserrat"/>
        </w:rPr>
        <w:t>Cooms, S., &amp; Muurlink, O. (2025). Indigenous Disability in Australia. In: Bennett, G., Goodall, E. (eds) The Palgrave Encyclopedia of Disability. 1-7. Cham</w:t>
      </w:r>
      <w:r w:rsidR="00775389" w:rsidRPr="009F76B3">
        <w:rPr>
          <w:rFonts w:eastAsia="Montserrat" w:cs="Montserrat"/>
        </w:rPr>
        <w:t>, Springer Nature Switzerland</w:t>
      </w:r>
      <w:r w:rsidRPr="009F76B3">
        <w:rPr>
          <w:rFonts w:eastAsia="Montserrat" w:cs="Montserrat"/>
        </w:rPr>
        <w:t xml:space="preserve">. </w:t>
      </w:r>
      <w:hyperlink r:id="rId24">
        <w:r w:rsidRPr="009F76B3">
          <w:t>https://doi.org/10.1007/978-3-031-40858-8_477-1</w:t>
        </w:r>
      </w:hyperlink>
      <w:r w:rsidR="00CF77BF" w:rsidRPr="009F76B3">
        <w:t xml:space="preserve"> </w:t>
      </w:r>
      <w:r w:rsidRPr="009F76B3">
        <w:t xml:space="preserve"> </w:t>
      </w:r>
      <w:r w:rsidR="00CF77BF" w:rsidRPr="009F76B3">
        <w:t xml:space="preserve"> </w:t>
      </w:r>
    </w:p>
    <w:p w14:paraId="68E4D993" w14:textId="5C210A36" w:rsidR="51CC4871" w:rsidRPr="009F76B3" w:rsidRDefault="51CC4871" w:rsidP="00423EB2">
      <w:pPr>
        <w:widowControl/>
        <w:spacing w:before="120" w:after="0"/>
        <w:ind w:left="720" w:hanging="720"/>
      </w:pPr>
      <w:r w:rsidRPr="009F76B3">
        <w:rPr>
          <w:rFonts w:eastAsia="Montserrat" w:cs="Montserrat"/>
        </w:rPr>
        <w:t>Cooms, S., &amp; Okimoto, T. G. (2025). Indigenous perspectives on workplace inclusion in Australia. International perspectives of diversity, equity, and inclusion. In E. King, Q. Roberson, &amp; M. Hebl, (Eds). Leeds, United Kingdom: Emerald Publishing.11-26.</w:t>
      </w:r>
      <w:r w:rsidR="009F76B3" w:rsidRPr="009F76B3">
        <w:rPr>
          <w:rFonts w:eastAsia="Montserrat" w:cs="Montserrat"/>
        </w:rPr>
        <w:t xml:space="preserve"> </w:t>
      </w:r>
      <w:hyperlink r:id="rId25" w:history="1">
        <w:r w:rsidR="009F76B3" w:rsidRPr="009F76B3">
          <w:rPr>
            <w:rStyle w:val="Hyperlink"/>
            <w:rFonts w:ascii="Montserrat" w:eastAsia="Verdana" w:hAnsi="Montserrat" w:cs="Verdana"/>
            <w:sz w:val="24"/>
          </w:rPr>
          <w:t>https://doi.org/10.1108/978-1-83708-960-420251002</w:t>
        </w:r>
      </w:hyperlink>
      <w:r w:rsidRPr="009F76B3">
        <w:rPr>
          <w:rFonts w:eastAsia="Montserrat" w:cs="Montserrat"/>
        </w:rPr>
        <w:t xml:space="preserve"> </w:t>
      </w:r>
    </w:p>
    <w:p w14:paraId="030E87EB" w14:textId="1DA10C81" w:rsidR="51CC4871" w:rsidRPr="009F76B3" w:rsidRDefault="51CC4871" w:rsidP="00423EB2">
      <w:pPr>
        <w:widowControl/>
        <w:spacing w:before="120" w:after="0"/>
        <w:ind w:left="720" w:hanging="720"/>
      </w:pPr>
      <w:r w:rsidRPr="009F76B3">
        <w:rPr>
          <w:rFonts w:eastAsia="Montserrat" w:cs="Montserrat"/>
        </w:rPr>
        <w:t xml:space="preserve">Cooms, S., Leroy-Dyer, S., &amp; Muurlink, O. (2024). The rise of virtual yarning: an Indigenist research method. </w:t>
      </w:r>
      <w:r w:rsidRPr="009F76B3">
        <w:rPr>
          <w:rFonts w:eastAsia="Montserrat" w:cs="Montserrat"/>
          <w:i/>
          <w:iCs/>
        </w:rPr>
        <w:t>Qualitative Research</w:t>
      </w:r>
      <w:r w:rsidRPr="009F76B3">
        <w:rPr>
          <w:rFonts w:eastAsia="Montserrat" w:cs="Montserrat"/>
        </w:rPr>
        <w:t xml:space="preserve"> 25(1) 168-188. </w:t>
      </w:r>
      <w:hyperlink r:id="rId26">
        <w:r w:rsidRPr="009F76B3">
          <w:rPr>
            <w:rStyle w:val="Hyperlink"/>
            <w:rFonts w:ascii="Montserrat" w:eastAsia="Verdana" w:hAnsi="Montserrat" w:cs="Verdana"/>
            <w:sz w:val="24"/>
          </w:rPr>
          <w:t>https://doi.org/10.1177/14687941241234303</w:t>
        </w:r>
      </w:hyperlink>
    </w:p>
    <w:p w14:paraId="245DD645" w14:textId="2276A3A1" w:rsidR="51CC4871" w:rsidRPr="009F76B3" w:rsidRDefault="51CC4871" w:rsidP="00423EB2">
      <w:pPr>
        <w:widowControl/>
        <w:spacing w:before="120" w:after="0"/>
        <w:ind w:left="720" w:hanging="720"/>
      </w:pPr>
      <w:r w:rsidRPr="009F76B3">
        <w:rPr>
          <w:rFonts w:eastAsia="Montserrat" w:cs="Montserrat"/>
        </w:rPr>
        <w:t xml:space="preserve">Cooms, S., Muurlink, O., &amp; Leroy-Dyer, S. (2022). Intersectional theory and disadvantage: a tool for decolonisation. </w:t>
      </w:r>
      <w:r w:rsidRPr="009F76B3">
        <w:rPr>
          <w:rFonts w:eastAsia="Montserrat" w:cs="Montserrat"/>
          <w:i/>
          <w:iCs/>
        </w:rPr>
        <w:t>Disability and Society</w:t>
      </w:r>
      <w:r w:rsidRPr="009F76B3">
        <w:rPr>
          <w:rFonts w:eastAsia="Montserrat" w:cs="Montserrat"/>
        </w:rPr>
        <w:t xml:space="preserve">, 39(2), 1-16. </w:t>
      </w:r>
      <w:hyperlink r:id="rId27">
        <w:r w:rsidRPr="009F76B3">
          <w:rPr>
            <w:rStyle w:val="Hyperlink"/>
            <w:rFonts w:ascii="Montserrat" w:eastAsia="Verdana" w:hAnsi="Montserrat" w:cs="Verdana"/>
            <w:sz w:val="24"/>
          </w:rPr>
          <w:t>https://doi.org/10.1080/09687599.2022.2071678</w:t>
        </w:r>
      </w:hyperlink>
    </w:p>
    <w:p w14:paraId="6B07063D" w14:textId="5FEC33EF" w:rsidR="51CC4871" w:rsidRPr="009F76B3" w:rsidRDefault="51CC4871" w:rsidP="00423EB2">
      <w:pPr>
        <w:widowControl/>
        <w:spacing w:before="120" w:after="0"/>
        <w:ind w:left="720" w:hanging="720"/>
      </w:pPr>
      <w:r w:rsidRPr="009F76B3">
        <w:rPr>
          <w:rFonts w:eastAsia="Montserrat" w:cs="Montserrat"/>
        </w:rPr>
        <w:t>Cooms, S., Watson, W., &amp; Watson, G</w:t>
      </w:r>
      <w:r w:rsidRPr="009F76B3">
        <w:t>.</w:t>
      </w:r>
      <w:r w:rsidRPr="009F76B3">
        <w:rPr>
          <w:rFonts w:eastAsia="Montserrat" w:cs="Montserrat"/>
        </w:rPr>
        <w:t xml:space="preserve"> (2025). </w:t>
      </w:r>
      <w:r w:rsidR="0A5A0FF0" w:rsidRPr="009F76B3">
        <w:rPr>
          <w:rFonts w:eastAsia="Montserrat" w:cs="Montserrat"/>
        </w:rPr>
        <w:t>Connecting</w:t>
      </w:r>
      <w:r w:rsidRPr="009F76B3">
        <w:rPr>
          <w:rFonts w:eastAsia="Montserrat" w:cs="Montserrat"/>
        </w:rPr>
        <w:t xml:space="preserve"> community: The role of Indigenous management in disability care</w:t>
      </w:r>
      <w:r w:rsidRPr="009F76B3">
        <w:t>.</w:t>
      </w:r>
      <w:r w:rsidRPr="009F76B3">
        <w:rPr>
          <w:rFonts w:eastAsia="Montserrat" w:cs="Montserrat"/>
        </w:rPr>
        <w:t xml:space="preserve"> The Economic and Labour </w:t>
      </w:r>
      <w:r w:rsidRPr="009F76B3">
        <w:t>R</w:t>
      </w:r>
      <w:r w:rsidRPr="009F76B3">
        <w:rPr>
          <w:rFonts w:eastAsia="Montserrat" w:cs="Montserrat"/>
        </w:rPr>
        <w:t>elations Review, 36(1), 85</w:t>
      </w:r>
      <w:r w:rsidRPr="009F76B3">
        <w:t>–</w:t>
      </w:r>
      <w:r w:rsidRPr="009F76B3">
        <w:rPr>
          <w:rFonts w:eastAsia="Montserrat" w:cs="Montserrat"/>
        </w:rPr>
        <w:t xml:space="preserve">105. </w:t>
      </w:r>
      <w:r w:rsidRPr="009F76B3">
        <w:t>https://doi.org/10.1017/elr.2025.14</w:t>
      </w:r>
    </w:p>
    <w:p w14:paraId="4BCBC6A4" w14:textId="31655D65" w:rsidR="51CC4871" w:rsidRPr="009F76B3" w:rsidRDefault="51CC4871" w:rsidP="00423EB2">
      <w:pPr>
        <w:widowControl/>
        <w:spacing w:before="120" w:after="0"/>
        <w:ind w:left="720" w:hanging="720"/>
      </w:pPr>
      <w:r w:rsidRPr="009F76B3">
        <w:rPr>
          <w:rFonts w:eastAsia="Montserrat" w:cs="Montserrat"/>
        </w:rPr>
        <w:t>D’Aprano, A., McRae, K., Dayton, S., Lloyd</w:t>
      </w:r>
      <w:r w:rsidRPr="009F76B3">
        <w:noBreakHyphen/>
      </w:r>
      <w:r w:rsidRPr="009F76B3">
        <w:rPr>
          <w:rFonts w:eastAsia="Montserrat" w:cs="Montserrat"/>
        </w:rPr>
        <w:t xml:space="preserve">Johnsen, C., &amp; Gilroy, J. (2024). A scoping review of early childhood support for Aboriginal and Torres Strait Islander children living with a disability in regional, rural and remote settings. </w:t>
      </w:r>
      <w:r w:rsidRPr="009F76B3">
        <w:rPr>
          <w:rFonts w:eastAsia="Montserrat" w:cs="Montserrat"/>
          <w:i/>
          <w:iCs/>
        </w:rPr>
        <w:t>Australian Journal of Rural Health, 32</w:t>
      </w:r>
      <w:r w:rsidRPr="009F76B3">
        <w:rPr>
          <w:rFonts w:eastAsia="Montserrat" w:cs="Montserrat"/>
        </w:rPr>
        <w:t xml:space="preserve">(5), 890–905. </w:t>
      </w:r>
      <w:hyperlink r:id="rId28">
        <w:r w:rsidRPr="009F76B3">
          <w:rPr>
            <w:rStyle w:val="Hyperlink"/>
            <w:rFonts w:ascii="Montserrat" w:eastAsia="Montserrat" w:hAnsi="Montserrat" w:cs="Montserrat"/>
            <w:color w:val="000000" w:themeColor="text1"/>
            <w:sz w:val="24"/>
          </w:rPr>
          <w:t>https://doi.org/10.1111/ajr.13164</w:t>
        </w:r>
      </w:hyperlink>
      <w:r w:rsidRPr="009F76B3">
        <w:rPr>
          <w:rFonts w:eastAsia="Montserrat" w:cs="Montserrat"/>
        </w:rPr>
        <w:t xml:space="preserve"> </w:t>
      </w:r>
    </w:p>
    <w:p w14:paraId="6B8E542B" w14:textId="066BF494" w:rsidR="51CC4871" w:rsidRPr="009F76B3" w:rsidRDefault="51CC4871" w:rsidP="00423EB2">
      <w:pPr>
        <w:widowControl/>
        <w:spacing w:before="120" w:after="0"/>
        <w:ind w:left="720" w:hanging="720"/>
      </w:pPr>
      <w:r w:rsidRPr="009F76B3">
        <w:rPr>
          <w:rFonts w:eastAsia="Montserrat" w:cs="Montserrat"/>
        </w:rPr>
        <w:t xml:space="preserve">Department of Employment and Workplace Relations (DEWR). (2025). </w:t>
      </w:r>
      <w:r w:rsidRPr="009F76B3">
        <w:rPr>
          <w:rFonts w:eastAsia="Montserrat" w:cs="Montserrat"/>
          <w:i/>
          <w:iCs/>
        </w:rPr>
        <w:t>Reconnection, Employment and Learning (REAL) Program.</w:t>
      </w:r>
      <w:r w:rsidRPr="009F76B3">
        <w:rPr>
          <w:rFonts w:eastAsia="Montserrat" w:cs="Montserrat"/>
        </w:rPr>
        <w:t xml:space="preserve"> Australian Government. </w:t>
      </w:r>
      <w:hyperlink r:id="rId29">
        <w:r w:rsidRPr="009F76B3">
          <w:rPr>
            <w:rStyle w:val="Hyperlink"/>
            <w:rFonts w:ascii="Montserrat" w:eastAsia="Verdana" w:hAnsi="Montserrat" w:cs="Verdana"/>
            <w:sz w:val="24"/>
          </w:rPr>
          <w:t>https://www.dewr.gov.au/reconnection-employment-and-learning-real-program</w:t>
        </w:r>
      </w:hyperlink>
      <w:r w:rsidRPr="009F76B3">
        <w:rPr>
          <w:rFonts w:eastAsia="Montserrat" w:cs="Montserrat"/>
        </w:rPr>
        <w:t xml:space="preserve"> </w:t>
      </w:r>
    </w:p>
    <w:p w14:paraId="6A3D10F6" w14:textId="307680E2" w:rsidR="51CC4871" w:rsidRPr="009F76B3" w:rsidRDefault="51CC4871" w:rsidP="00423EB2">
      <w:pPr>
        <w:widowControl/>
        <w:spacing w:before="120" w:after="0"/>
        <w:ind w:left="720" w:hanging="720"/>
      </w:pPr>
      <w:r w:rsidRPr="009F76B3">
        <w:rPr>
          <w:rFonts w:eastAsia="Montserrat" w:cs="Montserrat"/>
        </w:rPr>
        <w:lastRenderedPageBreak/>
        <w:t xml:space="preserve">Disability Royal Commission. (2023) Royal Commission into Violence, Abuse, Neglect and Exploitation of People with Disability, </w:t>
      </w:r>
      <w:r w:rsidRPr="009F76B3">
        <w:rPr>
          <w:rFonts w:eastAsia="Montserrat" w:cs="Montserrat"/>
          <w:i/>
          <w:iCs/>
        </w:rPr>
        <w:t>Final report</w:t>
      </w:r>
      <w:r w:rsidRPr="009F76B3">
        <w:rPr>
          <w:rFonts w:eastAsia="Montserrat" w:cs="Montserrat"/>
        </w:rPr>
        <w:t>. Australian Government.</w:t>
      </w:r>
    </w:p>
    <w:p w14:paraId="32B11489" w14:textId="04295FAA" w:rsidR="51CC4871" w:rsidRPr="009F76B3" w:rsidRDefault="51CC4871" w:rsidP="00423EB2">
      <w:pPr>
        <w:widowControl/>
        <w:spacing w:before="120" w:after="0"/>
        <w:ind w:left="720" w:hanging="720"/>
      </w:pPr>
      <w:r w:rsidRPr="009F76B3">
        <w:rPr>
          <w:rFonts w:eastAsia="Montserrat" w:cs="Montserrat"/>
        </w:rPr>
        <w:t>Eva, C</w:t>
      </w:r>
      <w:r w:rsidRPr="009F76B3">
        <w:t>.,</w:t>
      </w:r>
      <w:r w:rsidRPr="009F76B3">
        <w:rPr>
          <w:rFonts w:eastAsia="Montserrat" w:cs="Montserrat"/>
        </w:rPr>
        <w:t xml:space="preserve"> Bodle, K</w:t>
      </w:r>
      <w:r w:rsidRPr="009F76B3">
        <w:t>.,</w:t>
      </w:r>
      <w:r w:rsidRPr="009F76B3">
        <w:rPr>
          <w:rFonts w:eastAsia="Montserrat" w:cs="Montserrat"/>
        </w:rPr>
        <w:t xml:space="preserve"> Foley, D., Harris, J., &amp; Hunter, B. (2023). The importance of understanding Indigenous employment in the Indigenous business sector</w:t>
      </w:r>
      <w:r w:rsidRPr="009F76B3">
        <w:t>.</w:t>
      </w:r>
      <w:r w:rsidRPr="009F76B3">
        <w:rPr>
          <w:rFonts w:eastAsia="Montserrat" w:cs="Montserrat"/>
        </w:rPr>
        <w:t xml:space="preserve"> </w:t>
      </w:r>
      <w:r w:rsidRPr="009F76B3">
        <w:t>Australian Journal of Social Issues</w:t>
      </w:r>
      <w:r w:rsidRPr="009F76B3">
        <w:rPr>
          <w:rFonts w:eastAsia="Montserrat" w:cs="Montserrat"/>
        </w:rPr>
        <w:t>, 58(3), 494</w:t>
      </w:r>
      <w:r w:rsidRPr="009F76B3">
        <w:t>–</w:t>
      </w:r>
      <w:r w:rsidRPr="009F76B3">
        <w:rPr>
          <w:rFonts w:eastAsia="Montserrat" w:cs="Montserrat"/>
        </w:rPr>
        <w:t>522</w:t>
      </w:r>
      <w:r w:rsidRPr="009F76B3">
        <w:t>.</w:t>
      </w:r>
    </w:p>
    <w:p w14:paraId="742D7C43" w14:textId="51081A23" w:rsidR="51CC4871" w:rsidRPr="009F76B3" w:rsidRDefault="51CC4871" w:rsidP="00423EB2">
      <w:pPr>
        <w:widowControl/>
        <w:spacing w:before="120" w:after="0"/>
        <w:ind w:left="720" w:hanging="720"/>
      </w:pPr>
      <w:r w:rsidRPr="009F76B3">
        <w:rPr>
          <w:rFonts w:eastAsia="Montserrat" w:cs="Montserrat"/>
        </w:rPr>
        <w:t xml:space="preserve">First Peoples Disability Network Australia (FPDNA). (2016). </w:t>
      </w:r>
      <w:r w:rsidRPr="009F76B3">
        <w:t>Aboriginal and Torres Strait Islander people with disability: A global perspective</w:t>
      </w:r>
      <w:r w:rsidRPr="009F76B3">
        <w:rPr>
          <w:rFonts w:eastAsia="Montserrat" w:cs="Montserrat"/>
        </w:rPr>
        <w:t>.</w:t>
      </w:r>
    </w:p>
    <w:p w14:paraId="280E75EB" w14:textId="39A59D5F" w:rsidR="51CC4871" w:rsidRPr="009F76B3" w:rsidRDefault="51CC4871" w:rsidP="00423EB2">
      <w:pPr>
        <w:widowControl/>
        <w:spacing w:before="120" w:after="0"/>
        <w:ind w:left="720" w:hanging="720"/>
      </w:pPr>
      <w:r w:rsidRPr="009F76B3">
        <w:rPr>
          <w:rFonts w:eastAsia="Montserrat" w:cs="Montserrat"/>
        </w:rPr>
        <w:t xml:space="preserve">Gilroy, J., Dew, A., Lincoln, M., &amp; Hines, M. (2013). Supporting the development of sustainable service provision for Indigenous people with disability. </w:t>
      </w:r>
      <w:r w:rsidRPr="009F76B3">
        <w:rPr>
          <w:rFonts w:eastAsia="Montserrat" w:cs="Montserrat"/>
          <w:i/>
          <w:iCs/>
        </w:rPr>
        <w:t>Australian Journal of Rural Health, 21</w:t>
      </w:r>
      <w:r w:rsidRPr="009F76B3">
        <w:rPr>
          <w:rFonts w:eastAsia="Montserrat" w:cs="Montserrat"/>
        </w:rPr>
        <w:t xml:space="preserve">(2), 95–102. </w:t>
      </w:r>
      <w:hyperlink r:id="rId30">
        <w:r w:rsidRPr="009F76B3">
          <w:rPr>
            <w:rStyle w:val="Hyperlink"/>
            <w:rFonts w:ascii="Montserrat" w:eastAsia="Verdana" w:hAnsi="Montserrat" w:cs="Verdana"/>
            <w:sz w:val="24"/>
          </w:rPr>
          <w:t>https://doi.org/10.1111/ajr.12032</w:t>
        </w:r>
      </w:hyperlink>
      <w:r w:rsidRPr="009F76B3">
        <w:rPr>
          <w:rFonts w:eastAsia="Montserrat" w:cs="Montserrat"/>
        </w:rPr>
        <w:t xml:space="preserve"> </w:t>
      </w:r>
    </w:p>
    <w:p w14:paraId="0B682E6C" w14:textId="5F4AC9F8" w:rsidR="51CC4871" w:rsidRPr="009F76B3" w:rsidRDefault="51CC4871" w:rsidP="00423EB2">
      <w:pPr>
        <w:widowControl/>
        <w:spacing w:before="120" w:after="0"/>
        <w:ind w:left="720" w:hanging="720"/>
      </w:pPr>
      <w:r w:rsidRPr="009F76B3">
        <w:rPr>
          <w:rFonts w:eastAsia="Montserrat" w:cs="Montserrat"/>
        </w:rPr>
        <w:t xml:space="preserve">Gilroy, J., Dew, A., Lincoln, M., &amp; Hines, M. (2017). Need for an Australian Indigenous disability workforce strategy: review of the literature. </w:t>
      </w:r>
      <w:r w:rsidRPr="009F76B3">
        <w:rPr>
          <w:rFonts w:eastAsia="Montserrat" w:cs="Montserrat"/>
          <w:i/>
          <w:iCs/>
        </w:rPr>
        <w:t>Disability and Rehabilitation</w:t>
      </w:r>
      <w:r w:rsidRPr="009F76B3">
        <w:rPr>
          <w:rFonts w:eastAsia="Montserrat" w:cs="Montserrat"/>
        </w:rPr>
        <w:t>,</w:t>
      </w:r>
      <w:r w:rsidRPr="009F76B3">
        <w:rPr>
          <w:rFonts w:eastAsia="Montserrat" w:cs="Montserrat"/>
          <w:i/>
          <w:iCs/>
        </w:rPr>
        <w:t xml:space="preserve"> 39</w:t>
      </w:r>
      <w:r w:rsidRPr="009F76B3">
        <w:rPr>
          <w:rFonts w:eastAsia="Montserrat" w:cs="Montserrat"/>
        </w:rPr>
        <w:t>(16), 1664-1673.</w:t>
      </w:r>
    </w:p>
    <w:p w14:paraId="1683FBF4" w14:textId="0A511245" w:rsidR="51CC4871" w:rsidRPr="009F76B3" w:rsidRDefault="51CC4871" w:rsidP="00423EB2">
      <w:pPr>
        <w:widowControl/>
        <w:spacing w:before="120" w:after="0"/>
        <w:ind w:left="720" w:hanging="720"/>
      </w:pPr>
      <w:r w:rsidRPr="009F76B3">
        <w:rPr>
          <w:rFonts w:eastAsia="Montserrat" w:cs="Montserrat"/>
        </w:rPr>
        <w:t>Gilroy, J., Donelly, M., Colmar, S., &amp; Parmenter, T. (2016</w:t>
      </w:r>
      <w:r w:rsidRPr="009F76B3">
        <w:t>).</w:t>
      </w:r>
      <w:r w:rsidRPr="009F76B3">
        <w:rPr>
          <w:rFonts w:eastAsia="Montserrat" w:cs="Montserrat"/>
        </w:rPr>
        <w:t xml:space="preserve"> Twelve factors that can influence the participation of Aboriginal people in disability services. </w:t>
      </w:r>
      <w:r w:rsidRPr="009F76B3">
        <w:t>Australian Indigenous Health Bulletin</w:t>
      </w:r>
      <w:r w:rsidRPr="009F76B3">
        <w:rPr>
          <w:rFonts w:eastAsia="Montserrat" w:cs="Montserrat"/>
        </w:rPr>
        <w:t>, 16(1).</w:t>
      </w:r>
    </w:p>
    <w:p w14:paraId="20C96339" w14:textId="31635D9E" w:rsidR="51CC4871" w:rsidRPr="009F76B3" w:rsidRDefault="51CC4871" w:rsidP="00423EB2">
      <w:pPr>
        <w:widowControl/>
        <w:spacing w:before="120" w:after="0"/>
        <w:ind w:left="720" w:hanging="720"/>
      </w:pPr>
      <w:r w:rsidRPr="009F76B3">
        <w:rPr>
          <w:rFonts w:eastAsia="Montserrat" w:cs="Montserrat"/>
        </w:rPr>
        <w:t>Gilroy, J., Veli</w:t>
      </w:r>
      <w:r w:rsidRPr="009F76B3">
        <w:noBreakHyphen/>
      </w:r>
      <w:r w:rsidRPr="009F76B3">
        <w:rPr>
          <w:rFonts w:eastAsia="Montserrat" w:cs="Montserrat"/>
        </w:rPr>
        <w:t xml:space="preserve">Gold, S., Wright, W., Dew, A., Jensen, H., Bulkeley, K., &amp; Lincoln, M. (2023). Disability workforce and the NDIS planning process in regional, rural and remote regions of Australia: Scoping review. </w:t>
      </w:r>
      <w:r w:rsidRPr="009F76B3">
        <w:rPr>
          <w:rFonts w:eastAsia="Montserrat" w:cs="Montserrat"/>
          <w:i/>
          <w:iCs/>
        </w:rPr>
        <w:t>Australian Journal of Rural Health, 31</w:t>
      </w:r>
      <w:r w:rsidRPr="009F76B3">
        <w:rPr>
          <w:rFonts w:eastAsia="Montserrat" w:cs="Montserrat"/>
        </w:rPr>
        <w:t xml:space="preserve">(5), 839–854. </w:t>
      </w:r>
      <w:hyperlink r:id="rId31">
        <w:r w:rsidRPr="009F76B3">
          <w:rPr>
            <w:rStyle w:val="Hyperlink"/>
            <w:rFonts w:ascii="Montserrat" w:eastAsia="Montserrat" w:hAnsi="Montserrat" w:cs="Montserrat"/>
            <w:color w:val="000000" w:themeColor="text1"/>
            <w:sz w:val="24"/>
          </w:rPr>
          <w:t>https://doi.org/10.1111/ajr.13020</w:t>
        </w:r>
      </w:hyperlink>
    </w:p>
    <w:p w14:paraId="366D4D78" w14:textId="3232880D" w:rsidR="51CC4871" w:rsidRPr="009F76B3" w:rsidRDefault="51CC4871" w:rsidP="00423EB2">
      <w:pPr>
        <w:widowControl/>
        <w:spacing w:before="0" w:after="0"/>
        <w:ind w:left="720" w:hanging="720"/>
      </w:pPr>
      <w:r w:rsidRPr="009F76B3">
        <w:rPr>
          <w:rFonts w:eastAsia="Montserrat" w:cs="Montserrat"/>
        </w:rPr>
        <w:t xml:space="preserve">Graham, M. (2014). Aboriginal notions of relationality and </w:t>
      </w:r>
      <w:proofErr w:type="spellStart"/>
      <w:r w:rsidRPr="009F76B3">
        <w:rPr>
          <w:rFonts w:eastAsia="Montserrat" w:cs="Montserrat"/>
        </w:rPr>
        <w:t>positionalism</w:t>
      </w:r>
      <w:proofErr w:type="spellEnd"/>
      <w:r w:rsidRPr="009F76B3">
        <w:rPr>
          <w:rFonts w:eastAsia="Montserrat" w:cs="Montserrat"/>
        </w:rPr>
        <w:t>: a reply</w:t>
      </w:r>
      <w:r w:rsidR="5E09044C" w:rsidRPr="009F76B3">
        <w:rPr>
          <w:rFonts w:eastAsia="Montserrat" w:cs="Montserrat"/>
        </w:rPr>
        <w:t xml:space="preserve"> </w:t>
      </w:r>
      <w:r w:rsidRPr="009F76B3">
        <w:rPr>
          <w:rFonts w:eastAsia="Montserrat" w:cs="Montserrat"/>
        </w:rPr>
        <w:t>to</w:t>
      </w:r>
      <w:r w:rsidRPr="009F76B3">
        <w:rPr>
          <w:rFonts w:eastAsia="Times New Roman" w:cs="Times New Roman"/>
        </w:rPr>
        <w:t> </w:t>
      </w:r>
      <w:r w:rsidRPr="009F76B3">
        <w:rPr>
          <w:rFonts w:eastAsia="Montserrat" w:cs="Montserrat"/>
        </w:rPr>
        <w:t>Weber.</w:t>
      </w:r>
      <w:r w:rsidRPr="009F76B3">
        <w:rPr>
          <w:rFonts w:eastAsia="Times New Roman" w:cs="Times New Roman"/>
        </w:rPr>
        <w:t> </w:t>
      </w:r>
      <w:r w:rsidRPr="009F76B3">
        <w:rPr>
          <w:rFonts w:eastAsia="Montserrat" w:cs="Montserrat"/>
          <w:i/>
          <w:iCs/>
        </w:rPr>
        <w:t>Global</w:t>
      </w:r>
      <w:r w:rsidRPr="009F76B3">
        <w:rPr>
          <w:rFonts w:eastAsia="Times New Roman" w:cs="Times New Roman"/>
          <w:i/>
          <w:iCs/>
        </w:rPr>
        <w:t> </w:t>
      </w:r>
      <w:r w:rsidRPr="009F76B3">
        <w:rPr>
          <w:rFonts w:eastAsia="Montserrat" w:cs="Montserrat"/>
          <w:i/>
          <w:iCs/>
        </w:rPr>
        <w:t>Discourse</w:t>
      </w:r>
      <w:r w:rsidRPr="009F76B3">
        <w:rPr>
          <w:rFonts w:eastAsia="Montserrat" w:cs="Montserrat"/>
        </w:rPr>
        <w:t>,</w:t>
      </w:r>
      <w:r w:rsidRPr="009F76B3">
        <w:rPr>
          <w:rFonts w:eastAsia="Times New Roman" w:cs="Times New Roman"/>
        </w:rPr>
        <w:t> </w:t>
      </w:r>
      <w:r w:rsidRPr="009F76B3">
        <w:rPr>
          <w:rFonts w:eastAsia="Montserrat" w:cs="Montserrat"/>
          <w:i/>
          <w:iCs/>
        </w:rPr>
        <w:t>4</w:t>
      </w:r>
      <w:r w:rsidRPr="009F76B3">
        <w:rPr>
          <w:rFonts w:eastAsia="Montserrat" w:cs="Montserrat"/>
        </w:rPr>
        <w:t>(1),</w:t>
      </w:r>
      <w:r w:rsidRPr="009F76B3">
        <w:rPr>
          <w:rFonts w:eastAsia="Times New Roman" w:cs="Times New Roman"/>
        </w:rPr>
        <w:t> </w:t>
      </w:r>
      <w:r w:rsidRPr="009F76B3">
        <w:rPr>
          <w:rFonts w:eastAsia="Montserrat" w:cs="Montserrat"/>
        </w:rPr>
        <w:t>17–22.</w:t>
      </w:r>
      <w:r w:rsidR="0A453941" w:rsidRPr="009F76B3">
        <w:rPr>
          <w:rFonts w:eastAsia="Montserrat" w:cs="Montserrat"/>
        </w:rPr>
        <w:t xml:space="preserve"> </w:t>
      </w:r>
    </w:p>
    <w:p w14:paraId="4D28DB76" w14:textId="11DDB91B" w:rsidR="3085234A" w:rsidRPr="009F76B3" w:rsidRDefault="3085234A" w:rsidP="00423EB2">
      <w:pPr>
        <w:widowControl/>
        <w:spacing w:before="0" w:after="0"/>
        <w:ind w:left="720"/>
      </w:pPr>
      <w:r w:rsidRPr="009F76B3">
        <w:rPr>
          <w:rFonts w:eastAsia="Montserrat" w:cs="Montserrat"/>
        </w:rPr>
        <w:t>h</w:t>
      </w:r>
      <w:r w:rsidR="51CC4871" w:rsidRPr="009F76B3">
        <w:rPr>
          <w:rFonts w:eastAsia="Montserrat" w:cs="Montserrat"/>
        </w:rPr>
        <w:t xml:space="preserve">ttps://doi.org/10.1080/23269995.2014.895931 </w:t>
      </w:r>
    </w:p>
    <w:p w14:paraId="392C4EC3" w14:textId="0835D95D" w:rsidR="51CC4871" w:rsidRPr="009F76B3" w:rsidRDefault="51CC4871" w:rsidP="00423EB2">
      <w:pPr>
        <w:widowControl/>
        <w:spacing w:before="120" w:after="0"/>
        <w:ind w:left="720" w:hanging="720"/>
      </w:pPr>
      <w:r w:rsidRPr="009F76B3">
        <w:rPr>
          <w:rFonts w:eastAsia="Montserrat" w:cs="Montserrat"/>
        </w:rPr>
        <w:t xml:space="preserve">Hunter, B. (2014). </w:t>
      </w:r>
      <w:r w:rsidRPr="009F76B3">
        <w:rPr>
          <w:rFonts w:eastAsia="Montserrat" w:cs="Montserrat"/>
          <w:i/>
          <w:iCs/>
        </w:rPr>
        <w:t>Indigenous employment and labour market outcomes: Policy and measurement challenges</w:t>
      </w:r>
      <w:r w:rsidRPr="009F76B3">
        <w:rPr>
          <w:rFonts w:eastAsia="Montserrat" w:cs="Montserrat"/>
        </w:rPr>
        <w:t>. Centre for Aboriginal Economic Policy Research, Australian National University.</w:t>
      </w:r>
    </w:p>
    <w:p w14:paraId="08664F7A" w14:textId="5575CC4B" w:rsidR="51CC4871" w:rsidRPr="009F76B3" w:rsidRDefault="51CC4871" w:rsidP="00423EB2">
      <w:pPr>
        <w:widowControl/>
        <w:spacing w:before="120" w:after="0"/>
        <w:ind w:left="720" w:hanging="720"/>
      </w:pPr>
      <w:r w:rsidRPr="009F76B3">
        <w:rPr>
          <w:rFonts w:eastAsia="Montserrat" w:cs="Montserrat"/>
        </w:rPr>
        <w:t xml:space="preserve">Hunter, B., &amp; Biddle, N. (2012). The determinants of Indigenous employment outcomes: The importance of education and training. </w:t>
      </w:r>
      <w:r w:rsidRPr="009F76B3">
        <w:rPr>
          <w:rFonts w:eastAsia="Montserrat" w:cs="Montserrat"/>
          <w:i/>
          <w:iCs/>
        </w:rPr>
        <w:t>Australian Journal of Labour Economics, 15</w:t>
      </w:r>
      <w:r w:rsidRPr="009F76B3">
        <w:rPr>
          <w:rFonts w:eastAsia="Montserrat" w:cs="Montserrat"/>
        </w:rPr>
        <w:t>(3), 297–321.</w:t>
      </w:r>
    </w:p>
    <w:p w14:paraId="218BAB81" w14:textId="119DE5C0" w:rsidR="51CC4871" w:rsidRPr="009F76B3" w:rsidRDefault="51CC4871" w:rsidP="00423EB2">
      <w:pPr>
        <w:widowControl/>
        <w:spacing w:before="120" w:after="0"/>
        <w:ind w:left="720" w:hanging="720"/>
      </w:pPr>
      <w:r w:rsidRPr="009F76B3">
        <w:rPr>
          <w:rFonts w:eastAsia="Montserrat" w:cs="Montserrat"/>
        </w:rPr>
        <w:t xml:space="preserve">James, M. H., </w:t>
      </w:r>
      <w:proofErr w:type="spellStart"/>
      <w:r w:rsidRPr="009F76B3">
        <w:rPr>
          <w:rFonts w:eastAsia="Montserrat" w:cs="Montserrat"/>
        </w:rPr>
        <w:t>Prokopiv</w:t>
      </w:r>
      <w:proofErr w:type="spellEnd"/>
      <w:r w:rsidRPr="009F76B3">
        <w:rPr>
          <w:rFonts w:eastAsia="Montserrat" w:cs="Montserrat"/>
        </w:rPr>
        <w:t xml:space="preserve">, V., Barbagallo, M. S., Porter, J. E., Johnson, N., Jones, J., &amp; </w:t>
      </w:r>
      <w:proofErr w:type="spellStart"/>
      <w:r w:rsidRPr="009F76B3">
        <w:rPr>
          <w:rFonts w:eastAsia="Montserrat" w:cs="Montserrat"/>
        </w:rPr>
        <w:t>Smitherson</w:t>
      </w:r>
      <w:proofErr w:type="spellEnd"/>
      <w:r w:rsidRPr="009F76B3">
        <w:rPr>
          <w:rFonts w:eastAsia="Montserrat" w:cs="Montserrat"/>
        </w:rPr>
        <w:t xml:space="preserve">, T. (2024). Indigenous experiences and underutilisation of disability support services in Australia: a qualitative meta-synthesis. </w:t>
      </w:r>
      <w:r w:rsidRPr="009F76B3">
        <w:rPr>
          <w:rFonts w:eastAsia="Montserrat" w:cs="Montserrat"/>
          <w:i/>
          <w:iCs/>
        </w:rPr>
        <w:t>Disability and rehabilitation</w:t>
      </w:r>
      <w:r w:rsidRPr="009F76B3">
        <w:rPr>
          <w:rFonts w:eastAsia="Montserrat" w:cs="Montserrat"/>
        </w:rPr>
        <w:t xml:space="preserve">, </w:t>
      </w:r>
      <w:r w:rsidRPr="009F76B3">
        <w:rPr>
          <w:rFonts w:eastAsia="Montserrat" w:cs="Montserrat"/>
          <w:i/>
          <w:iCs/>
        </w:rPr>
        <w:t>46</w:t>
      </w:r>
      <w:r w:rsidRPr="009F76B3">
        <w:rPr>
          <w:rFonts w:eastAsia="Montserrat" w:cs="Montserrat"/>
        </w:rPr>
        <w:t>(8), 1438-1449.</w:t>
      </w:r>
    </w:p>
    <w:p w14:paraId="0197F84A" w14:textId="5C04B5F2" w:rsidR="51CC4871" w:rsidRPr="009F76B3" w:rsidRDefault="51CC4871" w:rsidP="00423EB2">
      <w:pPr>
        <w:widowControl/>
        <w:spacing w:before="120" w:after="0"/>
        <w:ind w:left="720" w:hanging="720"/>
      </w:pPr>
      <w:r w:rsidRPr="009F76B3">
        <w:rPr>
          <w:rFonts w:eastAsia="Montserrat" w:cs="Montserrat"/>
        </w:rPr>
        <w:lastRenderedPageBreak/>
        <w:t xml:space="preserve">Jordan, K. (2016). </w:t>
      </w:r>
      <w:r w:rsidRPr="009F76B3">
        <w:rPr>
          <w:rFonts w:eastAsia="Montserrat" w:cs="Montserrat"/>
          <w:i/>
          <w:iCs/>
        </w:rPr>
        <w:t>Indigenous employment: Current policy and future directions</w:t>
      </w:r>
      <w:r w:rsidRPr="009F76B3">
        <w:rPr>
          <w:rFonts w:eastAsia="Montserrat" w:cs="Montserrat"/>
        </w:rPr>
        <w:t>. Centre for Aboriginal Economic Policy Research, Australian National University.</w:t>
      </w:r>
    </w:p>
    <w:p w14:paraId="491B864A" w14:textId="77E29D1C" w:rsidR="51CC4871" w:rsidRPr="009F76B3" w:rsidRDefault="51CC4871" w:rsidP="00423EB2">
      <w:pPr>
        <w:widowControl/>
        <w:spacing w:before="120" w:after="0"/>
        <w:ind w:left="720" w:hanging="720"/>
      </w:pPr>
      <w:r w:rsidRPr="009F76B3">
        <w:rPr>
          <w:rFonts w:eastAsia="Montserrat" w:cs="Montserrat"/>
        </w:rPr>
        <w:t xml:space="preserve">Langton, M., Anderson, M.-J., O’Neill, K., &amp; Foley, C. (2012). </w:t>
      </w:r>
      <w:r w:rsidRPr="009F76B3">
        <w:rPr>
          <w:rFonts w:eastAsia="Montserrat" w:cs="Montserrat"/>
          <w:i/>
          <w:iCs/>
        </w:rPr>
        <w:t>The quiet revolution: Indigenous people and the resources boom</w:t>
      </w:r>
      <w:r w:rsidRPr="009F76B3">
        <w:rPr>
          <w:rFonts w:eastAsia="Montserrat" w:cs="Montserrat"/>
        </w:rPr>
        <w:t>. University of Queensland Press.</w:t>
      </w:r>
    </w:p>
    <w:p w14:paraId="6049B48B" w14:textId="312BCE07" w:rsidR="51CC4871" w:rsidRPr="009F76B3" w:rsidRDefault="51CC4871" w:rsidP="00423EB2">
      <w:pPr>
        <w:widowControl/>
        <w:spacing w:before="120" w:after="0"/>
        <w:ind w:left="720" w:hanging="720"/>
      </w:pPr>
      <w:r w:rsidRPr="009F76B3">
        <w:rPr>
          <w:rFonts w:eastAsia="Montserrat" w:cs="Montserrat"/>
        </w:rPr>
        <w:t>Leroy-Dyer, S. (2016). Private-</w:t>
      </w:r>
      <w:r w:rsidRPr="009F76B3">
        <w:t>sector employment programs for</w:t>
      </w:r>
      <w:r w:rsidRPr="009F76B3">
        <w:rPr>
          <w:rFonts w:eastAsia="Montserrat" w:cs="Montserrat"/>
        </w:rPr>
        <w:t xml:space="preserve"> Aboriginal and Torres Strait Islander </w:t>
      </w:r>
      <w:r w:rsidRPr="009F76B3">
        <w:t>p</w:t>
      </w:r>
      <w:r w:rsidRPr="009F76B3">
        <w:rPr>
          <w:rFonts w:eastAsia="Montserrat" w:cs="Montserrat"/>
        </w:rPr>
        <w:t xml:space="preserve">eoples: Comparative </w:t>
      </w:r>
      <w:r w:rsidRPr="009F76B3">
        <w:t>case studies [Doctoral thesis,</w:t>
      </w:r>
      <w:r w:rsidRPr="009F76B3">
        <w:rPr>
          <w:rFonts w:eastAsia="Montserrat" w:cs="Montserrat"/>
        </w:rPr>
        <w:t xml:space="preserve"> University of Newcastle</w:t>
      </w:r>
      <w:r w:rsidRPr="009F76B3">
        <w:t>].</w:t>
      </w:r>
    </w:p>
    <w:p w14:paraId="072F2B27" w14:textId="4D4A4C5F" w:rsidR="51CC4871" w:rsidRPr="009F76B3" w:rsidRDefault="51CC4871" w:rsidP="00423EB2">
      <w:pPr>
        <w:widowControl/>
        <w:spacing w:before="120" w:after="0"/>
        <w:ind w:left="720" w:hanging="720"/>
      </w:pPr>
      <w:r w:rsidRPr="009F76B3">
        <w:rPr>
          <w:rFonts w:eastAsia="Montserrat" w:cs="Montserrat"/>
        </w:rPr>
        <w:t xml:space="preserve">Leroy-Dyer, S. (2022). Closing the gap on Aboriginal and Torres Strait Islander employment disadvantage in Australia. </w:t>
      </w:r>
      <w:r w:rsidRPr="009F76B3">
        <w:rPr>
          <w:rFonts w:eastAsia="Montserrat" w:cs="Montserrat"/>
          <w:i/>
          <w:iCs/>
        </w:rPr>
        <w:t>A Field Guide to Managing Diversity, Equality and Inclusion in Organisations.</w:t>
      </w:r>
      <w:r w:rsidRPr="009F76B3">
        <w:rPr>
          <w:rFonts w:eastAsia="Montserrat" w:cs="Montserrat"/>
        </w:rPr>
        <w:t xml:space="preserve"> Edited by S. Dhakal, R. Cameron, &amp; J. Burgess. Cheltenham, United Kingdom: Edward Elgar Publishing. 33-46. </w:t>
      </w:r>
      <w:hyperlink r:id="rId32">
        <w:r w:rsidRPr="009F76B3">
          <w:rPr>
            <w:rStyle w:val="Hyperlink"/>
            <w:rFonts w:ascii="Montserrat" w:eastAsia="Verdana" w:hAnsi="Montserrat" w:cs="Verdana"/>
            <w:sz w:val="24"/>
          </w:rPr>
          <w:t>https://doi.org/10.4337/9781800379008</w:t>
        </w:r>
      </w:hyperlink>
      <w:r w:rsidRPr="009F76B3">
        <w:rPr>
          <w:rFonts w:eastAsia="Montserrat" w:cs="Montserrat"/>
        </w:rPr>
        <w:t xml:space="preserve"> </w:t>
      </w:r>
    </w:p>
    <w:p w14:paraId="63123F96" w14:textId="17240534" w:rsidR="51CC4871" w:rsidRPr="009F76B3" w:rsidRDefault="51CC4871" w:rsidP="00423EB2">
      <w:pPr>
        <w:widowControl/>
        <w:spacing w:before="120" w:after="0"/>
        <w:ind w:left="720" w:hanging="720"/>
      </w:pPr>
      <w:r w:rsidRPr="009F76B3">
        <w:rPr>
          <w:rFonts w:eastAsia="Montserrat" w:cs="Montserrat"/>
        </w:rPr>
        <w:t>Leroy-Dyer, S. (2026a).</w:t>
      </w:r>
      <w:r w:rsidRPr="009F76B3">
        <w:rPr>
          <w:rFonts w:eastAsia="Montserrat" w:cs="Montserrat"/>
          <w:b/>
          <w:bCs/>
        </w:rPr>
        <w:t xml:space="preserve"> </w:t>
      </w:r>
      <w:r w:rsidRPr="009F76B3">
        <w:rPr>
          <w:rFonts w:eastAsia="Montserrat" w:cs="Montserrat"/>
        </w:rPr>
        <w:t xml:space="preserve">Indigenous Women’s Inclusion in the Workplace: Setting the Blak Agenda, </w:t>
      </w:r>
      <w:r w:rsidRPr="009F76B3">
        <w:rPr>
          <w:rFonts w:eastAsia="Montserrat" w:cs="Montserrat"/>
          <w:i/>
          <w:iCs/>
        </w:rPr>
        <w:t>International Journal of Indigenous Business, 1</w:t>
      </w:r>
      <w:r w:rsidRPr="009F76B3">
        <w:rPr>
          <w:rFonts w:eastAsia="Montserrat" w:cs="Montserrat"/>
        </w:rPr>
        <w:t xml:space="preserve">(1), 97-115. DOI: </w:t>
      </w:r>
      <w:hyperlink r:id="rId33">
        <w:r w:rsidRPr="009F76B3">
          <w:rPr>
            <w:rStyle w:val="Hyperlink"/>
            <w:rFonts w:ascii="Montserrat" w:eastAsia="Verdana" w:hAnsi="Montserrat" w:cs="Verdana"/>
            <w:sz w:val="24"/>
          </w:rPr>
          <w:t xml:space="preserve">https://doi.org/10.64222/ELVC5854 </w:t>
        </w:r>
      </w:hyperlink>
    </w:p>
    <w:p w14:paraId="59910383" w14:textId="7C371B15" w:rsidR="51CC4871" w:rsidRPr="009F76B3" w:rsidRDefault="51CC4871" w:rsidP="00423EB2">
      <w:pPr>
        <w:widowControl/>
        <w:spacing w:before="120" w:after="0"/>
        <w:ind w:left="720" w:hanging="720"/>
      </w:pPr>
      <w:r w:rsidRPr="009F76B3">
        <w:rPr>
          <w:rFonts w:eastAsia="Montserrat" w:cs="Montserrat"/>
        </w:rPr>
        <w:t xml:space="preserve">Leroy-Dyer, S. (2026b). ‘I feel I’m making a difference’: how Blak women are working to build safer workplaces. </w:t>
      </w:r>
      <w:r w:rsidRPr="009F76B3">
        <w:rPr>
          <w:rFonts w:eastAsia="Montserrat" w:cs="Montserrat"/>
          <w:i/>
          <w:iCs/>
        </w:rPr>
        <w:t>The Conversation</w:t>
      </w:r>
      <w:r w:rsidRPr="009F76B3">
        <w:rPr>
          <w:rFonts w:eastAsia="Montserrat" w:cs="Montserrat"/>
        </w:rPr>
        <w:t>.</w:t>
      </w:r>
    </w:p>
    <w:p w14:paraId="08E19C7A" w14:textId="4E35262D" w:rsidR="51CC4871" w:rsidRPr="009F76B3" w:rsidRDefault="51CC4871" w:rsidP="00423EB2">
      <w:pPr>
        <w:widowControl/>
        <w:ind w:left="709" w:hanging="709"/>
      </w:pPr>
      <w:r w:rsidRPr="009F76B3">
        <w:t xml:space="preserve">Leroy-Dyer, S., &amp; Menzel, K. (2023). </w:t>
      </w:r>
      <w:r w:rsidRPr="009F76B3">
        <w:rPr>
          <w:rFonts w:eastAsia="Montserrat" w:cs="Montserrat"/>
        </w:rPr>
        <w:t xml:space="preserve">Aboriginal and Torres Strait Islander inclusion in the workplace: challenging racist policy and practice, in the </w:t>
      </w:r>
      <w:r w:rsidRPr="009F76B3">
        <w:rPr>
          <w:rFonts w:eastAsia="Montserrat" w:cs="Montserrat"/>
          <w:i/>
          <w:iCs/>
        </w:rPr>
        <w:t>Routledge Handbook of Australian Indigenous Peoples &amp; Futures,</w:t>
      </w:r>
      <w:r w:rsidRPr="009F76B3">
        <w:rPr>
          <w:rFonts w:eastAsia="Montserrat" w:cs="Montserrat"/>
        </w:rPr>
        <w:t xml:space="preserve"> (Eds) B. Carlson, S O’Sullivan, T Kennedy, and M Day. Routledge/Taylor &amp; Francis, London.</w:t>
      </w:r>
    </w:p>
    <w:p w14:paraId="45467D3F" w14:textId="543D2DC7" w:rsidR="51CC4871" w:rsidRPr="009F76B3" w:rsidRDefault="51CC4871" w:rsidP="00423EB2">
      <w:pPr>
        <w:widowControl/>
        <w:spacing w:before="120" w:after="0"/>
        <w:ind w:left="720" w:hanging="720"/>
      </w:pPr>
      <w:r w:rsidRPr="009F76B3">
        <w:rPr>
          <w:rFonts w:eastAsia="Montserrat" w:cs="Montserrat"/>
        </w:rPr>
        <w:t>Leroy-Dyer, S.,</w:t>
      </w:r>
      <w:r w:rsidRPr="009F76B3">
        <w:rPr>
          <w:rFonts w:eastAsia="Montserrat" w:cs="Montserrat"/>
          <w:b/>
          <w:bCs/>
        </w:rPr>
        <w:t xml:space="preserve"> </w:t>
      </w:r>
      <w:r w:rsidRPr="009F76B3">
        <w:rPr>
          <w:rFonts w:eastAsia="Montserrat" w:cs="Montserrat"/>
        </w:rPr>
        <w:t xml:space="preserve">&amp; Olssen, E. (2026). Elevating Indigenous Leadership and Employment Futures Within Australia. In: Dhiman, S. (eds) The Palgrave Encyclopedia of Leadership and Organizational Change. Palgrave Macmillan, Cham. </w:t>
      </w:r>
      <w:hyperlink r:id="rId34">
        <w:r w:rsidRPr="009F76B3">
          <w:rPr>
            <w:rStyle w:val="Hyperlink"/>
            <w:rFonts w:ascii="Montserrat" w:eastAsia="Verdana" w:hAnsi="Montserrat" w:cs="Verdana"/>
            <w:sz w:val="24"/>
          </w:rPr>
          <w:t>https://doi.org/10.1007/978-3-031-51650-4_269-1</w:t>
        </w:r>
      </w:hyperlink>
    </w:p>
    <w:p w14:paraId="666E4ED2" w14:textId="79535850" w:rsidR="61BF95AB" w:rsidRPr="009F76B3" w:rsidRDefault="61BF95AB" w:rsidP="00423EB2">
      <w:pPr>
        <w:widowControl/>
        <w:spacing w:before="120" w:after="0"/>
        <w:ind w:left="720" w:hanging="720"/>
      </w:pPr>
      <w:r w:rsidRPr="009F76B3">
        <w:rPr>
          <w:rFonts w:eastAsia="Montserrat" w:cs="Montserrat"/>
        </w:rPr>
        <w:t>Lovett, R. (2016). Aboriginal and Torres Strait Islander community wellbeing: identified needs for statistical capacity. In T. Kukutai &amp; J.</w:t>
      </w:r>
      <w:r w:rsidR="099371A9" w:rsidRPr="009F76B3">
        <w:rPr>
          <w:rFonts w:eastAsia="Montserrat" w:cs="Montserrat"/>
        </w:rPr>
        <w:t xml:space="preserve"> T</w:t>
      </w:r>
      <w:r w:rsidRPr="009F76B3">
        <w:rPr>
          <w:rFonts w:eastAsia="Montserrat" w:cs="Montserrat"/>
        </w:rPr>
        <w:t>aylor. (Ed</w:t>
      </w:r>
      <w:r w:rsidR="5CAF6262" w:rsidRPr="009F76B3">
        <w:rPr>
          <w:rFonts w:eastAsia="Montserrat" w:cs="Montserrat"/>
        </w:rPr>
        <w:t>s</w:t>
      </w:r>
      <w:r w:rsidRPr="009F76B3">
        <w:rPr>
          <w:rFonts w:eastAsia="Montserrat" w:cs="Montserrat"/>
        </w:rPr>
        <w:t xml:space="preserve">.), </w:t>
      </w:r>
      <w:r w:rsidRPr="009F76B3">
        <w:rPr>
          <w:rFonts w:eastAsia="Montserrat" w:cs="Montserrat"/>
          <w:i/>
          <w:iCs/>
        </w:rPr>
        <w:t xml:space="preserve">Indigenous data sovereignty: toward an agenda </w:t>
      </w:r>
      <w:r w:rsidRPr="009F76B3">
        <w:rPr>
          <w:rFonts w:eastAsia="Montserrat" w:cs="Montserrat"/>
        </w:rPr>
        <w:t>(First ed., Vol. 1, pp. 213-231). ANU Press. https://doi.org/10.22459/CAEPR38.11.2016.12</w:t>
      </w:r>
    </w:p>
    <w:p w14:paraId="57D71A99" w14:textId="04BCB265" w:rsidR="51CC4871" w:rsidRPr="009F76B3" w:rsidRDefault="51CC4871" w:rsidP="00423EB2">
      <w:pPr>
        <w:widowControl/>
        <w:spacing w:before="120" w:after="0"/>
        <w:ind w:left="720" w:hanging="720"/>
      </w:pPr>
      <w:proofErr w:type="spellStart"/>
      <w:r w:rsidRPr="009F76B3">
        <w:rPr>
          <w:rFonts w:eastAsia="Montserrat" w:cs="Montserrat"/>
        </w:rPr>
        <w:t>Lowitja</w:t>
      </w:r>
      <w:proofErr w:type="spellEnd"/>
      <w:r w:rsidRPr="009F76B3">
        <w:rPr>
          <w:rFonts w:eastAsia="Montserrat" w:cs="Montserrat"/>
        </w:rPr>
        <w:t xml:space="preserve"> Institute. (2020). </w:t>
      </w:r>
      <w:r w:rsidRPr="009F76B3">
        <w:rPr>
          <w:rFonts w:eastAsia="Montserrat" w:cs="Montserrat"/>
          <w:i/>
          <w:iCs/>
        </w:rPr>
        <w:t>Indigenous research for impact: A framework for knowledge translation</w:t>
      </w:r>
      <w:r w:rsidRPr="009F76B3">
        <w:rPr>
          <w:rFonts w:eastAsia="Montserrat" w:cs="Montserrat"/>
        </w:rPr>
        <w:t xml:space="preserve">. </w:t>
      </w:r>
      <w:proofErr w:type="spellStart"/>
      <w:r w:rsidRPr="009F76B3">
        <w:rPr>
          <w:rFonts w:eastAsia="Montserrat" w:cs="Montserrat"/>
        </w:rPr>
        <w:t>Lowitja</w:t>
      </w:r>
      <w:proofErr w:type="spellEnd"/>
      <w:r w:rsidRPr="009F76B3">
        <w:rPr>
          <w:rFonts w:eastAsia="Montserrat" w:cs="Montserrat"/>
        </w:rPr>
        <w:t xml:space="preserve"> Institute.</w:t>
      </w:r>
    </w:p>
    <w:p w14:paraId="7895C0BC" w14:textId="30CB758F" w:rsidR="51CC4871" w:rsidRPr="009F76B3" w:rsidRDefault="51CC4871" w:rsidP="00423EB2">
      <w:pPr>
        <w:widowControl/>
        <w:spacing w:before="120" w:after="0"/>
        <w:ind w:left="720" w:hanging="720"/>
      </w:pPr>
      <w:proofErr w:type="spellStart"/>
      <w:r w:rsidRPr="009F76B3">
        <w:rPr>
          <w:rFonts w:eastAsia="Montserrat" w:cs="Montserrat"/>
        </w:rPr>
        <w:t>Maiam</w:t>
      </w:r>
      <w:proofErr w:type="spellEnd"/>
      <w:r w:rsidRPr="009F76B3">
        <w:rPr>
          <w:rFonts w:eastAsia="Montserrat" w:cs="Montserrat"/>
        </w:rPr>
        <w:t xml:space="preserve"> </w:t>
      </w:r>
      <w:proofErr w:type="spellStart"/>
      <w:r w:rsidRPr="009F76B3">
        <w:rPr>
          <w:rFonts w:eastAsia="Montserrat" w:cs="Montserrat"/>
        </w:rPr>
        <w:t>nayri</w:t>
      </w:r>
      <w:proofErr w:type="spellEnd"/>
      <w:r w:rsidRPr="009F76B3">
        <w:rPr>
          <w:rFonts w:eastAsia="Montserrat" w:cs="Montserrat"/>
        </w:rPr>
        <w:t xml:space="preserve"> </w:t>
      </w:r>
      <w:proofErr w:type="spellStart"/>
      <w:r w:rsidRPr="009F76B3">
        <w:rPr>
          <w:rFonts w:eastAsia="Montserrat" w:cs="Montserrat"/>
        </w:rPr>
        <w:t>Wingara</w:t>
      </w:r>
      <w:proofErr w:type="spellEnd"/>
      <w:r w:rsidRPr="009F76B3">
        <w:rPr>
          <w:rFonts w:eastAsia="Montserrat" w:cs="Montserrat"/>
        </w:rPr>
        <w:t xml:space="preserve"> Indigenous Data Sovereignty Collective (MNWIDSC). (2018). </w:t>
      </w:r>
      <w:r w:rsidRPr="009F76B3">
        <w:rPr>
          <w:rFonts w:eastAsia="Montserrat" w:cs="Montserrat"/>
          <w:i/>
          <w:iCs/>
        </w:rPr>
        <w:t>Indigenous data sovereignty in Australia</w:t>
      </w:r>
      <w:r w:rsidRPr="009F76B3">
        <w:rPr>
          <w:rFonts w:eastAsia="Montserrat" w:cs="Montserrat"/>
        </w:rPr>
        <w:t xml:space="preserve">. </w:t>
      </w:r>
      <w:hyperlink r:id="rId35">
        <w:r w:rsidRPr="009F76B3">
          <w:rPr>
            <w:rStyle w:val="Hyperlink"/>
            <w:rFonts w:ascii="Montserrat" w:eastAsia="Montserrat" w:hAnsi="Montserrat" w:cs="Montserrat"/>
            <w:color w:val="000000" w:themeColor="text1"/>
            <w:sz w:val="24"/>
          </w:rPr>
          <w:t>https://www.maiamnayriwingara.org/</w:t>
        </w:r>
      </w:hyperlink>
      <w:r w:rsidRPr="009F76B3">
        <w:rPr>
          <w:rFonts w:eastAsia="Montserrat" w:cs="Montserrat"/>
        </w:rPr>
        <w:t xml:space="preserve"> </w:t>
      </w:r>
    </w:p>
    <w:p w14:paraId="452E7916" w14:textId="6826C090" w:rsidR="51CC4871" w:rsidRPr="009F76B3" w:rsidRDefault="51CC4871" w:rsidP="00423EB2">
      <w:pPr>
        <w:widowControl/>
        <w:spacing w:before="120" w:after="0"/>
        <w:ind w:left="720" w:hanging="720"/>
      </w:pPr>
      <w:r w:rsidRPr="009F76B3">
        <w:rPr>
          <w:rFonts w:eastAsia="Montserrat" w:cs="Montserrat"/>
        </w:rPr>
        <w:lastRenderedPageBreak/>
        <w:t xml:space="preserve">Martin, K. (2008). </w:t>
      </w:r>
      <w:r w:rsidRPr="009F76B3">
        <w:rPr>
          <w:rFonts w:eastAsia="Montserrat" w:cs="Montserrat"/>
          <w:i/>
          <w:iCs/>
        </w:rPr>
        <w:t>Please knock before you enter: Aboriginal regulation of outsiders and the implications for researchers</w:t>
      </w:r>
      <w:r w:rsidRPr="009F76B3">
        <w:rPr>
          <w:rFonts w:eastAsia="Montserrat" w:cs="Montserrat"/>
        </w:rPr>
        <w:t>. Post Pressed.</w:t>
      </w:r>
    </w:p>
    <w:p w14:paraId="198D0FD3" w14:textId="77777777" w:rsidR="00D478DB" w:rsidRPr="009F76B3" w:rsidRDefault="51CC4871" w:rsidP="00423EB2">
      <w:pPr>
        <w:widowControl/>
        <w:spacing w:before="120" w:after="0"/>
        <w:ind w:left="720" w:hanging="720"/>
      </w:pPr>
      <w:r w:rsidRPr="009F76B3">
        <w:rPr>
          <w:rFonts w:eastAsia="Montserrat" w:cs="Montserrat"/>
        </w:rPr>
        <w:t xml:space="preserve">Menzies, K. (2019). Understanding the Australian Aboriginal experience of collective, historical and intergenerational trauma. </w:t>
      </w:r>
      <w:r w:rsidRPr="009F76B3">
        <w:rPr>
          <w:rFonts w:eastAsia="Montserrat" w:cs="Montserrat"/>
          <w:i/>
          <w:iCs/>
        </w:rPr>
        <w:t>International Social Work</w:t>
      </w:r>
      <w:r w:rsidRPr="009F76B3">
        <w:rPr>
          <w:rFonts w:eastAsia="Montserrat" w:cs="Montserrat"/>
        </w:rPr>
        <w:t xml:space="preserve">, </w:t>
      </w:r>
      <w:r w:rsidRPr="009F76B3">
        <w:rPr>
          <w:rFonts w:eastAsia="Montserrat" w:cs="Montserrat"/>
          <w:i/>
          <w:iCs/>
        </w:rPr>
        <w:t>62</w:t>
      </w:r>
      <w:r w:rsidRPr="009F76B3">
        <w:rPr>
          <w:rFonts w:eastAsia="Montserrat" w:cs="Montserrat"/>
        </w:rPr>
        <w:t>(6), 1522-1534.</w:t>
      </w:r>
    </w:p>
    <w:p w14:paraId="2C3D8D6F" w14:textId="4FA5752D" w:rsidR="00D478DB" w:rsidRPr="009F76B3" w:rsidRDefault="00D478DB" w:rsidP="00423EB2">
      <w:pPr>
        <w:widowControl/>
        <w:spacing w:before="120" w:after="0"/>
        <w:ind w:left="720" w:hanging="720"/>
      </w:pPr>
      <w:r w:rsidRPr="009F76B3">
        <w:rPr>
          <w:bCs/>
        </w:rPr>
        <w:t xml:space="preserve">Mohamed, J. (2021). Growing and supporting the Aboriginal and Torres Strait Islander health workforce. </w:t>
      </w:r>
      <w:r w:rsidRPr="009F76B3">
        <w:rPr>
          <w:bCs/>
          <w:i/>
          <w:iCs/>
        </w:rPr>
        <w:t>Aust Health Rev,</w:t>
      </w:r>
      <w:r w:rsidRPr="009F76B3">
        <w:rPr>
          <w:bCs/>
        </w:rPr>
        <w:t xml:space="preserve"> </w:t>
      </w:r>
      <w:r w:rsidRPr="009F76B3">
        <w:rPr>
          <w:bCs/>
          <w:i/>
          <w:iCs/>
        </w:rPr>
        <w:t>45</w:t>
      </w:r>
      <w:r w:rsidRPr="009F76B3">
        <w:rPr>
          <w:bCs/>
        </w:rPr>
        <w:t xml:space="preserve">(397), 10-1071. </w:t>
      </w:r>
      <w:hyperlink r:id="rId36" w:history="1">
        <w:r w:rsidRPr="009F76B3">
          <w:rPr>
            <w:rStyle w:val="Hyperlink"/>
            <w:rFonts w:ascii="Montserrat" w:hAnsi="Montserrat"/>
            <w:bCs/>
            <w:sz w:val="24"/>
          </w:rPr>
          <w:t>https://doi.org/10.1071/AHv45n4_ED2</w:t>
        </w:r>
      </w:hyperlink>
      <w:r w:rsidRPr="009F76B3">
        <w:rPr>
          <w:bCs/>
        </w:rPr>
        <w:t>.</w:t>
      </w:r>
    </w:p>
    <w:p w14:paraId="6461D6F3" w14:textId="59682DB7" w:rsidR="51CC4871" w:rsidRPr="009F76B3" w:rsidRDefault="51CC4871" w:rsidP="00423EB2">
      <w:pPr>
        <w:widowControl/>
        <w:spacing w:before="120" w:after="0"/>
        <w:ind w:left="720" w:hanging="720"/>
      </w:pPr>
      <w:r w:rsidRPr="009F76B3">
        <w:rPr>
          <w:rFonts w:eastAsia="Montserrat" w:cs="Montserrat"/>
        </w:rPr>
        <w:t xml:space="preserve">Moreton-Robinson, A. (2015). </w:t>
      </w:r>
      <w:r w:rsidRPr="009F76B3">
        <w:rPr>
          <w:rFonts w:eastAsia="Montserrat" w:cs="Montserrat"/>
          <w:i/>
          <w:iCs/>
        </w:rPr>
        <w:t>The white possessive: Property, power, and Indigenous sovereignty</w:t>
      </w:r>
      <w:r w:rsidRPr="009F76B3">
        <w:rPr>
          <w:rFonts w:eastAsia="Montserrat" w:cs="Montserrat"/>
        </w:rPr>
        <w:t>. University of Minnesota Press.</w:t>
      </w:r>
    </w:p>
    <w:p w14:paraId="32942E05" w14:textId="2B829D5E" w:rsidR="51CC4871" w:rsidRPr="009F76B3" w:rsidRDefault="51CC4871" w:rsidP="00423EB2">
      <w:pPr>
        <w:widowControl/>
        <w:spacing w:before="120" w:after="0"/>
        <w:ind w:left="720" w:hanging="720"/>
      </w:pPr>
      <w:r w:rsidRPr="009F76B3">
        <w:rPr>
          <w:rFonts w:eastAsia="Montserrat" w:cs="Montserrat"/>
        </w:rPr>
        <w:t xml:space="preserve">Moreton-Robinson, A. (2016). Relationality: A key presupposition of an Indigenous social research paradigm. In C. Andersen &amp; J. M. O’Brien (Eds.), </w:t>
      </w:r>
      <w:r w:rsidRPr="009F76B3">
        <w:rPr>
          <w:rFonts w:eastAsia="Montserrat" w:cs="Montserrat"/>
          <w:i/>
          <w:iCs/>
        </w:rPr>
        <w:t>Sources and Methods in Indigenous Studies</w:t>
      </w:r>
      <w:r w:rsidRPr="009F76B3">
        <w:rPr>
          <w:rFonts w:eastAsia="Montserrat" w:cs="Montserrat"/>
        </w:rPr>
        <w:t xml:space="preserve"> (pp. 69-77). Routledge. </w:t>
      </w:r>
      <w:hyperlink r:id="rId37">
        <w:r w:rsidRPr="009F76B3">
          <w:rPr>
            <w:rStyle w:val="Hyperlink"/>
            <w:rFonts w:ascii="Montserrat" w:eastAsia="Montserrat" w:hAnsi="Montserrat" w:cs="Montserrat"/>
            <w:color w:val="000000" w:themeColor="text1"/>
            <w:sz w:val="24"/>
          </w:rPr>
          <w:t>https://doi.org/10.4324/9781315528854</w:t>
        </w:r>
      </w:hyperlink>
      <w:r w:rsidRPr="009F76B3">
        <w:rPr>
          <w:rFonts w:eastAsia="Montserrat" w:cs="Montserrat"/>
        </w:rPr>
        <w:t xml:space="preserve"> </w:t>
      </w:r>
    </w:p>
    <w:p w14:paraId="01E99056" w14:textId="1D486C0F" w:rsidR="51CC4871" w:rsidRPr="009F76B3" w:rsidRDefault="51CC4871" w:rsidP="00423EB2">
      <w:pPr>
        <w:widowControl/>
        <w:spacing w:before="120" w:after="0"/>
        <w:ind w:left="720" w:hanging="720"/>
      </w:pPr>
      <w:r w:rsidRPr="009F76B3">
        <w:rPr>
          <w:rFonts w:eastAsia="Montserrat" w:cs="Montserrat"/>
        </w:rPr>
        <w:t xml:space="preserve">Nakata, M. (2007). </w:t>
      </w:r>
      <w:r w:rsidRPr="009F76B3">
        <w:rPr>
          <w:rFonts w:eastAsia="Montserrat" w:cs="Montserrat"/>
          <w:i/>
          <w:iCs/>
        </w:rPr>
        <w:t>Disciplining the savages, savaging the disciplines</w:t>
      </w:r>
      <w:r w:rsidRPr="009F76B3">
        <w:rPr>
          <w:rFonts w:eastAsia="Montserrat" w:cs="Montserrat"/>
        </w:rPr>
        <w:t xml:space="preserve">. Aboriginal Studies Press. </w:t>
      </w:r>
    </w:p>
    <w:p w14:paraId="30897B2B" w14:textId="4BCD7889" w:rsidR="00FA5D40" w:rsidRPr="009F76B3" w:rsidRDefault="00D74BD5" w:rsidP="00423EB2">
      <w:pPr>
        <w:widowControl/>
        <w:spacing w:before="120" w:after="0"/>
        <w:ind w:left="720" w:hanging="720"/>
        <w:rPr>
          <w:rFonts w:eastAsia="Montserrat" w:cs="Montserrat"/>
        </w:rPr>
      </w:pPr>
      <w:r w:rsidRPr="009F76B3">
        <w:rPr>
          <w:rFonts w:eastAsia="Montserrat" w:cs="Montserrat"/>
        </w:rPr>
        <w:t>National Aboriginal Community Controlled Health Organisation</w:t>
      </w:r>
      <w:r w:rsidR="002A3A6C" w:rsidRPr="009F76B3">
        <w:rPr>
          <w:rFonts w:eastAsia="Montserrat" w:cs="Montserrat"/>
        </w:rPr>
        <w:t xml:space="preserve"> (NACCHO)</w:t>
      </w:r>
      <w:r w:rsidRPr="009F76B3">
        <w:rPr>
          <w:rFonts w:eastAsia="Montserrat" w:cs="Montserrat"/>
        </w:rPr>
        <w:t xml:space="preserve">. (2021). </w:t>
      </w:r>
      <w:r w:rsidRPr="009F76B3">
        <w:rPr>
          <w:rFonts w:eastAsia="Montserrat" w:cs="Montserrat"/>
          <w:i/>
          <w:iCs/>
        </w:rPr>
        <w:t>Core services and outcomes framework: The model of Aboriginal and Torres Strait Islander community-controlled comprehensive primary health care</w:t>
      </w:r>
      <w:r w:rsidRPr="009F76B3">
        <w:rPr>
          <w:rFonts w:eastAsia="Montserrat" w:cs="Montserrat"/>
        </w:rPr>
        <w:t xml:space="preserve">. </w:t>
      </w:r>
      <w:r w:rsidR="00D07234" w:rsidRPr="009F76B3">
        <w:rPr>
          <w:rFonts w:eastAsia="Montserrat" w:cs="Montserrat"/>
        </w:rPr>
        <w:t xml:space="preserve">Retrieved online: </w:t>
      </w:r>
      <w:hyperlink r:id="rId38" w:history="1">
        <w:r w:rsidR="00D07234" w:rsidRPr="009F76B3">
          <w:rPr>
            <w:rStyle w:val="Hyperlink"/>
            <w:rFonts w:ascii="Montserrat" w:eastAsia="Montserrat" w:hAnsi="Montserrat" w:cs="Montserrat"/>
            <w:sz w:val="24"/>
          </w:rPr>
          <w:t>https://www.naccho.org.au/</w:t>
        </w:r>
      </w:hyperlink>
      <w:r w:rsidR="00D07234" w:rsidRPr="009F76B3">
        <w:rPr>
          <w:rFonts w:eastAsia="Montserrat" w:cs="Montserrat"/>
        </w:rPr>
        <w:t xml:space="preserve"> </w:t>
      </w:r>
    </w:p>
    <w:p w14:paraId="7C67221D" w14:textId="3528B59D" w:rsidR="51CC4871" w:rsidRPr="009F76B3" w:rsidRDefault="51CC4871" w:rsidP="00423EB2">
      <w:pPr>
        <w:widowControl/>
        <w:spacing w:before="120" w:after="0"/>
        <w:ind w:left="720" w:hanging="720"/>
      </w:pPr>
      <w:r w:rsidRPr="009F76B3">
        <w:rPr>
          <w:rFonts w:eastAsia="Montserrat" w:cs="Montserrat"/>
        </w:rPr>
        <w:t xml:space="preserve">National Indigenous Australians Agency (NIAA). (2020). </w:t>
      </w:r>
      <w:r w:rsidRPr="009F76B3">
        <w:rPr>
          <w:rFonts w:eastAsia="Montserrat" w:cs="Montserrat"/>
          <w:i/>
          <w:iCs/>
        </w:rPr>
        <w:t>National Agreement on Closing the Gap</w:t>
      </w:r>
      <w:r w:rsidRPr="009F76B3">
        <w:rPr>
          <w:rFonts w:eastAsia="Montserrat" w:cs="Montserrat"/>
        </w:rPr>
        <w:t>. Australian Government.</w:t>
      </w:r>
    </w:p>
    <w:p w14:paraId="3CA6C10F" w14:textId="38D1A795" w:rsidR="51CC4871" w:rsidRPr="009F76B3" w:rsidRDefault="51CC4871" w:rsidP="00423EB2">
      <w:pPr>
        <w:widowControl/>
        <w:spacing w:before="120" w:after="0"/>
        <w:ind w:left="720" w:hanging="720"/>
      </w:pPr>
      <w:r w:rsidRPr="009F76B3">
        <w:rPr>
          <w:rFonts w:eastAsia="Montserrat" w:cs="Montserrat"/>
        </w:rPr>
        <w:t xml:space="preserve">National Indigenous Australians Agency (NIAA). (2021a). </w:t>
      </w:r>
      <w:r w:rsidRPr="009F76B3">
        <w:rPr>
          <w:rFonts w:eastAsia="Montserrat" w:cs="Montserrat"/>
          <w:i/>
          <w:iCs/>
        </w:rPr>
        <w:t>Evaluation of the Time to Work Employment Service (TWES) – Final report</w:t>
      </w:r>
      <w:r w:rsidRPr="009F76B3">
        <w:rPr>
          <w:rFonts w:eastAsia="Montserrat" w:cs="Montserrat"/>
        </w:rPr>
        <w:t xml:space="preserve">. Australian Government. </w:t>
      </w:r>
      <w:hyperlink r:id="rId39">
        <w:r w:rsidRPr="009F76B3">
          <w:rPr>
            <w:rStyle w:val="Hyperlink"/>
            <w:rFonts w:ascii="Montserrat" w:eastAsia="Verdana" w:hAnsi="Montserrat" w:cs="Verdana"/>
            <w:sz w:val="24"/>
          </w:rPr>
          <w:t>https://www.niaa.gov.au/our-work/evaluations-and-evidence/indigenous-advancement-strategy-ias-evaluation-work-plan/time-work-employment-service-twes</w:t>
        </w:r>
      </w:hyperlink>
    </w:p>
    <w:p w14:paraId="640D5BEA" w14:textId="10631A2C" w:rsidR="51CC4871" w:rsidRPr="009F76B3" w:rsidRDefault="51CC4871" w:rsidP="00423EB2">
      <w:pPr>
        <w:widowControl/>
        <w:spacing w:before="120" w:after="0"/>
        <w:ind w:left="720" w:hanging="720"/>
      </w:pPr>
      <w:r w:rsidRPr="009F76B3">
        <w:rPr>
          <w:rFonts w:eastAsia="Montserrat" w:cs="Montserrat"/>
        </w:rPr>
        <w:t xml:space="preserve">National Indigenous Australians Agency (NIAA). (2021b). </w:t>
      </w:r>
      <w:r w:rsidRPr="009F76B3">
        <w:rPr>
          <w:rFonts w:eastAsia="Montserrat" w:cs="Montserrat"/>
          <w:i/>
          <w:iCs/>
        </w:rPr>
        <w:t>Evaluation of Indigenous Employment Programs – Final report</w:t>
      </w:r>
      <w:r w:rsidRPr="009F76B3">
        <w:rPr>
          <w:rFonts w:eastAsia="Montserrat" w:cs="Montserrat"/>
        </w:rPr>
        <w:t xml:space="preserve">. Australian Government. </w:t>
      </w:r>
      <w:hyperlink r:id="rId40">
        <w:r w:rsidRPr="009F76B3">
          <w:rPr>
            <w:rStyle w:val="Hyperlink"/>
            <w:rFonts w:ascii="Montserrat" w:eastAsia="Verdana" w:hAnsi="Montserrat" w:cs="Verdana"/>
            <w:sz w:val="24"/>
          </w:rPr>
          <w:t>https://www.niaa.gov.au/resource-centre/evaluation-indigenous-employment-programs-final-report</w:t>
        </w:r>
      </w:hyperlink>
      <w:r w:rsidRPr="009F76B3">
        <w:rPr>
          <w:rFonts w:eastAsia="Montserrat" w:cs="Montserrat"/>
        </w:rPr>
        <w:t xml:space="preserve"> </w:t>
      </w:r>
    </w:p>
    <w:p w14:paraId="7BF69AF3" w14:textId="4A7E5291" w:rsidR="51CC4871" w:rsidRPr="009F76B3" w:rsidRDefault="51CC4871" w:rsidP="00423EB2">
      <w:pPr>
        <w:widowControl/>
        <w:spacing w:before="120" w:after="0"/>
        <w:ind w:left="720" w:hanging="720"/>
      </w:pPr>
      <w:r w:rsidRPr="009F76B3">
        <w:rPr>
          <w:rFonts w:eastAsia="Montserrat" w:cs="Montserrat"/>
        </w:rPr>
        <w:t xml:space="preserve">National Indigenous Australians Agency (NIAA). (2025a). </w:t>
      </w:r>
      <w:r w:rsidRPr="009F76B3">
        <w:rPr>
          <w:rFonts w:eastAsia="Montserrat" w:cs="Montserrat"/>
          <w:i/>
          <w:iCs/>
        </w:rPr>
        <w:t>Corporate Plan 2025–29: Remote Jobs and Economic Development Program</w:t>
      </w:r>
      <w:r w:rsidRPr="009F76B3">
        <w:rPr>
          <w:rFonts w:eastAsia="Montserrat" w:cs="Montserrat"/>
        </w:rPr>
        <w:t xml:space="preserve">. Australian Government. </w:t>
      </w:r>
      <w:hyperlink r:id="rId41">
        <w:r w:rsidRPr="009F76B3">
          <w:rPr>
            <w:rStyle w:val="Hyperlink"/>
            <w:rFonts w:ascii="Montserrat" w:eastAsia="Verdana" w:hAnsi="Montserrat" w:cs="Verdana"/>
            <w:sz w:val="24"/>
          </w:rPr>
          <w:t>https://www.niaa.gov.au/niaa-corporate-plan-2025-29/our-performance/key-activity-3</w:t>
        </w:r>
      </w:hyperlink>
      <w:r w:rsidRPr="009F76B3">
        <w:rPr>
          <w:rFonts w:eastAsia="Montserrat" w:cs="Montserrat"/>
        </w:rPr>
        <w:t xml:space="preserve"> </w:t>
      </w:r>
    </w:p>
    <w:p w14:paraId="31D265A5" w14:textId="1DC47CD8" w:rsidR="51CC4871" w:rsidRPr="009F76B3" w:rsidRDefault="51CC4871" w:rsidP="00423EB2">
      <w:pPr>
        <w:widowControl/>
        <w:spacing w:before="120" w:after="0"/>
        <w:ind w:left="720" w:hanging="720"/>
      </w:pPr>
      <w:r w:rsidRPr="009F76B3">
        <w:rPr>
          <w:rFonts w:eastAsia="Montserrat" w:cs="Montserrat"/>
        </w:rPr>
        <w:lastRenderedPageBreak/>
        <w:t xml:space="preserve">National Indigenous Australians Agency (NIAA). (2025b). </w:t>
      </w:r>
      <w:r w:rsidRPr="009F76B3">
        <w:rPr>
          <w:rFonts w:eastAsia="Montserrat" w:cs="Montserrat"/>
          <w:i/>
          <w:iCs/>
        </w:rPr>
        <w:t>Community Development Program (CDP)</w:t>
      </w:r>
      <w:r w:rsidRPr="009F76B3">
        <w:rPr>
          <w:rFonts w:eastAsia="Montserrat" w:cs="Montserrat"/>
        </w:rPr>
        <w:t xml:space="preserve">. Australian Government. </w:t>
      </w:r>
      <w:hyperlink r:id="rId42">
        <w:r w:rsidRPr="009F76B3">
          <w:rPr>
            <w:rStyle w:val="Hyperlink"/>
            <w:rFonts w:ascii="Montserrat" w:eastAsia="Verdana" w:hAnsi="Montserrat" w:cs="Verdana"/>
            <w:sz w:val="24"/>
          </w:rPr>
          <w:t>https://www.niaa.gov.au/our-work/employment-and-economic-development/community-development-program-cdp</w:t>
        </w:r>
      </w:hyperlink>
    </w:p>
    <w:p w14:paraId="3909E23E" w14:textId="1C53ADB2" w:rsidR="51CC4871" w:rsidRPr="009F76B3" w:rsidRDefault="51CC4871" w:rsidP="00423EB2">
      <w:pPr>
        <w:widowControl/>
        <w:spacing w:before="120" w:after="0"/>
        <w:ind w:left="720" w:hanging="720"/>
      </w:pPr>
      <w:r w:rsidRPr="009F76B3">
        <w:rPr>
          <w:rFonts w:eastAsia="Montserrat" w:cs="Montserrat"/>
        </w:rPr>
        <w:t xml:space="preserve">Paez, A. (2017). Grey literature: An important resource in systematic reviews. </w:t>
      </w:r>
      <w:r w:rsidRPr="009F76B3">
        <w:rPr>
          <w:rFonts w:eastAsia="Montserrat" w:cs="Montserrat"/>
          <w:i/>
          <w:iCs/>
        </w:rPr>
        <w:t>Journal of Evidence-Based Medicine, 10</w:t>
      </w:r>
      <w:r w:rsidRPr="009F76B3">
        <w:rPr>
          <w:rFonts w:eastAsia="Montserrat" w:cs="Montserrat"/>
        </w:rPr>
        <w:t xml:space="preserve">(3), 233–240. </w:t>
      </w:r>
      <w:hyperlink r:id="rId43">
        <w:r w:rsidRPr="009F76B3">
          <w:rPr>
            <w:rStyle w:val="Hyperlink"/>
            <w:rFonts w:ascii="Montserrat" w:eastAsia="Verdana" w:hAnsi="Montserrat" w:cs="Verdana"/>
            <w:sz w:val="24"/>
          </w:rPr>
          <w:t>https://doi.org/10.1111/jebm.12265</w:t>
        </w:r>
      </w:hyperlink>
    </w:p>
    <w:p w14:paraId="6197AEA2" w14:textId="64312BB7" w:rsidR="51CC4871" w:rsidRPr="009F76B3" w:rsidRDefault="51CC4871" w:rsidP="00423EB2">
      <w:pPr>
        <w:widowControl/>
        <w:spacing w:before="120" w:after="0"/>
        <w:ind w:left="720" w:hanging="720"/>
      </w:pPr>
      <w:r w:rsidRPr="009F76B3">
        <w:rPr>
          <w:rFonts w:eastAsia="Montserrat" w:cs="Montserrat"/>
        </w:rPr>
        <w:t xml:space="preserve">Paradies, Y. (2016). Colonisation, racism and Indigenous health. </w:t>
      </w:r>
      <w:r w:rsidRPr="009F76B3">
        <w:rPr>
          <w:rFonts w:eastAsia="Montserrat" w:cs="Montserrat"/>
          <w:i/>
          <w:iCs/>
        </w:rPr>
        <w:t>Journal of Population Research, 33</w:t>
      </w:r>
      <w:r w:rsidRPr="009F76B3">
        <w:rPr>
          <w:rFonts w:eastAsia="Montserrat" w:cs="Montserrat"/>
        </w:rPr>
        <w:t xml:space="preserve">(1), 83–96. </w:t>
      </w:r>
      <w:hyperlink r:id="rId44">
        <w:r w:rsidRPr="009F76B3">
          <w:rPr>
            <w:rStyle w:val="Hyperlink"/>
            <w:rFonts w:ascii="Montserrat" w:eastAsia="Verdana" w:hAnsi="Montserrat" w:cs="Verdana"/>
            <w:sz w:val="24"/>
          </w:rPr>
          <w:t>https://doi.org/10.1007/s12546-016-9159-y</w:t>
        </w:r>
      </w:hyperlink>
    </w:p>
    <w:p w14:paraId="5E4DAF38" w14:textId="37E0C5C3" w:rsidR="51CC4871" w:rsidRPr="009F76B3" w:rsidRDefault="51CC4871" w:rsidP="00423EB2">
      <w:pPr>
        <w:widowControl/>
        <w:spacing w:before="120" w:after="0"/>
        <w:ind w:left="720" w:hanging="720"/>
      </w:pPr>
      <w:r w:rsidRPr="009F76B3">
        <w:rPr>
          <w:rFonts w:eastAsia="Montserrat" w:cs="Montserrat"/>
        </w:rPr>
        <w:t xml:space="preserve">Parmenter, J., Leroy-Dyer, S., &amp; Holcombe, S. (2024). Breaking the hierarchy: Exploring intersectional employment strategies in the Australian mining industry for Indigenous women. The Extractive Industries and Society 19 101480 1-10. </w:t>
      </w:r>
      <w:hyperlink r:id="rId45">
        <w:r w:rsidRPr="009F76B3">
          <w:rPr>
            <w:rStyle w:val="Hyperlink"/>
            <w:rFonts w:ascii="Montserrat" w:eastAsia="Verdana" w:hAnsi="Montserrat" w:cs="Verdana"/>
            <w:sz w:val="24"/>
          </w:rPr>
          <w:t>https://doi.org/10.1016/j.exis.2024.101480</w:t>
        </w:r>
      </w:hyperlink>
    </w:p>
    <w:p w14:paraId="5F82A649" w14:textId="533D014F" w:rsidR="51CC4871" w:rsidRPr="009F76B3" w:rsidRDefault="51CC4871" w:rsidP="00423EB2">
      <w:pPr>
        <w:widowControl/>
        <w:spacing w:before="120" w:after="0"/>
        <w:ind w:left="720" w:hanging="720"/>
      </w:pPr>
      <w:r w:rsidRPr="009F76B3">
        <w:rPr>
          <w:rFonts w:eastAsia="Montserrat" w:cs="Montserrat"/>
        </w:rPr>
        <w:t xml:space="preserve">Petticrew, M., &amp; Roberts, H. (2006). </w:t>
      </w:r>
      <w:r w:rsidRPr="009F76B3">
        <w:rPr>
          <w:rFonts w:eastAsia="Montserrat" w:cs="Montserrat"/>
          <w:i/>
          <w:iCs/>
        </w:rPr>
        <w:t>Systematic reviews in the social sciences: A practical guide</w:t>
      </w:r>
      <w:r w:rsidRPr="009F76B3">
        <w:rPr>
          <w:rFonts w:eastAsia="Montserrat" w:cs="Montserrat"/>
        </w:rPr>
        <w:t xml:space="preserve">. Blackwell Publishing. </w:t>
      </w:r>
    </w:p>
    <w:p w14:paraId="755BE8E2" w14:textId="32577BCC" w:rsidR="51CC4871" w:rsidRPr="009F76B3" w:rsidRDefault="51CC4871" w:rsidP="00423EB2">
      <w:pPr>
        <w:widowControl/>
        <w:spacing w:before="120" w:after="0"/>
        <w:ind w:left="720" w:hanging="720"/>
      </w:pPr>
      <w:r w:rsidRPr="009F76B3">
        <w:rPr>
          <w:rFonts w:eastAsia="Montserrat" w:cs="Montserrat"/>
        </w:rPr>
        <w:t xml:space="preserve">Popay, J., Roberts, H., Sowden, A., Petticrew, M., Arai, L., Rodgers, M., Britten, N., Roen, K., &amp; Duffy, S. (2006). </w:t>
      </w:r>
      <w:r w:rsidRPr="009F76B3">
        <w:rPr>
          <w:rFonts w:eastAsia="Montserrat" w:cs="Montserrat"/>
          <w:i/>
          <w:iCs/>
        </w:rPr>
        <w:t>Guidance on the conduct of narrative synthesis in systematic reviews</w:t>
      </w:r>
      <w:r w:rsidRPr="009F76B3">
        <w:rPr>
          <w:rFonts w:eastAsia="Montserrat" w:cs="Montserrat"/>
        </w:rPr>
        <w:t>. ESRC Methods Programme, Lancaster University.</w:t>
      </w:r>
    </w:p>
    <w:p w14:paraId="2108885E" w14:textId="501FE189" w:rsidR="51CC4871" w:rsidRPr="009F76B3" w:rsidRDefault="51CC4871" w:rsidP="00423EB2">
      <w:pPr>
        <w:widowControl/>
        <w:spacing w:before="120" w:after="0"/>
        <w:ind w:left="720" w:hanging="720"/>
      </w:pPr>
      <w:r w:rsidRPr="009F76B3">
        <w:rPr>
          <w:rFonts w:eastAsia="Montserrat" w:cs="Montserrat"/>
        </w:rPr>
        <w:t xml:space="preserve">Productivity Commission. (2011). </w:t>
      </w:r>
      <w:r w:rsidRPr="009F76B3">
        <w:rPr>
          <w:rFonts w:eastAsia="Montserrat" w:cs="Montserrat"/>
          <w:i/>
          <w:iCs/>
        </w:rPr>
        <w:t>Disability care and support</w:t>
      </w:r>
      <w:r w:rsidRPr="009F76B3">
        <w:rPr>
          <w:rFonts w:eastAsia="Montserrat" w:cs="Montserrat"/>
        </w:rPr>
        <w:t xml:space="preserve"> (Report No. 54). Australian Government.</w:t>
      </w:r>
    </w:p>
    <w:p w14:paraId="2C49EAEC" w14:textId="30677E64" w:rsidR="51CC4871" w:rsidRPr="009F76B3" w:rsidRDefault="51CC4871" w:rsidP="00423EB2">
      <w:pPr>
        <w:widowControl/>
        <w:spacing w:before="120" w:after="0"/>
        <w:ind w:left="720" w:hanging="720"/>
      </w:pPr>
      <w:r w:rsidRPr="009F76B3">
        <w:rPr>
          <w:rFonts w:eastAsia="Montserrat" w:cs="Montserrat"/>
        </w:rPr>
        <w:t xml:space="preserve">Productivity Commission. (2018). </w:t>
      </w:r>
      <w:r w:rsidRPr="009F76B3">
        <w:rPr>
          <w:rFonts w:eastAsia="Montserrat" w:cs="Montserrat"/>
          <w:i/>
          <w:iCs/>
        </w:rPr>
        <w:t>Inquiry into the Community Development Programme</w:t>
      </w:r>
      <w:r w:rsidRPr="009F76B3">
        <w:rPr>
          <w:rFonts w:eastAsia="Montserrat" w:cs="Montserrat"/>
        </w:rPr>
        <w:t>. Australian Government.</w:t>
      </w:r>
    </w:p>
    <w:p w14:paraId="6165FED8" w14:textId="18EE49B5" w:rsidR="51CC4871" w:rsidRPr="009F76B3" w:rsidRDefault="51CC4871" w:rsidP="00423EB2">
      <w:pPr>
        <w:widowControl/>
        <w:spacing w:before="120" w:after="0"/>
        <w:ind w:left="720" w:hanging="720"/>
      </w:pPr>
      <w:r w:rsidRPr="009F76B3">
        <w:rPr>
          <w:rFonts w:eastAsia="Montserrat" w:cs="Montserrat"/>
        </w:rPr>
        <w:t xml:space="preserve">Productivity Commission. (2020). </w:t>
      </w:r>
      <w:r w:rsidRPr="009F76B3">
        <w:rPr>
          <w:rFonts w:eastAsia="Montserrat" w:cs="Montserrat"/>
          <w:i/>
          <w:iCs/>
        </w:rPr>
        <w:t>Indigenous evaluation strategy</w:t>
      </w:r>
      <w:r w:rsidRPr="009F76B3">
        <w:rPr>
          <w:rFonts w:eastAsia="Montserrat" w:cs="Montserrat"/>
        </w:rPr>
        <w:t>. Australian Government.</w:t>
      </w:r>
    </w:p>
    <w:p w14:paraId="50C84CBD" w14:textId="45F33363" w:rsidR="51CC4871" w:rsidRPr="009F76B3" w:rsidRDefault="51CC4871" w:rsidP="00423EB2">
      <w:pPr>
        <w:widowControl/>
        <w:spacing w:before="120" w:after="0"/>
        <w:ind w:left="720" w:hanging="720"/>
      </w:pPr>
      <w:r w:rsidRPr="009F76B3">
        <w:rPr>
          <w:rFonts w:eastAsia="Montserrat" w:cs="Montserrat"/>
        </w:rPr>
        <w:t xml:space="preserve">Ramsden, I. (2002). </w:t>
      </w:r>
      <w:r w:rsidRPr="009F76B3">
        <w:rPr>
          <w:rFonts w:eastAsia="Montserrat" w:cs="Montserrat"/>
          <w:i/>
          <w:iCs/>
        </w:rPr>
        <w:t xml:space="preserve">Cultural safety and nursing education in Aotearoa and </w:t>
      </w:r>
      <w:proofErr w:type="spellStart"/>
      <w:r w:rsidRPr="009F76B3">
        <w:rPr>
          <w:rFonts w:eastAsia="Montserrat" w:cs="Montserrat"/>
          <w:i/>
          <w:iCs/>
        </w:rPr>
        <w:t>Te</w:t>
      </w:r>
      <w:proofErr w:type="spellEnd"/>
      <w:r w:rsidRPr="009F76B3">
        <w:rPr>
          <w:rFonts w:eastAsia="Montserrat" w:cs="Montserrat"/>
          <w:i/>
          <w:iCs/>
        </w:rPr>
        <w:t xml:space="preserve"> Waipounamu</w:t>
      </w:r>
      <w:r w:rsidRPr="009F76B3">
        <w:rPr>
          <w:rFonts w:eastAsia="Montserrat" w:cs="Montserrat"/>
        </w:rPr>
        <w:t xml:space="preserve"> (Doctoral thesis, Victoria University of Wellington).</w:t>
      </w:r>
    </w:p>
    <w:p w14:paraId="1102610B" w14:textId="7C9E2182" w:rsidR="51CC4871" w:rsidRPr="009F76B3" w:rsidRDefault="51CC4871" w:rsidP="00423EB2">
      <w:pPr>
        <w:widowControl/>
        <w:spacing w:before="120" w:after="0"/>
        <w:ind w:left="720" w:hanging="720"/>
      </w:pPr>
      <w:r w:rsidRPr="009F76B3">
        <w:rPr>
          <w:rFonts w:eastAsia="Montserrat" w:cs="Montserrat"/>
        </w:rPr>
        <w:t xml:space="preserve">Rigney, L.-I. (1999). Internationalization of an Indigenous anticolonial cultural critique of research methodologies: A guide to Indigenist research methodology and its principles. </w:t>
      </w:r>
      <w:proofErr w:type="spellStart"/>
      <w:r w:rsidRPr="009F76B3">
        <w:rPr>
          <w:rFonts w:eastAsia="Montserrat" w:cs="Montserrat"/>
          <w:i/>
          <w:iCs/>
        </w:rPr>
        <w:t>Wicazo</w:t>
      </w:r>
      <w:proofErr w:type="spellEnd"/>
      <w:r w:rsidRPr="009F76B3">
        <w:rPr>
          <w:rFonts w:eastAsia="Montserrat" w:cs="Montserrat"/>
          <w:i/>
          <w:iCs/>
        </w:rPr>
        <w:t xml:space="preserve"> Sa Review, 14</w:t>
      </w:r>
      <w:r w:rsidRPr="009F76B3">
        <w:rPr>
          <w:rFonts w:eastAsia="Montserrat" w:cs="Montserrat"/>
        </w:rPr>
        <w:t xml:space="preserve">(2), 109–121. </w:t>
      </w:r>
      <w:hyperlink r:id="rId46">
        <w:r w:rsidRPr="009F76B3">
          <w:rPr>
            <w:rStyle w:val="Hyperlink"/>
            <w:rFonts w:ascii="Montserrat" w:eastAsia="Verdana" w:hAnsi="Montserrat" w:cs="Verdana"/>
            <w:sz w:val="24"/>
          </w:rPr>
          <w:t>https://doi.org/10.2307/1409555</w:t>
        </w:r>
      </w:hyperlink>
      <w:r w:rsidRPr="009F76B3">
        <w:rPr>
          <w:rFonts w:eastAsia="Montserrat" w:cs="Montserrat"/>
        </w:rPr>
        <w:t xml:space="preserve"> </w:t>
      </w:r>
    </w:p>
    <w:p w14:paraId="4695354D" w14:textId="1E75E896" w:rsidR="51CC4871" w:rsidRPr="009F76B3" w:rsidRDefault="51CC4871" w:rsidP="00423EB2">
      <w:pPr>
        <w:widowControl/>
        <w:spacing w:before="120" w:after="0"/>
        <w:ind w:left="720" w:hanging="720"/>
      </w:pPr>
      <w:r w:rsidRPr="009F76B3">
        <w:rPr>
          <w:rFonts w:eastAsia="Montserrat" w:cs="Montserrat"/>
        </w:rPr>
        <w:t xml:space="preserve">Sherwood, J. (2013). Colonisation – It’s bad for your health: The context of Aboriginal health. </w:t>
      </w:r>
      <w:r w:rsidRPr="009F76B3">
        <w:rPr>
          <w:rFonts w:eastAsia="Montserrat" w:cs="Montserrat"/>
          <w:i/>
          <w:iCs/>
        </w:rPr>
        <w:t>Contemporary Nurse, 46</w:t>
      </w:r>
      <w:r w:rsidRPr="009F76B3">
        <w:rPr>
          <w:rFonts w:eastAsia="Montserrat" w:cs="Montserrat"/>
        </w:rPr>
        <w:t xml:space="preserve">(1), 28–40. </w:t>
      </w:r>
      <w:hyperlink r:id="rId47">
        <w:r w:rsidRPr="009F76B3">
          <w:rPr>
            <w:rStyle w:val="Hyperlink"/>
            <w:rFonts w:ascii="Montserrat" w:eastAsia="Verdana" w:hAnsi="Montserrat" w:cs="Verdana"/>
            <w:sz w:val="24"/>
          </w:rPr>
          <w:t>https://doi.org/10.5172/conu.2013.46.1.28</w:t>
        </w:r>
      </w:hyperlink>
      <w:r w:rsidRPr="009F76B3">
        <w:rPr>
          <w:rFonts w:eastAsia="Montserrat" w:cs="Montserrat"/>
        </w:rPr>
        <w:t xml:space="preserve"> </w:t>
      </w:r>
    </w:p>
    <w:p w14:paraId="445B72F9" w14:textId="4C04705B" w:rsidR="51CC4871" w:rsidRPr="009F76B3" w:rsidRDefault="51CC4871" w:rsidP="00423EB2">
      <w:pPr>
        <w:widowControl/>
        <w:spacing w:before="120" w:after="0"/>
        <w:ind w:left="720" w:hanging="720"/>
      </w:pPr>
      <w:r w:rsidRPr="009F76B3">
        <w:rPr>
          <w:rFonts w:eastAsia="Montserrat" w:cs="Montserrat"/>
        </w:rPr>
        <w:t xml:space="preserve">Smith, L. T. (2012). </w:t>
      </w:r>
      <w:r w:rsidRPr="009F76B3">
        <w:rPr>
          <w:rFonts w:eastAsia="Montserrat" w:cs="Montserrat"/>
          <w:i/>
          <w:iCs/>
        </w:rPr>
        <w:t>Decolonizing methodologies: Research and Indigenous peoples</w:t>
      </w:r>
      <w:r w:rsidRPr="009F76B3">
        <w:rPr>
          <w:rFonts w:eastAsia="Montserrat" w:cs="Montserrat"/>
        </w:rPr>
        <w:t xml:space="preserve"> (2nd ed.). Zed Books.</w:t>
      </w:r>
    </w:p>
    <w:p w14:paraId="562D4215" w14:textId="09CE4F68" w:rsidR="51CC4871" w:rsidRPr="009F76B3" w:rsidRDefault="51CC4871" w:rsidP="00423EB2">
      <w:pPr>
        <w:widowControl/>
        <w:spacing w:before="120" w:after="0"/>
        <w:ind w:left="720" w:hanging="720"/>
      </w:pPr>
      <w:r w:rsidRPr="009F76B3">
        <w:rPr>
          <w:rFonts w:eastAsia="Montserrat" w:cs="Montserrat"/>
        </w:rPr>
        <w:lastRenderedPageBreak/>
        <w:t xml:space="preserve">Smith, L. T. (2021). </w:t>
      </w:r>
      <w:r w:rsidRPr="009F76B3">
        <w:rPr>
          <w:rFonts w:eastAsia="Montserrat" w:cs="Montserrat"/>
          <w:i/>
          <w:iCs/>
        </w:rPr>
        <w:t>Decolonizing methodologies: Research and Indigenous peoples</w:t>
      </w:r>
      <w:r w:rsidRPr="009F76B3">
        <w:rPr>
          <w:rFonts w:eastAsia="Montserrat" w:cs="Montserrat"/>
        </w:rPr>
        <w:t xml:space="preserve"> (3rd ed.). Zed Books.</w:t>
      </w:r>
    </w:p>
    <w:p w14:paraId="0F474466" w14:textId="3C984425" w:rsidR="51CC4871" w:rsidRPr="009F76B3" w:rsidRDefault="51CC4871" w:rsidP="00423EB2">
      <w:pPr>
        <w:widowControl/>
        <w:spacing w:before="120" w:after="0"/>
        <w:ind w:left="720" w:hanging="720"/>
      </w:pPr>
      <w:proofErr w:type="spellStart"/>
      <w:r w:rsidRPr="009F76B3">
        <w:rPr>
          <w:rFonts w:eastAsia="Montserrat" w:cs="Montserrat"/>
        </w:rPr>
        <w:t>Soldatic</w:t>
      </w:r>
      <w:proofErr w:type="spellEnd"/>
      <w:r w:rsidRPr="009F76B3">
        <w:rPr>
          <w:rFonts w:eastAsia="Montserrat" w:cs="Montserrat"/>
        </w:rPr>
        <w:t xml:space="preserve">, K. (2018). </w:t>
      </w:r>
      <w:proofErr w:type="spellStart"/>
      <w:r w:rsidRPr="009F76B3">
        <w:rPr>
          <w:rFonts w:eastAsia="Montserrat" w:cs="Montserrat"/>
        </w:rPr>
        <w:t>Neoliberalising</w:t>
      </w:r>
      <w:proofErr w:type="spellEnd"/>
      <w:r w:rsidRPr="009F76B3">
        <w:rPr>
          <w:rFonts w:eastAsia="Montserrat" w:cs="Montserrat"/>
        </w:rPr>
        <w:t xml:space="preserve"> disability income reform: What does this mean for Indigenous Australians living in regional areas? In D. Howard-Wagner, M. </w:t>
      </w:r>
      <w:proofErr w:type="spellStart"/>
      <w:r w:rsidRPr="009F76B3">
        <w:rPr>
          <w:rFonts w:eastAsia="Montserrat" w:cs="Montserrat"/>
        </w:rPr>
        <w:t>Bargh</w:t>
      </w:r>
      <w:proofErr w:type="spellEnd"/>
      <w:r w:rsidRPr="009F76B3">
        <w:rPr>
          <w:rFonts w:eastAsia="Montserrat" w:cs="Montserrat"/>
        </w:rPr>
        <w:t xml:space="preserve">, &amp; I. Altamirano-Jimenez (Eds.), </w:t>
      </w:r>
      <w:r w:rsidRPr="009F76B3">
        <w:rPr>
          <w:rFonts w:eastAsia="Montserrat" w:cs="Montserrat"/>
          <w:i/>
          <w:iCs/>
        </w:rPr>
        <w:t>The neoliberal state, recognition and Indigenous rights: New paternalism to new imaginings</w:t>
      </w:r>
      <w:r w:rsidRPr="009F76B3">
        <w:rPr>
          <w:rFonts w:eastAsia="Montserrat" w:cs="Montserrat"/>
        </w:rPr>
        <w:t xml:space="preserve">. The Australian National University. </w:t>
      </w:r>
    </w:p>
    <w:p w14:paraId="0AABBC5B" w14:textId="34C01900" w:rsidR="51CC4871" w:rsidRPr="009F76B3" w:rsidRDefault="51CC4871" w:rsidP="00423EB2">
      <w:pPr>
        <w:widowControl/>
        <w:spacing w:before="120" w:after="0"/>
        <w:ind w:left="720" w:hanging="720"/>
      </w:pPr>
      <w:r w:rsidRPr="009F76B3">
        <w:rPr>
          <w:lang w:val="en-US"/>
        </w:rPr>
        <w:t xml:space="preserve">Talbot, F., Gilroy, J., Gwynn, J., Bulkeley, K., </w:t>
      </w:r>
      <w:proofErr w:type="spellStart"/>
      <w:r w:rsidRPr="009F76B3">
        <w:rPr>
          <w:lang w:val="en-US"/>
        </w:rPr>
        <w:t>Alcorso</w:t>
      </w:r>
      <w:proofErr w:type="spellEnd"/>
      <w:r w:rsidRPr="009F76B3">
        <w:rPr>
          <w:lang w:val="en-US"/>
        </w:rPr>
        <w:t xml:space="preserve">, C., Gwynne, K., Heard, R., Peter, S., Haines, A., Lincoln, M., &amp; </w:t>
      </w:r>
      <w:proofErr w:type="spellStart"/>
      <w:r w:rsidRPr="009F76B3">
        <w:rPr>
          <w:lang w:val="en-US"/>
        </w:rPr>
        <w:t>Rambaldini</w:t>
      </w:r>
      <w:proofErr w:type="spellEnd"/>
      <w:r w:rsidRPr="009F76B3">
        <w:rPr>
          <w:lang w:val="en-US"/>
        </w:rPr>
        <w:t xml:space="preserve">, B. (2025). Implementing an Indigenous research methodology to develop a culturally appropriate survey and yarning protocol: Challenges with retention of the Aboriginal health, ageing and disability workforce. </w:t>
      </w:r>
      <w:r w:rsidRPr="009F76B3">
        <w:rPr>
          <w:i/>
          <w:lang w:val="en-US"/>
        </w:rPr>
        <w:t>Australian Journal of Social Issues, 60</w:t>
      </w:r>
      <w:r w:rsidRPr="009F76B3">
        <w:rPr>
          <w:lang w:val="en-US"/>
        </w:rPr>
        <w:t xml:space="preserve">(x), 1–11. </w:t>
      </w:r>
      <w:hyperlink r:id="rId48">
        <w:r w:rsidRPr="009F76B3">
          <w:rPr>
            <w:rStyle w:val="Hyperlink"/>
            <w:rFonts w:ascii="Montserrat" w:hAnsi="Montserrat"/>
            <w:sz w:val="24"/>
            <w:lang w:val="en-US"/>
          </w:rPr>
          <w:t>https://doi.org/10.1002/ajs4.70071</w:t>
        </w:r>
      </w:hyperlink>
      <w:r w:rsidRPr="009F76B3">
        <w:rPr>
          <w:rFonts w:eastAsia="Montserrat" w:cs="Montserrat"/>
          <w:lang w:val="en-US"/>
        </w:rPr>
        <w:t xml:space="preserve"> </w:t>
      </w:r>
    </w:p>
    <w:p w14:paraId="5019FE61" w14:textId="6BC5DB05" w:rsidR="51CC4871" w:rsidRPr="009F76B3" w:rsidRDefault="51CC4871" w:rsidP="00423EB2">
      <w:pPr>
        <w:widowControl/>
        <w:spacing w:before="120" w:after="0"/>
        <w:ind w:left="720" w:hanging="720"/>
      </w:pPr>
      <w:r w:rsidRPr="009F76B3">
        <w:rPr>
          <w:lang w:val="en-US"/>
        </w:rPr>
        <w:t xml:space="preserve">Temple, J. B., Wong, H., Ferdinand, A., Avery, S., Paradies, Y., &amp; Kelaher, M. (2020). Exposure to interpersonal racism and avoidance </w:t>
      </w:r>
      <w:proofErr w:type="spellStart"/>
      <w:r w:rsidRPr="009F76B3">
        <w:rPr>
          <w:lang w:val="en-US"/>
        </w:rPr>
        <w:t>behaviours</w:t>
      </w:r>
      <w:proofErr w:type="spellEnd"/>
      <w:r w:rsidRPr="009F76B3">
        <w:rPr>
          <w:lang w:val="en-US"/>
        </w:rPr>
        <w:t xml:space="preserve"> reported by Aboriginal and Torres Strait Islander people with a disability. </w:t>
      </w:r>
      <w:r w:rsidRPr="009F76B3">
        <w:rPr>
          <w:i/>
          <w:lang w:val="en-US"/>
        </w:rPr>
        <w:t>Australian Journal of Social Issues, 55</w:t>
      </w:r>
      <w:r w:rsidRPr="009F76B3">
        <w:rPr>
          <w:lang w:val="en-US"/>
        </w:rPr>
        <w:t xml:space="preserve">(3), 376–395. </w:t>
      </w:r>
      <w:hyperlink r:id="rId49">
        <w:r w:rsidRPr="009F76B3">
          <w:rPr>
            <w:rStyle w:val="Hyperlink"/>
            <w:rFonts w:ascii="Montserrat" w:hAnsi="Montserrat"/>
            <w:color w:val="000000" w:themeColor="text1"/>
            <w:sz w:val="24"/>
            <w:lang w:val="en-US"/>
          </w:rPr>
          <w:t>https://doi.org/10.1002/ajs4.126</w:t>
        </w:r>
      </w:hyperlink>
      <w:r w:rsidRPr="009F76B3">
        <w:rPr>
          <w:rFonts w:eastAsia="Montserrat" w:cs="Montserrat"/>
          <w:lang w:val="en-US"/>
        </w:rPr>
        <w:t xml:space="preserve"> </w:t>
      </w:r>
    </w:p>
    <w:p w14:paraId="2D6BF77F" w14:textId="3F2CD029" w:rsidR="51CC4871" w:rsidRPr="009F76B3" w:rsidRDefault="51CC4871" w:rsidP="00423EB2">
      <w:pPr>
        <w:widowControl/>
        <w:spacing w:before="120" w:after="0"/>
        <w:ind w:left="720" w:hanging="720"/>
      </w:pPr>
      <w:r w:rsidRPr="009F76B3">
        <w:rPr>
          <w:lang w:val="en-US"/>
        </w:rPr>
        <w:t>Veli</w:t>
      </w:r>
      <w:r w:rsidRPr="009F76B3">
        <w:noBreakHyphen/>
      </w:r>
      <w:r w:rsidRPr="009F76B3">
        <w:rPr>
          <w:lang w:val="en-US"/>
        </w:rPr>
        <w:t xml:space="preserve">Gold, S., Gilroy, J., Wright, W., Bulkeley, K., Jensen, H., Dew, A., &amp; Lincoln, M. (2023). The experiences of people with disability and their families/carers navigating the NDIS planning process in regional, rural and remote regions of Australia: Scoping review. </w:t>
      </w:r>
      <w:r w:rsidRPr="009F76B3">
        <w:rPr>
          <w:i/>
          <w:lang w:val="en-US"/>
        </w:rPr>
        <w:t>Australian Journal of Rural Health, 31</w:t>
      </w:r>
      <w:r w:rsidRPr="009F76B3">
        <w:rPr>
          <w:lang w:val="en-US"/>
        </w:rPr>
        <w:t xml:space="preserve">(4), 631–647. </w:t>
      </w:r>
      <w:hyperlink r:id="rId50">
        <w:r w:rsidRPr="009F76B3">
          <w:rPr>
            <w:rStyle w:val="Hyperlink"/>
            <w:rFonts w:ascii="Montserrat" w:hAnsi="Montserrat"/>
            <w:color w:val="000000" w:themeColor="text1"/>
            <w:sz w:val="24"/>
            <w:lang w:val="en-US"/>
          </w:rPr>
          <w:t>https://doi.org/10.1111/ajr.13011</w:t>
        </w:r>
      </w:hyperlink>
      <w:r w:rsidRPr="009F76B3">
        <w:rPr>
          <w:rFonts w:eastAsia="Montserrat" w:cs="Montserrat"/>
          <w:lang w:val="en-US"/>
        </w:rPr>
        <w:t xml:space="preserve"> </w:t>
      </w:r>
    </w:p>
    <w:p w14:paraId="70964B22" w14:textId="151B8487" w:rsidR="51CC4871" w:rsidRPr="009F76B3" w:rsidRDefault="51CC4871" w:rsidP="00423EB2">
      <w:pPr>
        <w:widowControl/>
        <w:spacing w:before="120" w:after="0"/>
        <w:ind w:left="720" w:hanging="720"/>
      </w:pPr>
      <w:r w:rsidRPr="009F76B3">
        <w:rPr>
          <w:rFonts w:eastAsia="Montserrat" w:cs="Montserrat"/>
        </w:rPr>
        <w:t xml:space="preserve">Walter, M., &amp; Andersen, C. (2013). </w:t>
      </w:r>
      <w:r w:rsidRPr="009F76B3">
        <w:rPr>
          <w:rFonts w:eastAsia="Montserrat" w:cs="Montserrat"/>
          <w:i/>
          <w:iCs/>
        </w:rPr>
        <w:t>Indigenous statistics: A quantitative research methodology</w:t>
      </w:r>
      <w:r w:rsidRPr="009F76B3">
        <w:rPr>
          <w:rFonts w:eastAsia="Montserrat" w:cs="Montserrat"/>
        </w:rPr>
        <w:t xml:space="preserve">. Routledge. </w:t>
      </w:r>
    </w:p>
    <w:p w14:paraId="06427168" w14:textId="13DCEC0C" w:rsidR="51CC4871" w:rsidRPr="009F76B3" w:rsidRDefault="51CC4871" w:rsidP="00423EB2">
      <w:pPr>
        <w:widowControl/>
        <w:spacing w:before="120" w:after="0"/>
        <w:ind w:left="720" w:hanging="720"/>
      </w:pPr>
      <w:r w:rsidRPr="009F76B3">
        <w:rPr>
          <w:rFonts w:eastAsia="Montserrat" w:cs="Montserrat"/>
        </w:rPr>
        <w:t xml:space="preserve">Williams, R. (2023). </w:t>
      </w:r>
      <w:proofErr w:type="spellStart"/>
      <w:r w:rsidRPr="009F76B3">
        <w:rPr>
          <w:rFonts w:eastAsia="Montserrat" w:cs="Montserrat"/>
        </w:rPr>
        <w:t>Gongan</w:t>
      </w:r>
      <w:proofErr w:type="spellEnd"/>
      <w:r w:rsidRPr="009F76B3">
        <w:rPr>
          <w:rFonts w:eastAsia="Montserrat" w:cs="Montserrat"/>
        </w:rPr>
        <w:t xml:space="preserve"> Business Model–Working Across the Cultural Interface of Business. In </w:t>
      </w:r>
      <w:r w:rsidRPr="009F76B3">
        <w:rPr>
          <w:rFonts w:eastAsia="Montserrat" w:cs="Montserrat"/>
          <w:i/>
          <w:iCs/>
        </w:rPr>
        <w:t>Heritage, Indigenous Doing, and Wellbeing</w:t>
      </w:r>
      <w:r w:rsidRPr="009F76B3">
        <w:rPr>
          <w:rFonts w:eastAsia="Montserrat" w:cs="Montserrat"/>
        </w:rPr>
        <w:t xml:space="preserve"> (pp. 62-75). Routledge. </w:t>
      </w:r>
    </w:p>
    <w:p w14:paraId="6A4700C6" w14:textId="5B8350C6" w:rsidR="5C99C6EE" w:rsidRDefault="5C99C6EE" w:rsidP="00423EB2">
      <w:pPr>
        <w:widowControl/>
        <w:spacing w:before="0" w:after="0"/>
      </w:pPr>
    </w:p>
    <w:bookmarkEnd w:id="83"/>
    <w:p w14:paraId="10F24E8B" w14:textId="56918DD4" w:rsidR="00C252C9" w:rsidRPr="00B777C7" w:rsidRDefault="00C252C9" w:rsidP="00B777C7">
      <w:pPr>
        <w:widowControl/>
        <w:spacing w:before="0" w:after="0"/>
        <w:rPr>
          <w:rFonts w:eastAsiaTheme="majorEastAsia" w:cstheme="majorBidi"/>
          <w:b/>
          <w:color w:val="65328F" w:themeColor="accent1"/>
          <w:sz w:val="44"/>
          <w:szCs w:val="32"/>
        </w:rPr>
      </w:pPr>
    </w:p>
    <w:sectPr w:rsidR="00C252C9" w:rsidRPr="00B777C7" w:rsidSect="000E7A65">
      <w:headerReference w:type="even" r:id="rId51"/>
      <w:headerReference w:type="default" r:id="rId52"/>
      <w:footerReference w:type="even" r:id="rId53"/>
      <w:headerReference w:type="first" r:id="rId54"/>
      <w:footerReference w:type="first" r:id="rId55"/>
      <w:pgSz w:w="11906" w:h="16838" w:code="9"/>
      <w:pgMar w:top="1134" w:right="1134" w:bottom="1134" w:left="1134"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63C40" w14:textId="77777777" w:rsidR="00C01BFB" w:rsidRDefault="00C01BFB" w:rsidP="001F0C25">
      <w:r>
        <w:separator/>
      </w:r>
    </w:p>
  </w:endnote>
  <w:endnote w:type="continuationSeparator" w:id="0">
    <w:p w14:paraId="2656053B" w14:textId="77777777" w:rsidR="00C01BFB" w:rsidRDefault="00C01BFB" w:rsidP="001F0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font>
  <w:font w:name="Poppins">
    <w:panose1 w:val="00000500000000000000"/>
    <w:charset w:val="00"/>
    <w:family w:val="auto"/>
    <w:pitch w:val="variable"/>
    <w:sig w:usb0="00008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Roboto Medium">
    <w:panose1 w:val="02000000000000000000"/>
    <w:charset w:val="00"/>
    <w:family w:val="auto"/>
    <w:pitch w:val="variable"/>
    <w:sig w:usb0="E0000AFF" w:usb1="5000217F" w:usb2="00000021" w:usb3="00000000" w:csb0="0000019F" w:csb1="00000000"/>
  </w:font>
  <w:font w:name="Univers">
    <w:panose1 w:val="020B0503020202020204"/>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ource Sans Pro Light">
    <w:panose1 w:val="020B0403030403020204"/>
    <w:charset w:val="00"/>
    <w:family w:val="swiss"/>
    <w:pitch w:val="variable"/>
    <w:sig w:usb0="600002F7" w:usb1="02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28" w:type="dxa"/>
        <w:right w:w="0" w:type="dxa"/>
      </w:tblCellMar>
      <w:tblLook w:val="04A0" w:firstRow="1" w:lastRow="0" w:firstColumn="1" w:lastColumn="0" w:noHBand="0" w:noVBand="1"/>
    </w:tblPr>
    <w:tblGrid>
      <w:gridCol w:w="9302"/>
      <w:gridCol w:w="336"/>
    </w:tblGrid>
    <w:tr w:rsidR="00824DA9" w:rsidRPr="001A33B7" w14:paraId="0BDC668F" w14:textId="77777777" w:rsidTr="00824DA9">
      <w:trPr>
        <w:trHeight w:val="601"/>
      </w:trPr>
      <w:tc>
        <w:tcPr>
          <w:tcW w:w="9849" w:type="dxa"/>
          <w:vAlign w:val="bottom"/>
        </w:tcPr>
        <w:p w14:paraId="31D4CF9D" w14:textId="2BF622EF" w:rsidR="00824DA9" w:rsidRPr="00A517DB" w:rsidRDefault="00824DA9" w:rsidP="00A517DB">
          <w:pPr>
            <w:rPr>
              <w:lang w:val="en-AU"/>
            </w:rPr>
          </w:pPr>
          <w:r w:rsidRPr="006F22A6">
            <w:rPr>
              <w:lang w:val="en-AU"/>
            </w:rPr>
            <w:t>CIE evidence review report</w:t>
          </w:r>
        </w:p>
      </w:tc>
      <w:tc>
        <w:tcPr>
          <w:tcW w:w="355" w:type="dxa"/>
          <w:vAlign w:val="bottom"/>
        </w:tcPr>
        <w:p w14:paraId="4C2D95E6" w14:textId="591A1105" w:rsidR="00824DA9" w:rsidRPr="001A33B7" w:rsidRDefault="00824DA9" w:rsidP="00A517DB">
          <w:pPr>
            <w:rPr>
              <w:lang w:val="en-AU"/>
            </w:rPr>
          </w:pPr>
        </w:p>
      </w:tc>
    </w:tr>
  </w:tbl>
  <w:p w14:paraId="215732CD" w14:textId="77777777" w:rsidR="00950BCC" w:rsidRDefault="00950BCC" w:rsidP="001F0C25">
    <w:pPr>
      <w:pStyle w:val="Footer"/>
    </w:pPr>
  </w:p>
  <w:p w14:paraId="29449474" w14:textId="77777777" w:rsidR="00D855A8" w:rsidRDefault="00D855A8" w:rsidP="001F0C25"/>
  <w:p w14:paraId="46FFDF89" w14:textId="77777777" w:rsidR="00D855A8" w:rsidRDefault="00D855A8" w:rsidP="001F0C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CellMar>
        <w:left w:w="0" w:type="dxa"/>
        <w:right w:w="0" w:type="dxa"/>
      </w:tblCellMar>
      <w:tblLook w:val="04A0" w:firstRow="1" w:lastRow="0" w:firstColumn="1" w:lastColumn="0" w:noHBand="0" w:noVBand="1"/>
    </w:tblPr>
    <w:tblGrid>
      <w:gridCol w:w="4814"/>
      <w:gridCol w:w="4814"/>
    </w:tblGrid>
    <w:tr w:rsidR="007B4B39" w14:paraId="6BCDF0AE" w14:textId="77777777" w:rsidTr="006C1951">
      <w:tc>
        <w:tcPr>
          <w:tcW w:w="4814" w:type="dxa"/>
          <w:tcBorders>
            <w:top w:val="nil"/>
            <w:left w:val="nil"/>
            <w:bottom w:val="nil"/>
            <w:right w:val="nil"/>
          </w:tcBorders>
        </w:tcPr>
        <w:p w14:paraId="6D22B336" w14:textId="77777777" w:rsidR="007B4B39" w:rsidRDefault="007B4B39" w:rsidP="007B4B39">
          <w:pPr>
            <w:pStyle w:val="Footer"/>
          </w:pPr>
          <w:r w:rsidRPr="005A69C4">
            <w:t>What works in employment for Aboriginal and Torres Strait Islander peoples with disability. An Indigenous-led evidence synthesis report</w:t>
          </w:r>
        </w:p>
      </w:tc>
      <w:tc>
        <w:tcPr>
          <w:tcW w:w="4814" w:type="dxa"/>
          <w:tcBorders>
            <w:top w:val="nil"/>
            <w:left w:val="nil"/>
            <w:bottom w:val="nil"/>
            <w:right w:val="nil"/>
          </w:tcBorders>
        </w:tcPr>
        <w:p w14:paraId="67420BDC" w14:textId="77777777" w:rsidR="007B4B39" w:rsidRDefault="007B4B39" w:rsidP="007B4B39">
          <w:pPr>
            <w:pStyle w:val="Footer"/>
            <w:jc w:val="right"/>
          </w:pPr>
          <w:r>
            <w:t xml:space="preserve">Page </w:t>
          </w:r>
          <w:r>
            <w:fldChar w:fldCharType="begin"/>
          </w:r>
          <w:r>
            <w:instrText xml:space="preserve"> PAGE   \* MERGEFORMAT </w:instrText>
          </w:r>
          <w:r>
            <w:fldChar w:fldCharType="separate"/>
          </w:r>
          <w:r>
            <w:rPr>
              <w:noProof/>
            </w:rPr>
            <w:t>1</w:t>
          </w:r>
          <w:r>
            <w:rPr>
              <w:noProof/>
            </w:rPr>
            <w:fldChar w:fldCharType="end"/>
          </w:r>
        </w:p>
      </w:tc>
    </w:tr>
  </w:tbl>
  <w:p w14:paraId="5AFDF9C2" w14:textId="77777777" w:rsidR="00927FA1" w:rsidRPr="0039482E" w:rsidRDefault="00927FA1" w:rsidP="001F0C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CellMar>
        <w:left w:w="0" w:type="dxa"/>
        <w:right w:w="0" w:type="dxa"/>
      </w:tblCellMar>
      <w:tblLook w:val="04A0" w:firstRow="1" w:lastRow="0" w:firstColumn="1" w:lastColumn="0" w:noHBand="0" w:noVBand="1"/>
    </w:tblPr>
    <w:tblGrid>
      <w:gridCol w:w="3908"/>
      <w:gridCol w:w="5730"/>
    </w:tblGrid>
    <w:tr w:rsidR="0037216A" w14:paraId="492B0809" w14:textId="77777777" w:rsidTr="00F347FF">
      <w:tc>
        <w:tcPr>
          <w:tcW w:w="4111" w:type="dxa"/>
          <w:tcBorders>
            <w:top w:val="nil"/>
            <w:left w:val="nil"/>
            <w:bottom w:val="nil"/>
            <w:right w:val="nil"/>
          </w:tcBorders>
          <w:vAlign w:val="bottom"/>
        </w:tcPr>
        <w:p w14:paraId="67941010" w14:textId="31739575" w:rsidR="0037216A" w:rsidRDefault="0037216A" w:rsidP="001F0C25">
          <w:pPr>
            <w:pStyle w:val="Footer"/>
          </w:pPr>
        </w:p>
      </w:tc>
      <w:tc>
        <w:tcPr>
          <w:tcW w:w="5517" w:type="dxa"/>
          <w:tcBorders>
            <w:top w:val="nil"/>
            <w:left w:val="nil"/>
            <w:bottom w:val="nil"/>
            <w:right w:val="nil"/>
          </w:tcBorders>
        </w:tcPr>
        <w:p w14:paraId="3639241C" w14:textId="77777777" w:rsidR="0037216A" w:rsidRDefault="0037216A" w:rsidP="001F0C25">
          <w:pPr>
            <w:pStyle w:val="Footer"/>
          </w:pPr>
          <w:r>
            <w:rPr>
              <w:noProof/>
            </w:rPr>
            <w:drawing>
              <wp:inline distT="0" distB="0" distL="0" distR="0" wp14:anchorId="754F0319" wp14:editId="1221547D">
                <wp:extent cx="3632400" cy="324000"/>
                <wp:effectExtent l="0" t="0" r="6350" b="0"/>
                <wp:docPr id="306421069" name="Picture 1" descr="Co-branded logos of consortium members – Centre for Social Impact Swinburne, Disability Employment Australia, Family Advocacy, Inclusion Australia, National Disability Services and the University of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86766" name="Picture 1" descr="Co-branded logos of consortium members – Centre for Social Impact Swinburne, Disability Employment Australia, Family Advocacy, Inclusion Australia, National Disability Services and the University of Melbourne."/>
                        <pic:cNvPicPr/>
                      </pic:nvPicPr>
                      <pic:blipFill>
                        <a:blip r:embed="rId1">
                          <a:extLst>
                            <a:ext uri="{28A0092B-C50C-407E-A947-70E740481C1C}">
                              <a14:useLocalDpi xmlns:a14="http://schemas.microsoft.com/office/drawing/2010/main" val="0"/>
                            </a:ext>
                          </a:extLst>
                        </a:blip>
                        <a:stretch>
                          <a:fillRect/>
                        </a:stretch>
                      </pic:blipFill>
                      <pic:spPr>
                        <a:xfrm>
                          <a:off x="0" y="0"/>
                          <a:ext cx="3632400" cy="324000"/>
                        </a:xfrm>
                        <a:prstGeom prst="rect">
                          <a:avLst/>
                        </a:prstGeom>
                      </pic:spPr>
                    </pic:pic>
                  </a:graphicData>
                </a:graphic>
              </wp:inline>
            </w:drawing>
          </w:r>
        </w:p>
      </w:tc>
    </w:tr>
  </w:tbl>
  <w:p w14:paraId="12E00E26" w14:textId="77777777" w:rsidR="00927FA1" w:rsidRDefault="00927FA1" w:rsidP="001F0C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5ACC5" w14:textId="2FA7DF29" w:rsidR="00951AA4" w:rsidRDefault="00951AA4" w:rsidP="001F0C2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28" w:type="dxa"/>
        <w:right w:w="0" w:type="dxa"/>
      </w:tblCellMar>
      <w:tblLook w:val="04A0" w:firstRow="1" w:lastRow="0" w:firstColumn="1" w:lastColumn="0" w:noHBand="0" w:noVBand="1"/>
    </w:tblPr>
    <w:tblGrid>
      <w:gridCol w:w="9302"/>
      <w:gridCol w:w="336"/>
    </w:tblGrid>
    <w:tr w:rsidR="00824DA9" w:rsidRPr="001A33B7" w14:paraId="73ACD83C" w14:textId="77777777" w:rsidTr="00824DA9">
      <w:trPr>
        <w:trHeight w:val="601"/>
      </w:trPr>
      <w:tc>
        <w:tcPr>
          <w:tcW w:w="9849" w:type="dxa"/>
          <w:vAlign w:val="bottom"/>
        </w:tcPr>
        <w:p w14:paraId="04D240EF" w14:textId="580BE00E" w:rsidR="00824DA9" w:rsidRPr="00A517DB" w:rsidRDefault="00824DA9" w:rsidP="00A517DB">
          <w:pPr>
            <w:rPr>
              <w:lang w:val="en-AU"/>
            </w:rPr>
          </w:pPr>
          <w:r w:rsidRPr="006F22A6">
            <w:rPr>
              <w:lang w:val="en-AU"/>
            </w:rPr>
            <w:t>CIE evidence review report</w:t>
          </w:r>
        </w:p>
      </w:tc>
      <w:tc>
        <w:tcPr>
          <w:tcW w:w="355" w:type="dxa"/>
          <w:vAlign w:val="bottom"/>
        </w:tcPr>
        <w:p w14:paraId="1111D1DD" w14:textId="5A9F60DC" w:rsidR="00824DA9" w:rsidRPr="001A33B7" w:rsidRDefault="00824DA9" w:rsidP="00A517DB">
          <w:pPr>
            <w:rPr>
              <w:lang w:val="en-AU"/>
            </w:rPr>
          </w:pPr>
        </w:p>
      </w:tc>
    </w:tr>
  </w:tbl>
  <w:p w14:paraId="48F0648A" w14:textId="77777777" w:rsidR="00950BCC" w:rsidRDefault="00950BCC" w:rsidP="001F0C25">
    <w:pPr>
      <w:pStyle w:val="Footer"/>
    </w:pPr>
  </w:p>
  <w:p w14:paraId="494DEDCE" w14:textId="77777777" w:rsidR="00D855A8" w:rsidRDefault="00D855A8" w:rsidP="001F0C25"/>
  <w:p w14:paraId="4DA8D259" w14:textId="77777777" w:rsidR="00D855A8" w:rsidRDefault="00D855A8" w:rsidP="001F0C2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CellMar>
        <w:left w:w="0" w:type="dxa"/>
        <w:right w:w="0" w:type="dxa"/>
      </w:tblCellMar>
      <w:tblLook w:val="04A0" w:firstRow="1" w:lastRow="0" w:firstColumn="1" w:lastColumn="0" w:noHBand="0" w:noVBand="1"/>
    </w:tblPr>
    <w:tblGrid>
      <w:gridCol w:w="3908"/>
      <w:gridCol w:w="5730"/>
    </w:tblGrid>
    <w:tr w:rsidR="0037216A" w14:paraId="3A6D5708" w14:textId="77777777" w:rsidTr="00F347FF">
      <w:tc>
        <w:tcPr>
          <w:tcW w:w="4111" w:type="dxa"/>
          <w:tcBorders>
            <w:top w:val="nil"/>
            <w:left w:val="nil"/>
            <w:bottom w:val="nil"/>
            <w:right w:val="nil"/>
          </w:tcBorders>
          <w:vAlign w:val="bottom"/>
        </w:tcPr>
        <w:p w14:paraId="79885354" w14:textId="77777777" w:rsidR="0037216A" w:rsidRDefault="0037216A" w:rsidP="001F0C25">
          <w:pPr>
            <w:pStyle w:val="Footer"/>
          </w:pPr>
          <w:r w:rsidRPr="00927FA1">
            <w:t>centreforinclusiveemployment.au</w:t>
          </w:r>
        </w:p>
      </w:tc>
      <w:tc>
        <w:tcPr>
          <w:tcW w:w="5517" w:type="dxa"/>
          <w:tcBorders>
            <w:top w:val="nil"/>
            <w:left w:val="nil"/>
            <w:bottom w:val="nil"/>
            <w:right w:val="nil"/>
          </w:tcBorders>
        </w:tcPr>
        <w:p w14:paraId="7DF1A5AA" w14:textId="77777777" w:rsidR="0037216A" w:rsidRDefault="0037216A" w:rsidP="001F0C25">
          <w:pPr>
            <w:pStyle w:val="Footer"/>
          </w:pPr>
          <w:r>
            <w:rPr>
              <w:noProof/>
            </w:rPr>
            <w:drawing>
              <wp:inline distT="0" distB="0" distL="0" distR="0" wp14:anchorId="5C1F6D54" wp14:editId="3CB226E0">
                <wp:extent cx="3632400" cy="324000"/>
                <wp:effectExtent l="0" t="0" r="6350" b="0"/>
                <wp:docPr id="62072400" name="Picture 1" descr="Co-branded logos of consortium members – Centre for Social Impact Swinburne, Disability Employment Australia, Family Advocacy, Inclusion Australia, National Disability Services and the University of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86766" name="Picture 1" descr="Co-branded logos of consortium members – Centre for Social Impact Swinburne, Disability Employment Australia, Family Advocacy, Inclusion Australia, National Disability Services and the University of Melbourne."/>
                        <pic:cNvPicPr/>
                      </pic:nvPicPr>
                      <pic:blipFill>
                        <a:blip r:embed="rId1">
                          <a:extLst>
                            <a:ext uri="{28A0092B-C50C-407E-A947-70E740481C1C}">
                              <a14:useLocalDpi xmlns:a14="http://schemas.microsoft.com/office/drawing/2010/main" val="0"/>
                            </a:ext>
                          </a:extLst>
                        </a:blip>
                        <a:stretch>
                          <a:fillRect/>
                        </a:stretch>
                      </pic:blipFill>
                      <pic:spPr>
                        <a:xfrm>
                          <a:off x="0" y="0"/>
                          <a:ext cx="3632400" cy="324000"/>
                        </a:xfrm>
                        <a:prstGeom prst="rect">
                          <a:avLst/>
                        </a:prstGeom>
                      </pic:spPr>
                    </pic:pic>
                  </a:graphicData>
                </a:graphic>
              </wp:inline>
            </w:drawing>
          </w:r>
        </w:p>
      </w:tc>
    </w:tr>
  </w:tbl>
  <w:p w14:paraId="0FB09385" w14:textId="77777777" w:rsidR="00927FA1" w:rsidRDefault="00927FA1" w:rsidP="001F0C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35CAD" w14:textId="77777777" w:rsidR="00C01BFB" w:rsidRDefault="00C01BFB" w:rsidP="001F0C25">
      <w:bookmarkStart w:id="0" w:name="_Hlk480808360"/>
      <w:bookmarkEnd w:id="0"/>
      <w:r>
        <w:separator/>
      </w:r>
    </w:p>
  </w:footnote>
  <w:footnote w:type="continuationSeparator" w:id="0">
    <w:p w14:paraId="04C82DFA" w14:textId="77777777" w:rsidR="00C01BFB" w:rsidRDefault="00C01BFB" w:rsidP="001F0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3528E" w14:textId="3490C3CD" w:rsidR="00206DA1" w:rsidRDefault="007531E5">
    <w:pPr>
      <w:pStyle w:val="Header"/>
    </w:pPr>
    <w:r>
      <w:rPr>
        <w:noProof/>
      </w:rPr>
      <mc:AlternateContent>
        <mc:Choice Requires="wps">
          <w:drawing>
            <wp:anchor distT="0" distB="0" distL="0" distR="0" simplePos="0" relativeHeight="251658242" behindDoc="0" locked="0" layoutInCell="1" allowOverlap="1" wp14:anchorId="30B45BC0" wp14:editId="5A468199">
              <wp:simplePos x="635" y="635"/>
              <wp:positionH relativeFrom="page">
                <wp:align>left</wp:align>
              </wp:positionH>
              <wp:positionV relativeFrom="page">
                <wp:align>top</wp:align>
              </wp:positionV>
              <wp:extent cx="741045" cy="520700"/>
              <wp:effectExtent l="0" t="0" r="1905" b="12700"/>
              <wp:wrapNone/>
              <wp:docPr id="1854027406"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1045" cy="520700"/>
                      </a:xfrm>
                      <a:prstGeom prst="rect">
                        <a:avLst/>
                      </a:prstGeom>
                      <a:noFill/>
                      <a:ln>
                        <a:noFill/>
                      </a:ln>
                    </wps:spPr>
                    <wps:txbx>
                      <w:txbxContent>
                        <w:p w14:paraId="73F51576" w14:textId="1C45334D" w:rsidR="007531E5" w:rsidRPr="007531E5" w:rsidRDefault="007531E5" w:rsidP="001F0C25">
                          <w:pPr>
                            <w:rPr>
                              <w:noProof/>
                            </w:rPr>
                          </w:pPr>
                          <w:r w:rsidRPr="007531E5">
                            <w:rPr>
                              <w:noProof/>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0B45BC0" id="_x0000_t202" coordsize="21600,21600" o:spt="202" path="m,l,21600r21600,l21600,xe">
              <v:stroke joinstyle="miter"/>
              <v:path gradientshapeok="t" o:connecttype="rect"/>
            </v:shapetype>
            <v:shape id="Text Box 2" o:spid="_x0000_s1026" type="#_x0000_t202" alt="Internal" style="position:absolute;margin-left:0;margin-top:0;width:58.35pt;height:41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" filled="f" stroked="f">
              <v:textbox style="mso-fit-shape-to-text:t" inset="20pt,15pt,0,0">
                <w:txbxContent>
                  <w:p w14:paraId="73F51576" w14:textId="1C45334D" w:rsidR="007531E5" w:rsidRPr="007531E5" w:rsidRDefault="007531E5" w:rsidP="001F0C25">
                    <w:pPr>
                      <w:rPr>
                        <w:noProof/>
                      </w:rPr>
                    </w:pPr>
                    <w:r w:rsidRPr="007531E5">
                      <w:rPr>
                        <w:noProof/>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E5964" w14:textId="3345224C" w:rsidR="0039482E" w:rsidRDefault="0039482E">
    <w:pPr>
      <w:pStyle w:val="Header"/>
    </w:pPr>
    <w:r>
      <w:rPr>
        <w:noProof/>
      </w:rPr>
      <w:drawing>
        <wp:anchor distT="0" distB="0" distL="114300" distR="114300" simplePos="0" relativeHeight="251658241" behindDoc="1" locked="0" layoutInCell="1" allowOverlap="1" wp14:anchorId="373D7012" wp14:editId="7E417D5F">
          <wp:simplePos x="0" y="0"/>
          <wp:positionH relativeFrom="page">
            <wp:posOffset>5775960</wp:posOffset>
          </wp:positionH>
          <wp:positionV relativeFrom="page">
            <wp:posOffset>-106680</wp:posOffset>
          </wp:positionV>
          <wp:extent cx="1893600" cy="1893600"/>
          <wp:effectExtent l="0" t="0" r="0" b="0"/>
          <wp:wrapNone/>
          <wp:docPr id="78364917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78311"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189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Ind w:w="-462" w:type="dxa"/>
      <w:tblCellMar>
        <w:left w:w="0" w:type="dxa"/>
        <w:right w:w="0" w:type="dxa"/>
      </w:tblCellMar>
      <w:tblLook w:val="04A0" w:firstRow="1" w:lastRow="0" w:firstColumn="1" w:lastColumn="0" w:noHBand="0" w:noVBand="1"/>
    </w:tblPr>
    <w:tblGrid>
      <w:gridCol w:w="10100"/>
    </w:tblGrid>
    <w:tr w:rsidR="006D7267" w14:paraId="49C9B230" w14:textId="77777777" w:rsidTr="006D7267">
      <w:trPr>
        <w:trHeight w:val="1984"/>
      </w:trPr>
      <w:tc>
        <w:tcPr>
          <w:tcW w:w="10100" w:type="dxa"/>
          <w:tcBorders>
            <w:top w:val="nil"/>
            <w:left w:val="nil"/>
            <w:bottom w:val="nil"/>
            <w:right w:val="nil"/>
          </w:tcBorders>
        </w:tcPr>
        <w:p w14:paraId="6B37767E" w14:textId="24C4629C" w:rsidR="006D7267" w:rsidRDefault="006D7267" w:rsidP="006D7267">
          <w:pPr>
            <w:pStyle w:val="Header"/>
          </w:pPr>
          <w:r>
            <w:rPr>
              <w:noProof/>
            </w:rPr>
            <w:drawing>
              <wp:inline distT="0" distB="0" distL="0" distR="0" wp14:anchorId="06AA671E" wp14:editId="1D07CAFF">
                <wp:extent cx="1435611" cy="783338"/>
                <wp:effectExtent l="0" t="0" r="0" b="0"/>
                <wp:docPr id="1231188270" name="Picture 2" descr="Centre for Inclusive Employment Logo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4980" name="Picture 2" descr="Centre for Inclusive Employment Logo on a white background."/>
                        <pic:cNvPicPr/>
                      </pic:nvPicPr>
                      <pic:blipFill>
                        <a:blip r:embed="rId1">
                          <a:extLst>
                            <a:ext uri="{28A0092B-C50C-407E-A947-70E740481C1C}">
                              <a14:useLocalDpi xmlns:a14="http://schemas.microsoft.com/office/drawing/2010/main" val="0"/>
                            </a:ext>
                          </a:extLst>
                        </a:blip>
                        <a:stretch>
                          <a:fillRect/>
                        </a:stretch>
                      </pic:blipFill>
                      <pic:spPr>
                        <a:xfrm>
                          <a:off x="0" y="0"/>
                          <a:ext cx="1435611" cy="783338"/>
                        </a:xfrm>
                        <a:prstGeom prst="rect">
                          <a:avLst/>
                        </a:prstGeom>
                      </pic:spPr>
                    </pic:pic>
                  </a:graphicData>
                </a:graphic>
              </wp:inline>
            </w:drawing>
          </w:r>
        </w:p>
      </w:tc>
    </w:tr>
  </w:tbl>
  <w:p w14:paraId="59C5C35D" w14:textId="77777777" w:rsidR="006D7267" w:rsidRDefault="006D7267">
    <w:pPr>
      <w:pStyle w:val="Header"/>
    </w:pPr>
    <w:r>
      <w:rPr>
        <w:noProof/>
      </w:rPr>
      <w:drawing>
        <wp:anchor distT="0" distB="0" distL="114300" distR="114300" simplePos="0" relativeHeight="251658240" behindDoc="1" locked="0" layoutInCell="1" allowOverlap="1" wp14:anchorId="5F182F01" wp14:editId="2F0DAD3B">
          <wp:simplePos x="0" y="0"/>
          <wp:positionH relativeFrom="column">
            <wp:posOffset>5060892</wp:posOffset>
          </wp:positionH>
          <wp:positionV relativeFrom="paragraph">
            <wp:posOffset>-1655445</wp:posOffset>
          </wp:positionV>
          <wp:extent cx="1892812" cy="1892812"/>
          <wp:effectExtent l="0" t="0" r="0" b="0"/>
          <wp:wrapNone/>
          <wp:docPr id="1824188757" name="Picture 3" descr="A decorative graphic that is part of the CIE logo. It is four concentric circles that in the order of purple, red, red and then purple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00775" name="Picture 3" descr="A decorative graphic that is part of the CIE logo. It is four concentric circles that in the order of purple, red, red and then purple on a white background."/>
                  <pic:cNvPicPr/>
                </pic:nvPicPr>
                <pic:blipFill>
                  <a:blip r:embed="rId2">
                    <a:extLst>
                      <a:ext uri="{28A0092B-C50C-407E-A947-70E740481C1C}">
                        <a14:useLocalDpi xmlns:a14="http://schemas.microsoft.com/office/drawing/2010/main" val="0"/>
                      </a:ext>
                    </a:extLst>
                  </a:blip>
                  <a:stretch>
                    <a:fillRect/>
                  </a:stretch>
                </pic:blipFill>
                <pic:spPr>
                  <a:xfrm>
                    <a:off x="0" y="0"/>
                    <a:ext cx="1892812" cy="1892812"/>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A6755" w14:textId="77777777" w:rsidR="00CE4E61" w:rsidRDefault="00D7082B">
    <w:pPr>
      <w:pStyle w:val="Header"/>
    </w:pPr>
    <w:r>
      <w:rPr>
        <w:noProof/>
      </w:rPr>
      <mc:AlternateContent>
        <mc:Choice Requires="wps">
          <w:drawing>
            <wp:anchor distT="0" distB="0" distL="0" distR="0" simplePos="0" relativeHeight="251658245" behindDoc="0" locked="0" layoutInCell="1" allowOverlap="1" wp14:anchorId="279D965D" wp14:editId="639E2395">
              <wp:simplePos x="635" y="635"/>
              <wp:positionH relativeFrom="page">
                <wp:align>left</wp:align>
              </wp:positionH>
              <wp:positionV relativeFrom="page">
                <wp:align>top</wp:align>
              </wp:positionV>
              <wp:extent cx="741045" cy="520700"/>
              <wp:effectExtent l="0" t="0" r="1905" b="12700"/>
              <wp:wrapNone/>
              <wp:docPr id="13939544"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1045" cy="520700"/>
                      </a:xfrm>
                      <a:prstGeom prst="rect">
                        <a:avLst/>
                      </a:prstGeom>
                      <a:noFill/>
                      <a:ln>
                        <a:noFill/>
                      </a:ln>
                    </wps:spPr>
                    <wps:txbx>
                      <w:txbxContent>
                        <w:p w14:paraId="6E055413" w14:textId="77777777" w:rsidR="00D7082B" w:rsidRPr="009B2C48" w:rsidRDefault="00D7082B" w:rsidP="001F0C25">
                          <w:pPr>
                            <w:rPr>
                              <w:noProof/>
                            </w:rPr>
                          </w:pPr>
                          <w:r w:rsidRPr="009B2C48">
                            <w:rPr>
                              <w:noProof/>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79D965D" id="_x0000_t202" coordsize="21600,21600" o:spt="202" path="m,l,21600r21600,l21600,xe">
              <v:stroke joinstyle="miter"/>
              <v:path gradientshapeok="t" o:connecttype="rect"/>
            </v:shapetype>
            <v:shape id="_x0000_s1027" type="#_x0000_t202" alt="Internal" style="position:absolute;margin-left:0;margin-top:0;width:58.35pt;height:41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" filled="f" stroked="f">
              <v:textbox style="mso-fit-shape-to-text:t" inset="20pt,15pt,0,0">
                <w:txbxContent>
                  <w:p w14:paraId="6E055413" w14:textId="77777777" w:rsidR="00D7082B" w:rsidRPr="009B2C48" w:rsidRDefault="00D7082B" w:rsidP="001F0C25">
                    <w:pPr>
                      <w:rPr>
                        <w:noProof/>
                      </w:rPr>
                    </w:pPr>
                    <w:r w:rsidRPr="009B2C48">
                      <w:rPr>
                        <w:noProof/>
                      </w:rPr>
                      <w:t>Internal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CADCD" w14:textId="59ECE46E" w:rsidR="0039482E" w:rsidRDefault="0039482E">
    <w:pPr>
      <w:pStyle w:val="Header"/>
    </w:pPr>
    <w:r>
      <w:rPr>
        <w:noProof/>
      </w:rPr>
      <w:drawing>
        <wp:anchor distT="0" distB="0" distL="114300" distR="114300" simplePos="0" relativeHeight="251658244" behindDoc="1" locked="0" layoutInCell="1" allowOverlap="1" wp14:anchorId="46B6F032" wp14:editId="7004363C">
          <wp:simplePos x="0" y="0"/>
          <wp:positionH relativeFrom="page">
            <wp:posOffset>5775960</wp:posOffset>
          </wp:positionH>
          <wp:positionV relativeFrom="page">
            <wp:posOffset>-106680</wp:posOffset>
          </wp:positionV>
          <wp:extent cx="1893600" cy="1893600"/>
          <wp:effectExtent l="0" t="0" r="0" b="0"/>
          <wp:wrapNone/>
          <wp:docPr id="9084190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78311"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189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Ind w:w="-462" w:type="dxa"/>
      <w:tblCellMar>
        <w:left w:w="0" w:type="dxa"/>
        <w:right w:w="0" w:type="dxa"/>
      </w:tblCellMar>
      <w:tblLook w:val="04A0" w:firstRow="1" w:lastRow="0" w:firstColumn="1" w:lastColumn="0" w:noHBand="0" w:noVBand="1"/>
    </w:tblPr>
    <w:tblGrid>
      <w:gridCol w:w="10100"/>
    </w:tblGrid>
    <w:tr w:rsidR="006D7267" w14:paraId="57D0184C" w14:textId="77777777" w:rsidTr="006D7267">
      <w:trPr>
        <w:trHeight w:val="1984"/>
      </w:trPr>
      <w:tc>
        <w:tcPr>
          <w:tcW w:w="10100" w:type="dxa"/>
          <w:tcBorders>
            <w:top w:val="nil"/>
            <w:left w:val="nil"/>
            <w:bottom w:val="nil"/>
            <w:right w:val="nil"/>
          </w:tcBorders>
        </w:tcPr>
        <w:p w14:paraId="008DB7C8" w14:textId="77777777" w:rsidR="006D7267" w:rsidRDefault="006D7267" w:rsidP="006D7267">
          <w:pPr>
            <w:pStyle w:val="Header"/>
          </w:pPr>
          <w:r>
            <w:rPr>
              <w:noProof/>
            </w:rPr>
            <w:drawing>
              <wp:inline distT="0" distB="0" distL="0" distR="0" wp14:anchorId="1A1A0E22" wp14:editId="749CFCA6">
                <wp:extent cx="1435611" cy="783338"/>
                <wp:effectExtent l="0" t="0" r="0" b="0"/>
                <wp:docPr id="1924861474" name="Picture 2" descr="Centre for Inclusive Employment Logo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4980" name="Picture 2" descr="Centre for Inclusive Employment Logo on a white background."/>
                        <pic:cNvPicPr/>
                      </pic:nvPicPr>
                      <pic:blipFill>
                        <a:blip r:embed="rId1">
                          <a:extLst>
                            <a:ext uri="{28A0092B-C50C-407E-A947-70E740481C1C}">
                              <a14:useLocalDpi xmlns:a14="http://schemas.microsoft.com/office/drawing/2010/main" val="0"/>
                            </a:ext>
                          </a:extLst>
                        </a:blip>
                        <a:stretch>
                          <a:fillRect/>
                        </a:stretch>
                      </pic:blipFill>
                      <pic:spPr>
                        <a:xfrm>
                          <a:off x="0" y="0"/>
                          <a:ext cx="1435611" cy="783338"/>
                        </a:xfrm>
                        <a:prstGeom prst="rect">
                          <a:avLst/>
                        </a:prstGeom>
                      </pic:spPr>
                    </pic:pic>
                  </a:graphicData>
                </a:graphic>
              </wp:inline>
            </w:drawing>
          </w:r>
        </w:p>
      </w:tc>
    </w:tr>
  </w:tbl>
  <w:p w14:paraId="6540EEA1" w14:textId="77777777" w:rsidR="006D7267" w:rsidRDefault="006D7267">
    <w:pPr>
      <w:pStyle w:val="Header"/>
    </w:pPr>
    <w:r>
      <w:rPr>
        <w:noProof/>
      </w:rPr>
      <w:drawing>
        <wp:anchor distT="0" distB="0" distL="114300" distR="114300" simplePos="0" relativeHeight="251658243" behindDoc="1" locked="0" layoutInCell="1" allowOverlap="1" wp14:anchorId="45956564" wp14:editId="0F5F7530">
          <wp:simplePos x="0" y="0"/>
          <wp:positionH relativeFrom="column">
            <wp:posOffset>5060892</wp:posOffset>
          </wp:positionH>
          <wp:positionV relativeFrom="paragraph">
            <wp:posOffset>-1655445</wp:posOffset>
          </wp:positionV>
          <wp:extent cx="1892812" cy="1892812"/>
          <wp:effectExtent l="0" t="0" r="0" b="0"/>
          <wp:wrapNone/>
          <wp:docPr id="1860102614" name="Picture 3" descr="A decorative graphic that is part of the CIE logo. It is four concentric circles that in the order of purple, red, red and then purple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00775" name="Picture 3" descr="A decorative graphic that is part of the CIE logo. It is four concentric circles that in the order of purple, red, red and then purple on a white background."/>
                  <pic:cNvPicPr/>
                </pic:nvPicPr>
                <pic:blipFill>
                  <a:blip r:embed="rId2">
                    <a:extLst>
                      <a:ext uri="{28A0092B-C50C-407E-A947-70E740481C1C}">
                        <a14:useLocalDpi xmlns:a14="http://schemas.microsoft.com/office/drawing/2010/main" val="0"/>
                      </a:ext>
                    </a:extLst>
                  </a:blip>
                  <a:stretch>
                    <a:fillRect/>
                  </a:stretch>
                </pic:blipFill>
                <pic:spPr>
                  <a:xfrm>
                    <a:off x="0" y="0"/>
                    <a:ext cx="1892812" cy="1892812"/>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J76o7YhzfMqUZ0" int2:id="6Ohzjuzl">
      <int2:state int2:value="Rejected" int2:type="spell"/>
    </int2:textHash>
    <int2:textHash int2:hashCode="y4vbiHVkJATlxY" int2:id="EicyTmTq">
      <int2:state int2:value="Rejected" int2:type="spell"/>
    </int2:textHash>
    <int2:textHash int2:hashCode="DRF+QirmwqB0+l" int2:id="sqLe81DD">
      <int2:state int2:value="Rejected" int2:type="spell"/>
    </int2:textHash>
    <int2:textHash int2:hashCode="faZcGJ6MukT3y6" int2:id="xSV7spjA">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AEC80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026167E"/>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3CB2CD6A"/>
    <w:lvl w:ilvl="0">
      <w:start w:val="1"/>
      <w:numFmt w:val="bullet"/>
      <w:pStyle w:val="ListBullet4"/>
      <w:lvlText w:val=""/>
      <w:lvlJc w:val="left"/>
      <w:pPr>
        <w:tabs>
          <w:tab w:val="num" w:pos="1492"/>
        </w:tabs>
        <w:ind w:left="1492" w:hanging="360"/>
      </w:pPr>
      <w:rPr>
        <w:rFonts w:ascii="Symbol" w:hAnsi="Symbol" w:hint="default"/>
      </w:rPr>
    </w:lvl>
  </w:abstractNum>
  <w:abstractNum w:abstractNumId="3" w15:restartNumberingAfterBreak="0">
    <w:nsid w:val="FFFFFF83"/>
    <w:multiLevelType w:val="singleLevel"/>
    <w:tmpl w:val="2ED4C2B2"/>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BC48B716"/>
    <w:lvl w:ilvl="0">
      <w:start w:val="1"/>
      <w:numFmt w:val="decimal"/>
      <w:pStyle w:val="ListBullet5"/>
      <w:lvlText w:val="%1"/>
      <w:lvlJc w:val="left"/>
      <w:pPr>
        <w:ind w:left="360" w:hanging="360"/>
      </w:pPr>
      <w:rPr>
        <w:rFonts w:hint="default"/>
        <w:color w:val="3F3F3F" w:themeColor="accent4"/>
      </w:rPr>
    </w:lvl>
  </w:abstractNum>
  <w:abstractNum w:abstractNumId="5" w15:restartNumberingAfterBreak="0">
    <w:nsid w:val="FFFFFF89"/>
    <w:multiLevelType w:val="singleLevel"/>
    <w:tmpl w:val="4F3E64C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D00469"/>
    <w:multiLevelType w:val="multilevel"/>
    <w:tmpl w:val="98546DD2"/>
    <w:styleLink w:val="BoxListNumbers"/>
    <w:lvl w:ilvl="0">
      <w:start w:val="1"/>
      <w:numFmt w:val="decimal"/>
      <w:pStyle w:val="BoxListNumber1"/>
      <w:lvlText w:val="%1."/>
      <w:lvlJc w:val="left"/>
      <w:pPr>
        <w:ind w:left="284" w:hanging="284"/>
      </w:pPr>
      <w:rPr>
        <w:rFonts w:asciiTheme="majorHAnsi" w:hAnsiTheme="majorHAnsi" w:hint="default"/>
        <w:b w:val="0"/>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D7D2843"/>
    <w:multiLevelType w:val="multilevel"/>
    <w:tmpl w:val="351612C6"/>
    <w:lvl w:ilvl="0">
      <w:start w:val="1"/>
      <w:numFmt w:val="bullet"/>
      <w:pStyle w:val="TableBullet1"/>
      <w:lvlText w:val=""/>
      <w:lvlJc w:val="left"/>
      <w:pPr>
        <w:ind w:left="340" w:hanging="340"/>
      </w:pPr>
      <w:rPr>
        <w:rFonts w:ascii="Symbol" w:hAnsi="Symbol" w:hint="default"/>
        <w:b w:val="0"/>
        <w:i w:val="0"/>
        <w:color w:val="auto"/>
        <w:sz w:val="18"/>
      </w:rPr>
    </w:lvl>
    <w:lvl w:ilvl="1">
      <w:start w:val="1"/>
      <w:numFmt w:val="bullet"/>
      <w:lvlText w:val="–"/>
      <w:lvlJc w:val="left"/>
      <w:pPr>
        <w:ind w:left="680" w:hanging="340"/>
      </w:pPr>
      <w:rPr>
        <w:rFonts w:hint="default"/>
        <w:b w:val="0"/>
        <w:i w:val="0"/>
        <w:color w:val="auto"/>
        <w:sz w:val="18"/>
      </w:rPr>
    </w:lvl>
    <w:lvl w:ilvl="2">
      <w:start w:val="1"/>
      <w:numFmt w:val="bullet"/>
      <w:lvlText w:val="-"/>
      <w:lvlJc w:val="left"/>
      <w:pPr>
        <w:ind w:left="1020" w:hanging="340"/>
      </w:pPr>
      <w:rPr>
        <w:rFonts w:hint="default"/>
        <w:b w:val="0"/>
        <w:i w:val="0"/>
        <w:color w:val="auto"/>
        <w:sz w:val="18"/>
      </w:rPr>
    </w:lvl>
    <w:lvl w:ilvl="3">
      <w:start w:val="1"/>
      <w:numFmt w:val="decimal"/>
      <w:lvlText w:val="%4"/>
      <w:lvlJc w:val="left"/>
      <w:pPr>
        <w:ind w:left="340" w:hanging="340"/>
      </w:pPr>
      <w:rPr>
        <w:rFonts w:hint="default"/>
        <w:color w:val="000000" w:themeColor="text1"/>
      </w:rPr>
    </w:lvl>
    <w:lvl w:ilvl="4">
      <w:start w:val="1"/>
      <w:numFmt w:val="lowerLetter"/>
      <w:lvlText w:val="%5"/>
      <w:lvlJc w:val="left"/>
      <w:pPr>
        <w:ind w:left="680" w:hanging="340"/>
      </w:pPr>
      <w:rPr>
        <w:rFonts w:hint="default"/>
        <w:color w:val="000000" w:themeColor="text1"/>
      </w:rPr>
    </w:lvl>
    <w:lvl w:ilvl="5">
      <w:start w:val="1"/>
      <w:numFmt w:val="lowerRoman"/>
      <w:lvlText w:val="%6"/>
      <w:lvlJc w:val="left"/>
      <w:pPr>
        <w:ind w:left="1021" w:hanging="341"/>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8" w15:restartNumberingAfterBreak="0">
    <w:nsid w:val="16BE32BA"/>
    <w:multiLevelType w:val="hybridMultilevel"/>
    <w:tmpl w:val="4030E34A"/>
    <w:lvl w:ilvl="0" w:tplc="D22209A4">
      <w:start w:val="1"/>
      <w:numFmt w:val="bullet"/>
      <w:lvlText w:val="-"/>
      <w:lvlJc w:val="left"/>
      <w:pPr>
        <w:ind w:left="720" w:hanging="360"/>
      </w:pPr>
      <w:rPr>
        <w:rFonts w:ascii="Montserrat" w:eastAsiaTheme="minorHAnsi" w:hAnsi="Montserrat" w:cs="Poppi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364121"/>
    <w:multiLevelType w:val="hybridMultilevel"/>
    <w:tmpl w:val="4F5AB1CE"/>
    <w:lvl w:ilvl="0" w:tplc="2F6E116A">
      <w:start w:val="1"/>
      <w:numFmt w:val="bullet"/>
      <w:pStyle w:val="BoxListBullet2"/>
      <w:lvlText w:val="–"/>
      <w:lvlJc w:val="left"/>
      <w:pPr>
        <w:ind w:left="644" w:hanging="360"/>
      </w:pPr>
      <w:rPr>
        <w:rFonts w:ascii="Calibri" w:hAnsi="Calibri"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C87D21"/>
    <w:multiLevelType w:val="hybridMultilevel"/>
    <w:tmpl w:val="7584E2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586DFE"/>
    <w:multiLevelType w:val="multilevel"/>
    <w:tmpl w:val="BC2EAD96"/>
    <w:styleLink w:val="BulletsStyle"/>
    <w:lvl w:ilvl="0">
      <w:start w:val="1"/>
      <w:numFmt w:val="bullet"/>
      <w:pStyle w:val="ListBullet"/>
      <w:lvlText w:val=""/>
      <w:lvlJc w:val="left"/>
      <w:pPr>
        <w:ind w:left="340" w:hanging="340"/>
      </w:pPr>
      <w:rPr>
        <w:rFonts w:ascii="Symbol" w:hAnsi="Symbol" w:hint="default"/>
        <w:b w:val="0"/>
        <w:i w:val="0"/>
        <w:color w:val="000000" w:themeColor="text1"/>
        <w:sz w:val="24"/>
      </w:rPr>
    </w:lvl>
    <w:lvl w:ilvl="1">
      <w:start w:val="1"/>
      <w:numFmt w:val="bullet"/>
      <w:pStyle w:val="ListBullet2"/>
      <w:lvlText w:val=""/>
      <w:lvlJc w:val="left"/>
      <w:pPr>
        <w:ind w:left="680" w:hanging="340"/>
      </w:pPr>
      <w:rPr>
        <w:rFonts w:ascii="Symbol" w:hAnsi="Symbol" w:hint="default"/>
        <w:b w:val="0"/>
        <w:i w:val="0"/>
        <w:color w:val="000000" w:themeColor="text1"/>
        <w:sz w:val="24"/>
      </w:rPr>
    </w:lvl>
    <w:lvl w:ilvl="2">
      <w:start w:val="1"/>
      <w:numFmt w:val="bullet"/>
      <w:pStyle w:val="ListBullet3"/>
      <w:lvlText w:val=""/>
      <w:lvlJc w:val="left"/>
      <w:pPr>
        <w:ind w:left="1021" w:hanging="341"/>
      </w:pPr>
      <w:rPr>
        <w:rFonts w:ascii="Symbol" w:hAnsi="Symbol" w:hint="default"/>
        <w:b w:val="0"/>
        <w:i w:val="0"/>
        <w:color w:val="000000" w:themeColor="text1"/>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B6A4295"/>
    <w:multiLevelType w:val="hybridMultilevel"/>
    <w:tmpl w:val="13D662BC"/>
    <w:lvl w:ilvl="0" w:tplc="20D046A2">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7062F1"/>
    <w:multiLevelType w:val="multilevel"/>
    <w:tmpl w:val="E222D91E"/>
    <w:styleLink w:val="TableListNumbers"/>
    <w:lvl w:ilvl="0">
      <w:start w:val="1"/>
      <w:numFmt w:val="decimal"/>
      <w:lvlText w:val="%1."/>
      <w:lvlJc w:val="left"/>
      <w:pPr>
        <w:ind w:left="284" w:hanging="284"/>
      </w:pPr>
      <w:rPr>
        <w:rFonts w:asciiTheme="majorHAnsi" w:hAnsiTheme="majorHAnsi" w:hint="default"/>
        <w:b w:val="0"/>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0167510"/>
    <w:multiLevelType w:val="multilevel"/>
    <w:tmpl w:val="2B8CEB0E"/>
    <w:styleLink w:val="BulletLists"/>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Arial" w:hAnsi="Arial"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5" w15:restartNumberingAfterBreak="0">
    <w:nsid w:val="33E51464"/>
    <w:multiLevelType w:val="multilevel"/>
    <w:tmpl w:val="BC2EAD96"/>
    <w:numStyleLink w:val="BulletsStyle"/>
  </w:abstractNum>
  <w:abstractNum w:abstractNumId="16" w15:restartNumberingAfterBreak="0">
    <w:nsid w:val="34C705D9"/>
    <w:multiLevelType w:val="hybridMultilevel"/>
    <w:tmpl w:val="09AE96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4CB17B5"/>
    <w:multiLevelType w:val="multilevel"/>
    <w:tmpl w:val="BC102C32"/>
    <w:styleLink w:val="AppendixStyle"/>
    <w:lvl w:ilvl="0">
      <w:start w:val="1"/>
      <w:numFmt w:val="decimal"/>
      <w:pStyle w:val="AppendixHeading"/>
      <w:lvlText w:val="Appendix %1."/>
      <w:lvlJc w:val="left"/>
      <w:pPr>
        <w:ind w:left="851" w:hanging="851"/>
      </w:pPr>
      <w:rPr>
        <w:rFonts w:asciiTheme="majorHAnsi" w:hAnsiTheme="majorHAnsi" w:hint="default"/>
        <w:b/>
        <w:i w:val="0"/>
        <w:color w:val="FFFFFF" w:themeColor="background2"/>
        <w:sz w:val="36"/>
      </w:rPr>
    </w:lvl>
    <w:lvl w:ilvl="1">
      <w:start w:val="1"/>
      <w:numFmt w:val="decimal"/>
      <w:lvlText w:val="%1.%2"/>
      <w:lvlJc w:val="left"/>
      <w:pPr>
        <w:ind w:left="851" w:hanging="851"/>
      </w:pPr>
      <w:rPr>
        <w:rFonts w:ascii="Roboto Medium" w:hAnsi="Roboto Medium" w:hint="default"/>
        <w:b w:val="0"/>
        <w:i w:val="0"/>
        <w:color w:val="000000" w:themeColor="text1"/>
        <w:sz w:val="36"/>
      </w:rPr>
    </w:lvl>
    <w:lvl w:ilvl="2">
      <w:start w:val="1"/>
      <w:numFmt w:val="decimal"/>
      <w:lvlText w:val="%1.%2.%3"/>
      <w:lvlJc w:val="left"/>
      <w:pPr>
        <w:ind w:left="851" w:hanging="851"/>
      </w:pPr>
      <w:rPr>
        <w:rFonts w:asciiTheme="majorHAnsi" w:hAnsiTheme="majorHAnsi" w:hint="default"/>
        <w:b w:val="0"/>
        <w:i w:val="0"/>
        <w:color w:val="65328F" w:themeColor="accent1"/>
        <w:sz w:val="28"/>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3540109A"/>
    <w:multiLevelType w:val="multilevel"/>
    <w:tmpl w:val="2460F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1F6C4C"/>
    <w:multiLevelType w:val="multilevel"/>
    <w:tmpl w:val="26FAA784"/>
    <w:styleLink w:val="HeadingList"/>
    <w:lvl w:ilvl="0">
      <w:start w:val="1"/>
      <w:numFmt w:val="decimal"/>
      <w:lvlText w:val="%1."/>
      <w:lvlJc w:val="left"/>
      <w:pPr>
        <w:ind w:left="737" w:hanging="737"/>
      </w:pPr>
      <w:rPr>
        <w:rFonts w:asciiTheme="majorHAnsi" w:hAnsiTheme="majorHAnsi" w:hint="default"/>
        <w:color w:val="65328F" w:themeColor="accent1"/>
      </w:rPr>
    </w:lvl>
    <w:lvl w:ilvl="1">
      <w:start w:val="1"/>
      <w:numFmt w:val="decimal"/>
      <w:lvlText w:val="%1.%2."/>
      <w:lvlJc w:val="left"/>
      <w:pPr>
        <w:ind w:left="737" w:hanging="737"/>
      </w:pPr>
      <w:rPr>
        <w:rFonts w:asciiTheme="majorHAnsi" w:hAnsiTheme="majorHAnsi" w:hint="default"/>
        <w:color w:val="65328F" w:themeColor="accent1"/>
      </w:rPr>
    </w:lvl>
    <w:lvl w:ilvl="2">
      <w:start w:val="1"/>
      <w:numFmt w:val="decimal"/>
      <w:lvlText w:val="%1.%2.%3."/>
      <w:lvlJc w:val="left"/>
      <w:pPr>
        <w:ind w:left="737" w:hanging="737"/>
      </w:pPr>
      <w:rPr>
        <w:rFonts w:asciiTheme="majorHAnsi" w:hAnsiTheme="majorHAnsi" w:hint="default"/>
        <w:color w:val="65328F" w:themeColor="accent1"/>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411506EA"/>
    <w:multiLevelType w:val="hybridMultilevel"/>
    <w:tmpl w:val="7BDADE98"/>
    <w:lvl w:ilvl="0" w:tplc="3F26FE56">
      <w:start w:val="1"/>
      <w:numFmt w:val="bullet"/>
      <w:pStyle w:val="BoxListBullet"/>
      <w:lvlText w:val=""/>
      <w:lvlJc w:val="left"/>
      <w:pPr>
        <w:ind w:left="720" w:hanging="360"/>
      </w:pPr>
      <w:rPr>
        <w:rFonts w:ascii="Symbol" w:hAnsi="Symbol"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314167D"/>
    <w:multiLevelType w:val="multilevel"/>
    <w:tmpl w:val="F29CF010"/>
    <w:styleLink w:val="Numbers"/>
    <w:lvl w:ilvl="0">
      <w:start w:val="1"/>
      <w:numFmt w:val="decimal"/>
      <w:pStyle w:val="ListNumber"/>
      <w:lvlText w:val="%1."/>
      <w:lvlJc w:val="left"/>
      <w:pPr>
        <w:ind w:left="340" w:hanging="340"/>
      </w:pPr>
      <w:rPr>
        <w:rFonts w:asciiTheme="minorHAnsi" w:hAnsiTheme="minorHAnsi" w:hint="default"/>
        <w:b w:val="0"/>
        <w:i w:val="0"/>
        <w:color w:val="000000" w:themeColor="text1"/>
        <w:sz w:val="24"/>
      </w:rPr>
    </w:lvl>
    <w:lvl w:ilvl="1">
      <w:start w:val="1"/>
      <w:numFmt w:val="lowerLetter"/>
      <w:pStyle w:val="ListNumber2"/>
      <w:lvlText w:val="%2."/>
      <w:lvlJc w:val="left"/>
      <w:pPr>
        <w:ind w:left="680" w:hanging="340"/>
      </w:pPr>
      <w:rPr>
        <w:rFonts w:asciiTheme="minorHAnsi" w:hAnsiTheme="minorHAnsi" w:hint="default"/>
        <w:b w:val="0"/>
        <w:i w:val="0"/>
        <w:color w:val="000000" w:themeColor="text1"/>
        <w:sz w:val="24"/>
      </w:rPr>
    </w:lvl>
    <w:lvl w:ilvl="2">
      <w:start w:val="1"/>
      <w:numFmt w:val="lowerRoman"/>
      <w:pStyle w:val="ListNumber3"/>
      <w:lvlText w:val="%3."/>
      <w:lvlJc w:val="left"/>
      <w:pPr>
        <w:ind w:left="1021" w:hanging="341"/>
      </w:pPr>
      <w:rPr>
        <w:rFonts w:asciiTheme="minorHAnsi" w:hAnsiTheme="minorHAnsi" w:hint="default"/>
        <w:b w:val="0"/>
        <w:i w:val="0"/>
        <w:caps w:val="0"/>
        <w:strike w:val="0"/>
        <w:dstrike w:val="0"/>
        <w:vanish w:val="0"/>
        <w:color w:val="000000" w:themeColor="text1"/>
        <w:sz w:val="24"/>
        <w:vertAlign w:val="baseline"/>
      </w:rPr>
    </w:lvl>
    <w:lvl w:ilvl="3">
      <w:start w:val="1"/>
      <w:numFmt w:val="decimal"/>
      <w:lvlText w:val="(%4)"/>
      <w:lvlJc w:val="left"/>
      <w:pPr>
        <w:ind w:left="851" w:hanging="284"/>
      </w:pPr>
      <w:rPr>
        <w:rFonts w:hint="default"/>
      </w:rPr>
    </w:lvl>
    <w:lvl w:ilvl="4">
      <w:start w:val="1"/>
      <w:numFmt w:val="lowerLetter"/>
      <w:lvlText w:val="(%5)"/>
      <w:lvlJc w:val="left"/>
      <w:pPr>
        <w:tabs>
          <w:tab w:val="num" w:pos="8507"/>
        </w:tabs>
        <w:ind w:left="2157" w:hanging="284"/>
      </w:pPr>
      <w:rPr>
        <w:rFonts w:hint="default"/>
      </w:rPr>
    </w:lvl>
    <w:lvl w:ilvl="5">
      <w:start w:val="1"/>
      <w:numFmt w:val="lowerRoman"/>
      <w:lvlText w:val="(%6)"/>
      <w:lvlJc w:val="left"/>
      <w:pPr>
        <w:tabs>
          <w:tab w:val="num" w:pos="8791"/>
        </w:tabs>
        <w:ind w:left="2441" w:hanging="284"/>
      </w:pPr>
      <w:rPr>
        <w:rFonts w:hint="default"/>
      </w:rPr>
    </w:lvl>
    <w:lvl w:ilvl="6">
      <w:start w:val="1"/>
      <w:numFmt w:val="decimal"/>
      <w:lvlText w:val="%7."/>
      <w:lvlJc w:val="left"/>
      <w:pPr>
        <w:tabs>
          <w:tab w:val="num" w:pos="9075"/>
        </w:tabs>
        <w:ind w:left="2725" w:hanging="284"/>
      </w:pPr>
      <w:rPr>
        <w:rFonts w:hint="default"/>
      </w:rPr>
    </w:lvl>
    <w:lvl w:ilvl="7">
      <w:start w:val="1"/>
      <w:numFmt w:val="lowerLetter"/>
      <w:lvlText w:val="%8."/>
      <w:lvlJc w:val="left"/>
      <w:pPr>
        <w:tabs>
          <w:tab w:val="num" w:pos="9359"/>
        </w:tabs>
        <w:ind w:left="3009" w:hanging="284"/>
      </w:pPr>
      <w:rPr>
        <w:rFonts w:hint="default"/>
      </w:rPr>
    </w:lvl>
    <w:lvl w:ilvl="8">
      <w:start w:val="1"/>
      <w:numFmt w:val="lowerRoman"/>
      <w:lvlText w:val="%9."/>
      <w:lvlJc w:val="left"/>
      <w:pPr>
        <w:tabs>
          <w:tab w:val="num" w:pos="9643"/>
        </w:tabs>
        <w:ind w:left="3293" w:hanging="284"/>
      </w:pPr>
      <w:rPr>
        <w:rFonts w:hint="default"/>
      </w:rPr>
    </w:lvl>
  </w:abstractNum>
  <w:abstractNum w:abstractNumId="22" w15:restartNumberingAfterBreak="0">
    <w:nsid w:val="47BD5027"/>
    <w:multiLevelType w:val="hybridMultilevel"/>
    <w:tmpl w:val="548E6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294FF8"/>
    <w:multiLevelType w:val="multilevel"/>
    <w:tmpl w:val="589CB0DA"/>
    <w:styleLink w:val="ObjectiveHeading"/>
    <w:lvl w:ilvl="0">
      <w:start w:val="1"/>
      <w:numFmt w:val="decimal"/>
      <w:pStyle w:val="ObjectiveHeading0"/>
      <w:lvlText w:val="%1."/>
      <w:lvlJc w:val="left"/>
      <w:pPr>
        <w:ind w:left="567" w:hanging="567"/>
      </w:pPr>
      <w:rPr>
        <w:rFonts w:ascii="Univers" w:hAnsi="Univers" w:hint="default"/>
        <w:b/>
        <w:i w:val="0"/>
        <w:color w:val="FFFFFF" w:themeColor="background2"/>
        <w:sz w:val="3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A3354AE"/>
    <w:multiLevelType w:val="multilevel"/>
    <w:tmpl w:val="73749F80"/>
    <w:styleLink w:val="NumberedBulletStyle"/>
    <w:lvl w:ilvl="0">
      <w:start w:val="1"/>
      <w:numFmt w:val="decimal"/>
      <w:pStyle w:val="NumberedBullet"/>
      <w:lvlText w:val="%1."/>
      <w:lvlJc w:val="left"/>
      <w:pPr>
        <w:ind w:left="425" w:hanging="425"/>
      </w:pPr>
      <w:rPr>
        <w:rFonts w:asciiTheme="minorHAnsi" w:hAnsiTheme="minorHAnsi" w:hint="default"/>
        <w:b w:val="0"/>
        <w:i w:val="0"/>
        <w:color w:val="000000" w:themeColor="text1"/>
        <w:sz w:val="22"/>
      </w:rPr>
    </w:lvl>
    <w:lvl w:ilvl="1">
      <w:start w:val="1"/>
      <w:numFmt w:val="decimal"/>
      <w:pStyle w:val="NumberedBullet2"/>
      <w:lvlText w:val="%1.%2."/>
      <w:lvlJc w:val="left"/>
      <w:pPr>
        <w:ind w:left="851" w:hanging="426"/>
      </w:pPr>
      <w:rPr>
        <w:rFonts w:asciiTheme="minorHAnsi" w:hAnsiTheme="minorHAnsi" w:hint="default"/>
        <w:b w:val="0"/>
        <w:i w:val="0"/>
        <w:color w:val="000000" w:themeColor="text1"/>
        <w:sz w:val="22"/>
      </w:rPr>
    </w:lvl>
    <w:lvl w:ilvl="2">
      <w:start w:val="1"/>
      <w:numFmt w:val="decimal"/>
      <w:pStyle w:val="NumberedBullet3"/>
      <w:lvlText w:val="%1.%2.%3."/>
      <w:lvlJc w:val="left"/>
      <w:pPr>
        <w:ind w:left="1276" w:hanging="425"/>
      </w:pPr>
      <w:rPr>
        <w:rFonts w:asciiTheme="minorHAnsi" w:hAnsiTheme="minorHAnsi" w:hint="default"/>
        <w:b w:val="0"/>
        <w:i w:val="0"/>
        <w:color w:val="000000" w:themeColor="text1"/>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E8B78D3"/>
    <w:multiLevelType w:val="multilevel"/>
    <w:tmpl w:val="B5D2BAB0"/>
    <w:name w:val="NSW list Bullet"/>
    <w:lvl w:ilvl="0">
      <w:start w:val="1"/>
      <w:numFmt w:val="bullet"/>
      <w:lvlText w:val=""/>
      <w:lvlJc w:val="left"/>
      <w:pPr>
        <w:ind w:left="852" w:firstLine="0"/>
      </w:pPr>
      <w:rPr>
        <w:rFonts w:ascii="Symbol" w:hAnsi="Symbol" w:hint="default"/>
        <w:color w:val="auto"/>
      </w:rPr>
    </w:lvl>
    <w:lvl w:ilvl="1">
      <w:start w:val="1"/>
      <w:numFmt w:val="bullet"/>
      <w:lvlText w:val="–"/>
      <w:lvlJc w:val="left"/>
      <w:pPr>
        <w:ind w:left="1135" w:firstLine="0"/>
      </w:pPr>
      <w:rPr>
        <w:rFonts w:ascii="Arial" w:hAnsi="Arial" w:hint="default"/>
        <w:color w:val="auto"/>
      </w:rPr>
    </w:lvl>
    <w:lvl w:ilvl="2">
      <w:start w:val="1"/>
      <w:numFmt w:val="bullet"/>
      <w:lvlRestart w:val="1"/>
      <w:lvlText w:val="»"/>
      <w:lvlJc w:val="left"/>
      <w:pPr>
        <w:ind w:left="1419" w:firstLine="0"/>
      </w:pPr>
      <w:rPr>
        <w:rFonts w:ascii="Arial" w:hAnsi="Arial" w:hint="default"/>
        <w:color w:val="auto"/>
      </w:rPr>
    </w:lvl>
    <w:lvl w:ilvl="3">
      <w:start w:val="1"/>
      <w:numFmt w:val="decimal"/>
      <w:lvlText w:val="(%4)"/>
      <w:lvlJc w:val="left"/>
      <w:pPr>
        <w:ind w:left="2008" w:hanging="360"/>
      </w:pPr>
      <w:rPr>
        <w:rFonts w:hint="default"/>
      </w:rPr>
    </w:lvl>
    <w:lvl w:ilvl="4">
      <w:start w:val="1"/>
      <w:numFmt w:val="lowerLetter"/>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26" w15:restartNumberingAfterBreak="0">
    <w:nsid w:val="4F4A1EBF"/>
    <w:multiLevelType w:val="multilevel"/>
    <w:tmpl w:val="82129208"/>
    <w:styleLink w:val="Bullets"/>
    <w:lvl w:ilvl="0">
      <w:start w:val="1"/>
      <w:numFmt w:val="bullet"/>
      <w:lvlText w:val=""/>
      <w:lvlJc w:val="left"/>
      <w:pPr>
        <w:ind w:left="284" w:hanging="284"/>
      </w:pPr>
      <w:rPr>
        <w:rFonts w:ascii="Symbol" w:hAnsi="Symbol" w:hint="default"/>
        <w:b w:val="0"/>
        <w:i w:val="0"/>
        <w:color w:val="404040" w:themeColor="text2"/>
        <w:sz w:val="18"/>
      </w:rPr>
    </w:lvl>
    <w:lvl w:ilvl="1">
      <w:start w:val="1"/>
      <w:numFmt w:val="bullet"/>
      <w:lvlText w:val=""/>
      <w:lvlJc w:val="left"/>
      <w:pPr>
        <w:ind w:left="567" w:hanging="283"/>
      </w:pPr>
      <w:rPr>
        <w:rFonts w:ascii="Wingdings" w:hAnsi="Wingdings" w:hint="default"/>
        <w:b w:val="0"/>
        <w:i w:val="0"/>
        <w:color w:val="404040" w:themeColor="text2"/>
        <w:sz w:val="18"/>
      </w:rPr>
    </w:lvl>
    <w:lvl w:ilvl="2">
      <w:start w:val="1"/>
      <w:numFmt w:val="bullet"/>
      <w:lvlText w:val="—"/>
      <w:lvlJc w:val="left"/>
      <w:pPr>
        <w:ind w:left="851" w:hanging="284"/>
      </w:pPr>
      <w:rPr>
        <w:rFonts w:ascii="Arial" w:hAnsi="Arial" w:hint="default"/>
        <w:b w:val="0"/>
        <w:i w:val="0"/>
        <w:color w:val="404040" w:themeColor="text2"/>
        <w:sz w:val="18"/>
      </w:rPr>
    </w:lvl>
    <w:lvl w:ilvl="3">
      <w:start w:val="1"/>
      <w:numFmt w:val="decimal"/>
      <w:lvlText w:val="(%4)"/>
      <w:lvlJc w:val="left"/>
      <w:pPr>
        <w:tabs>
          <w:tab w:val="num" w:pos="1589"/>
        </w:tabs>
        <w:ind w:left="1873" w:hanging="284"/>
      </w:pPr>
      <w:rPr>
        <w:rFonts w:hint="default"/>
      </w:rPr>
    </w:lvl>
    <w:lvl w:ilvl="4">
      <w:start w:val="1"/>
      <w:numFmt w:val="lowerLetter"/>
      <w:lvlText w:val="(%5)"/>
      <w:lvlJc w:val="left"/>
      <w:pPr>
        <w:tabs>
          <w:tab w:val="num" w:pos="1873"/>
        </w:tabs>
        <w:ind w:left="2157" w:hanging="284"/>
      </w:pPr>
      <w:rPr>
        <w:rFonts w:hint="default"/>
      </w:rPr>
    </w:lvl>
    <w:lvl w:ilvl="5">
      <w:start w:val="1"/>
      <w:numFmt w:val="lowerRoman"/>
      <w:lvlText w:val="(%6)"/>
      <w:lvlJc w:val="left"/>
      <w:pPr>
        <w:tabs>
          <w:tab w:val="num" w:pos="2157"/>
        </w:tabs>
        <w:ind w:left="2441" w:hanging="284"/>
      </w:pPr>
      <w:rPr>
        <w:rFonts w:hint="default"/>
      </w:rPr>
    </w:lvl>
    <w:lvl w:ilvl="6">
      <w:start w:val="1"/>
      <w:numFmt w:val="decimal"/>
      <w:lvlText w:val="%7."/>
      <w:lvlJc w:val="left"/>
      <w:pPr>
        <w:tabs>
          <w:tab w:val="num" w:pos="2441"/>
        </w:tabs>
        <w:ind w:left="2725" w:hanging="284"/>
      </w:pPr>
      <w:rPr>
        <w:rFonts w:hint="default"/>
      </w:rPr>
    </w:lvl>
    <w:lvl w:ilvl="7">
      <w:start w:val="1"/>
      <w:numFmt w:val="lowerLetter"/>
      <w:lvlText w:val="%8."/>
      <w:lvlJc w:val="left"/>
      <w:pPr>
        <w:tabs>
          <w:tab w:val="num" w:pos="2725"/>
        </w:tabs>
        <w:ind w:left="3009" w:hanging="284"/>
      </w:pPr>
      <w:rPr>
        <w:rFonts w:hint="default"/>
      </w:rPr>
    </w:lvl>
    <w:lvl w:ilvl="8">
      <w:start w:val="1"/>
      <w:numFmt w:val="lowerRoman"/>
      <w:lvlText w:val="%9."/>
      <w:lvlJc w:val="left"/>
      <w:pPr>
        <w:tabs>
          <w:tab w:val="num" w:pos="3009"/>
        </w:tabs>
        <w:ind w:left="3293" w:hanging="284"/>
      </w:pPr>
      <w:rPr>
        <w:rFonts w:hint="default"/>
      </w:rPr>
    </w:lvl>
  </w:abstractNum>
  <w:abstractNum w:abstractNumId="27" w15:restartNumberingAfterBreak="0">
    <w:nsid w:val="50436C95"/>
    <w:multiLevelType w:val="multilevel"/>
    <w:tmpl w:val="BC56B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F42F79"/>
    <w:multiLevelType w:val="multilevel"/>
    <w:tmpl w:val="277AC3FA"/>
    <w:styleLink w:val="BodyTextnumberedStyles"/>
    <w:lvl w:ilvl="0">
      <w:start w:val="1"/>
      <w:numFmt w:val="decimal"/>
      <w:pStyle w:val="BodyTextNumbered"/>
      <w:lvlText w:val="(%1)"/>
      <w:lvlJc w:val="left"/>
      <w:pPr>
        <w:ind w:left="425" w:hanging="425"/>
      </w:pPr>
      <w:rPr>
        <w:rFonts w:asciiTheme="minorHAnsi" w:hAnsiTheme="minorHAnsi" w:hint="default"/>
        <w:b w:val="0"/>
        <w:i w:val="0"/>
        <w:color w:val="000000" w:themeColor="text1"/>
        <w:sz w:val="22"/>
      </w:rPr>
    </w:lvl>
    <w:lvl w:ilvl="1">
      <w:start w:val="1"/>
      <w:numFmt w:val="lowerLetter"/>
      <w:pStyle w:val="BodyTextNumbered2"/>
      <w:lvlText w:val="(%2)"/>
      <w:lvlJc w:val="left"/>
      <w:pPr>
        <w:ind w:left="851" w:hanging="426"/>
      </w:pPr>
      <w:rPr>
        <w:rFonts w:asciiTheme="minorHAnsi" w:hAnsiTheme="minorHAnsi" w:hint="default"/>
        <w:b w:val="0"/>
        <w:i w:val="0"/>
        <w:color w:val="000000" w:themeColor="text1"/>
        <w:sz w:val="22"/>
      </w:rPr>
    </w:lvl>
    <w:lvl w:ilvl="2">
      <w:start w:val="1"/>
      <w:numFmt w:val="lowerRoman"/>
      <w:pStyle w:val="BodyTextNumbered3"/>
      <w:lvlText w:val="(%3)"/>
      <w:lvlJc w:val="left"/>
      <w:pPr>
        <w:ind w:left="1276" w:hanging="425"/>
      </w:pPr>
      <w:rPr>
        <w:rFonts w:asciiTheme="minorHAnsi" w:hAnsiTheme="minorHAnsi" w:hint="default"/>
        <w:b w:val="0"/>
        <w:i w:val="0"/>
        <w:color w:val="000000" w:themeColor="text1"/>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4992E4A"/>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4C6071F"/>
    <w:multiLevelType w:val="hybridMultilevel"/>
    <w:tmpl w:val="C3C6F6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A9B38C0"/>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6E947AC"/>
    <w:multiLevelType w:val="multilevel"/>
    <w:tmpl w:val="2B8E2F66"/>
    <w:styleLink w:val="NumberedHeadings"/>
    <w:lvl w:ilvl="0">
      <w:start w:val="1"/>
      <w:numFmt w:val="decimal"/>
      <w:lvlText w:val="%1."/>
      <w:lvlJc w:val="left"/>
      <w:pPr>
        <w:ind w:left="851" w:hanging="851"/>
      </w:pPr>
      <w:rPr>
        <w:rFonts w:asciiTheme="majorHAnsi" w:hAnsiTheme="majorHAnsi" w:hint="default"/>
        <w:b/>
        <w:i w:val="0"/>
        <w:color w:val="D83D0E" w:themeColor="accent2"/>
        <w:sz w:val="36"/>
      </w:rPr>
    </w:lvl>
    <w:lvl w:ilvl="1">
      <w:start w:val="1"/>
      <w:numFmt w:val="decimal"/>
      <w:lvlText w:val="%1.%2"/>
      <w:lvlJc w:val="left"/>
      <w:pPr>
        <w:ind w:left="851" w:hanging="851"/>
      </w:pPr>
      <w:rPr>
        <w:rFonts w:asciiTheme="minorHAnsi" w:hAnsiTheme="minorHAnsi" w:hint="default"/>
        <w:b w:val="0"/>
        <w:i w:val="0"/>
        <w:color w:val="7F7F7F" w:themeColor="accent3"/>
        <w:sz w:val="32"/>
      </w:rPr>
    </w:lvl>
    <w:lvl w:ilvl="2">
      <w:start w:val="1"/>
      <w:numFmt w:val="decimal"/>
      <w:lvlText w:val="%1.%2.%3"/>
      <w:lvlJc w:val="left"/>
      <w:pPr>
        <w:ind w:left="851" w:hanging="851"/>
      </w:pPr>
      <w:rPr>
        <w:rFonts w:asciiTheme="majorHAnsi" w:hAnsiTheme="majorHAnsi" w:hint="default"/>
        <w:b w:val="0"/>
        <w:i w:val="0"/>
        <w:color w:val="000000" w:themeColor="text1"/>
        <w:sz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B2B2D97"/>
    <w:multiLevelType w:val="multilevel"/>
    <w:tmpl w:val="BC102C32"/>
    <w:numStyleLink w:val="AppendixStyle"/>
  </w:abstractNum>
  <w:abstractNum w:abstractNumId="34"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22010FB"/>
    <w:multiLevelType w:val="hybridMultilevel"/>
    <w:tmpl w:val="39CC96D0"/>
    <w:lvl w:ilvl="0" w:tplc="1122C326">
      <w:start w:val="1"/>
      <w:numFmt w:val="bullet"/>
      <w:pStyle w:val="TableBullet"/>
      <w:lvlText w:val="·"/>
      <w:lvlJc w:val="left"/>
      <w:pPr>
        <w:ind w:left="360" w:hanging="360"/>
      </w:pPr>
      <w:rPr>
        <w:rFonts w:ascii="Symbol" w:hAnsi="Symbol" w:cs="Times New Roman"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36D6E3A"/>
    <w:multiLevelType w:val="hybridMultilevel"/>
    <w:tmpl w:val="D362FD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6DA48E7"/>
    <w:multiLevelType w:val="multilevel"/>
    <w:tmpl w:val="A998DA46"/>
    <w:styleLink w:val="NumberedHeadings0"/>
    <w:lvl w:ilvl="0">
      <w:start w:val="1"/>
      <w:numFmt w:val="decimal"/>
      <w:lvlText w:val="%1."/>
      <w:lvlJc w:val="left"/>
      <w:pPr>
        <w:ind w:left="737" w:hanging="737"/>
      </w:pPr>
      <w:rPr>
        <w:rFonts w:asciiTheme="majorHAnsi" w:hAnsiTheme="majorHAnsi" w:hint="default"/>
        <w:b w:val="0"/>
        <w:i w:val="0"/>
        <w:color w:val="65328F" w:themeColor="accent1"/>
        <w:sz w:val="52"/>
      </w:rPr>
    </w:lvl>
    <w:lvl w:ilvl="1">
      <w:start w:val="1"/>
      <w:numFmt w:val="decimal"/>
      <w:lvlText w:val="%1.%2."/>
      <w:lvlJc w:val="left"/>
      <w:pPr>
        <w:ind w:left="737" w:hanging="737"/>
      </w:pPr>
      <w:rPr>
        <w:rFonts w:asciiTheme="majorHAnsi" w:hAnsiTheme="majorHAnsi" w:hint="default"/>
        <w:b w:val="0"/>
        <w:i w:val="0"/>
        <w:color w:val="D83D0E" w:themeColor="accent2"/>
        <w:sz w:val="32"/>
      </w:rPr>
    </w:lvl>
    <w:lvl w:ilvl="2">
      <w:start w:val="1"/>
      <w:numFmt w:val="decimal"/>
      <w:lvlText w:val="%1.%2.%3."/>
      <w:lvlJc w:val="left"/>
      <w:pPr>
        <w:ind w:left="737" w:hanging="737"/>
      </w:pPr>
      <w:rPr>
        <w:rFonts w:asciiTheme="majorHAnsi" w:hAnsiTheme="majorHAnsi" w:hint="default"/>
        <w:b w:val="0"/>
        <w:i w:val="0"/>
        <w:color w:val="65328F" w:themeColor="accent1"/>
        <w:sz w:val="28"/>
      </w:rPr>
    </w:lvl>
    <w:lvl w:ilvl="3">
      <w:start w:val="1"/>
      <w:numFmt w:val="decimal"/>
      <w:lvlText w:val="%1.%2.%3.%4."/>
      <w:lvlJc w:val="left"/>
      <w:pPr>
        <w:ind w:left="737" w:hanging="737"/>
      </w:pPr>
      <w:rPr>
        <w:rFonts w:asciiTheme="majorHAnsi" w:hAnsiTheme="majorHAnsi" w:hint="default"/>
        <w:b w:val="0"/>
        <w:i w:val="0"/>
        <w:color w:val="000000" w:themeColor="text1"/>
        <w:sz w:val="24"/>
      </w:rPr>
    </w:lvl>
    <w:lvl w:ilvl="4">
      <w:start w:val="1"/>
      <w:numFmt w:val="none"/>
      <w:lvlText w:val=""/>
      <w:lvlJc w:val="left"/>
      <w:pPr>
        <w:ind w:left="1871" w:hanging="431"/>
      </w:pPr>
      <w:rPr>
        <w:rFonts w:hint="default"/>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BF7046E"/>
    <w:multiLevelType w:val="multilevel"/>
    <w:tmpl w:val="F29CF010"/>
    <w:numStyleLink w:val="Numbers"/>
  </w:abstractNum>
  <w:abstractNum w:abstractNumId="39" w15:restartNumberingAfterBreak="0">
    <w:nsid w:val="7F6813B0"/>
    <w:multiLevelType w:val="multilevel"/>
    <w:tmpl w:val="188E4174"/>
    <w:styleLink w:val="HeadingNumbers"/>
    <w:lvl w:ilvl="0">
      <w:start w:val="1"/>
      <w:numFmt w:val="decimal"/>
      <w:lvlText w:val="%1."/>
      <w:lvlJc w:val="left"/>
      <w:pPr>
        <w:ind w:left="680" w:hanging="680"/>
      </w:pPr>
      <w:rPr>
        <w:rFonts w:asciiTheme="majorHAnsi" w:hAnsiTheme="majorHAnsi" w:hint="default"/>
        <w:b/>
        <w:i w:val="0"/>
        <w:caps/>
        <w:color w:val="65328F" w:themeColor="accent1"/>
        <w:sz w:val="28"/>
      </w:rPr>
    </w:lvl>
    <w:lvl w:ilvl="1">
      <w:start w:val="1"/>
      <w:numFmt w:val="decimal"/>
      <w:lvlText w:val="%1.%2"/>
      <w:lvlJc w:val="left"/>
      <w:pPr>
        <w:ind w:left="680" w:hanging="680"/>
      </w:pPr>
      <w:rPr>
        <w:rFonts w:ascii="Univers" w:hAnsi="Univers" w:hint="default"/>
        <w:b/>
        <w:i w:val="0"/>
        <w:color w:val="404040" w:themeColor="text2"/>
        <w:sz w:val="20"/>
      </w:rPr>
    </w:lvl>
    <w:lvl w:ilvl="2">
      <w:start w:val="1"/>
      <w:numFmt w:val="decimal"/>
      <w:lvlText w:val="%1.%2.%3"/>
      <w:lvlJc w:val="left"/>
      <w:pPr>
        <w:ind w:left="680" w:hanging="680"/>
      </w:pPr>
      <w:rPr>
        <w:rFonts w:asciiTheme="majorHAnsi" w:hAnsiTheme="majorHAnsi" w:hint="default"/>
        <w:b/>
        <w:i w:val="0"/>
        <w:caps/>
        <w:color w:val="FFFFFF" w:themeColor="background2"/>
        <w:sz w:val="20"/>
      </w:rPr>
    </w:lvl>
    <w:lvl w:ilvl="3">
      <w:start w:val="1"/>
      <w:numFmt w:val="decimal"/>
      <w:lvlText w:val="%1.%2.%3.%4"/>
      <w:lvlJc w:val="left"/>
      <w:pPr>
        <w:ind w:left="680" w:hanging="680"/>
      </w:pPr>
      <w:rPr>
        <w:rFonts w:asciiTheme="minorHAnsi" w:hAnsiTheme="minorHAnsi" w:hint="default"/>
        <w:b/>
        <w:i w:val="0"/>
        <w:caps/>
        <w:color w:val="404040" w:themeColor="text2"/>
        <w:sz w:val="20"/>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16cid:durableId="1976371938">
    <w:abstractNumId w:val="31"/>
  </w:num>
  <w:num w:numId="2" w16cid:durableId="1421828783">
    <w:abstractNumId w:val="34"/>
  </w:num>
  <w:num w:numId="3" w16cid:durableId="924455219">
    <w:abstractNumId w:val="29"/>
  </w:num>
  <w:num w:numId="4" w16cid:durableId="8145819">
    <w:abstractNumId w:val="19"/>
  </w:num>
  <w:num w:numId="5" w16cid:durableId="1935043804">
    <w:abstractNumId w:val="14"/>
  </w:num>
  <w:num w:numId="6" w16cid:durableId="1532452615">
    <w:abstractNumId w:val="26"/>
  </w:num>
  <w:num w:numId="7" w16cid:durableId="1898588451">
    <w:abstractNumId w:val="21"/>
  </w:num>
  <w:num w:numId="8" w16cid:durableId="983848062">
    <w:abstractNumId w:val="32"/>
  </w:num>
  <w:num w:numId="9" w16cid:durableId="194080551">
    <w:abstractNumId w:val="37"/>
  </w:num>
  <w:num w:numId="10" w16cid:durableId="2024166019">
    <w:abstractNumId w:val="11"/>
  </w:num>
  <w:num w:numId="11" w16cid:durableId="2124497634">
    <w:abstractNumId w:val="39"/>
  </w:num>
  <w:num w:numId="12" w16cid:durableId="1022440377">
    <w:abstractNumId w:val="17"/>
  </w:num>
  <w:num w:numId="13" w16cid:durableId="988435812">
    <w:abstractNumId w:val="13"/>
  </w:num>
  <w:num w:numId="14" w16cid:durableId="422797658">
    <w:abstractNumId w:val="6"/>
  </w:num>
  <w:num w:numId="15" w16cid:durableId="995574081">
    <w:abstractNumId w:val="24"/>
  </w:num>
  <w:num w:numId="16" w16cid:durableId="1383208082">
    <w:abstractNumId w:val="28"/>
  </w:num>
  <w:num w:numId="17" w16cid:durableId="654719767">
    <w:abstractNumId w:val="2"/>
  </w:num>
  <w:num w:numId="18" w16cid:durableId="2106270163">
    <w:abstractNumId w:val="4"/>
  </w:num>
  <w:num w:numId="19" w16cid:durableId="393092543">
    <w:abstractNumId w:val="1"/>
  </w:num>
  <w:num w:numId="20" w16cid:durableId="358355396">
    <w:abstractNumId w:val="0"/>
  </w:num>
  <w:num w:numId="21" w16cid:durableId="498084787">
    <w:abstractNumId w:val="7"/>
  </w:num>
  <w:num w:numId="22" w16cid:durableId="1153183473">
    <w:abstractNumId w:val="35"/>
  </w:num>
  <w:num w:numId="23" w16cid:durableId="707493237">
    <w:abstractNumId w:val="20"/>
  </w:num>
  <w:num w:numId="24" w16cid:durableId="2011563492">
    <w:abstractNumId w:val="9"/>
  </w:num>
  <w:num w:numId="25" w16cid:durableId="283122014">
    <w:abstractNumId w:val="6"/>
  </w:num>
  <w:num w:numId="26" w16cid:durableId="781416173">
    <w:abstractNumId w:val="24"/>
  </w:num>
  <w:num w:numId="27" w16cid:durableId="1798379127">
    <w:abstractNumId w:val="28"/>
  </w:num>
  <w:num w:numId="28" w16cid:durableId="2115129295">
    <w:abstractNumId w:val="33"/>
  </w:num>
  <w:num w:numId="29" w16cid:durableId="487936713">
    <w:abstractNumId w:val="23"/>
  </w:num>
  <w:num w:numId="30" w16cid:durableId="1494103499">
    <w:abstractNumId w:val="23"/>
  </w:num>
  <w:num w:numId="31" w16cid:durableId="583611803">
    <w:abstractNumId w:val="15"/>
    <w:lvlOverride w:ilvl="0">
      <w:lvl w:ilvl="0">
        <w:start w:val="1"/>
        <w:numFmt w:val="bullet"/>
        <w:pStyle w:val="ListBullet"/>
        <w:lvlText w:val=""/>
        <w:lvlJc w:val="left"/>
        <w:pPr>
          <w:ind w:left="340" w:hanging="340"/>
        </w:pPr>
        <w:rPr>
          <w:rFonts w:ascii="Symbol" w:hAnsi="Symbol" w:hint="default"/>
          <w:b w:val="0"/>
          <w:i w:val="0"/>
          <w:color w:val="000000" w:themeColor="text1"/>
          <w:sz w:val="24"/>
        </w:rPr>
      </w:lvl>
    </w:lvlOverride>
    <w:lvlOverride w:ilvl="1">
      <w:lvl w:ilvl="1">
        <w:start w:val="1"/>
        <w:numFmt w:val="bullet"/>
        <w:pStyle w:val="ListBullet2"/>
        <w:lvlText w:val=""/>
        <w:lvlJc w:val="left"/>
        <w:pPr>
          <w:ind w:left="680" w:hanging="340"/>
        </w:pPr>
        <w:rPr>
          <w:rFonts w:ascii="Symbol" w:hAnsi="Symbol" w:hint="default"/>
          <w:b w:val="0"/>
          <w:i w:val="0"/>
          <w:color w:val="000000" w:themeColor="text1"/>
          <w:sz w:val="24"/>
        </w:rPr>
      </w:lvl>
    </w:lvlOverride>
    <w:lvlOverride w:ilvl="2">
      <w:lvl w:ilvl="2">
        <w:start w:val="1"/>
        <w:numFmt w:val="bullet"/>
        <w:pStyle w:val="ListBullet3"/>
        <w:lvlText w:val=""/>
        <w:lvlJc w:val="left"/>
        <w:pPr>
          <w:ind w:left="1021" w:hanging="341"/>
        </w:pPr>
        <w:rPr>
          <w:rFonts w:ascii="Symbol" w:hAnsi="Symbol" w:hint="default"/>
          <w:b w:val="0"/>
          <w:i w:val="0"/>
          <w:color w:val="57585B"/>
          <w:sz w:val="24"/>
        </w:rPr>
      </w:lvl>
    </w:lvlOverride>
  </w:num>
  <w:num w:numId="32" w16cid:durableId="1832939430">
    <w:abstractNumId w:val="38"/>
    <w:lvlOverride w:ilvl="0">
      <w:lvl w:ilvl="0">
        <w:start w:val="1"/>
        <w:numFmt w:val="decimal"/>
        <w:pStyle w:val="ListNumber"/>
        <w:lvlText w:val="%1."/>
        <w:lvlJc w:val="left"/>
        <w:pPr>
          <w:ind w:left="340" w:hanging="340"/>
        </w:pPr>
        <w:rPr>
          <w:rFonts w:asciiTheme="minorHAnsi" w:hAnsiTheme="minorHAnsi" w:hint="default"/>
          <w:b w:val="0"/>
          <w:i w:val="0"/>
          <w:color w:val="57585B"/>
          <w:sz w:val="24"/>
        </w:rPr>
      </w:lvl>
    </w:lvlOverride>
    <w:lvlOverride w:ilvl="1">
      <w:lvl w:ilvl="1">
        <w:start w:val="1"/>
        <w:numFmt w:val="lowerLetter"/>
        <w:pStyle w:val="ListNumber2"/>
        <w:lvlText w:val="%2."/>
        <w:lvlJc w:val="left"/>
        <w:pPr>
          <w:ind w:left="680" w:hanging="340"/>
        </w:pPr>
        <w:rPr>
          <w:rFonts w:asciiTheme="minorHAnsi" w:hAnsiTheme="minorHAnsi" w:hint="default"/>
          <w:b w:val="0"/>
          <w:i w:val="0"/>
          <w:color w:val="57585B"/>
          <w:sz w:val="24"/>
        </w:rPr>
      </w:lvl>
    </w:lvlOverride>
    <w:lvlOverride w:ilvl="2">
      <w:lvl w:ilvl="2">
        <w:start w:val="1"/>
        <w:numFmt w:val="lowerRoman"/>
        <w:pStyle w:val="ListNumber3"/>
        <w:lvlText w:val="%3."/>
        <w:lvlJc w:val="left"/>
        <w:pPr>
          <w:ind w:left="1021" w:hanging="341"/>
        </w:pPr>
        <w:rPr>
          <w:rFonts w:asciiTheme="minorHAnsi" w:hAnsiTheme="minorHAnsi" w:hint="default"/>
          <w:b w:val="0"/>
          <w:i w:val="0"/>
          <w:caps w:val="0"/>
          <w:strike w:val="0"/>
          <w:dstrike w:val="0"/>
          <w:vanish w:val="0"/>
          <w:color w:val="57585B"/>
          <w:sz w:val="24"/>
          <w:vertAlign w:val="baseline"/>
        </w:rPr>
      </w:lvl>
    </w:lvlOverride>
  </w:num>
  <w:num w:numId="33" w16cid:durableId="714938127">
    <w:abstractNumId w:val="30"/>
  </w:num>
  <w:num w:numId="34" w16cid:durableId="762184317">
    <w:abstractNumId w:val="5"/>
  </w:num>
  <w:num w:numId="35" w16cid:durableId="540746958">
    <w:abstractNumId w:val="12"/>
  </w:num>
  <w:num w:numId="36" w16cid:durableId="1544059619">
    <w:abstractNumId w:val="10"/>
  </w:num>
  <w:num w:numId="37" w16cid:durableId="1889100995">
    <w:abstractNumId w:val="22"/>
  </w:num>
  <w:num w:numId="38" w16cid:durableId="1902473854">
    <w:abstractNumId w:val="3"/>
  </w:num>
  <w:num w:numId="39" w16cid:durableId="452677238">
    <w:abstractNumId w:val="27"/>
  </w:num>
  <w:num w:numId="40" w16cid:durableId="76026241">
    <w:abstractNumId w:val="16"/>
  </w:num>
  <w:num w:numId="41" w16cid:durableId="593366055">
    <w:abstractNumId w:val="36"/>
  </w:num>
  <w:num w:numId="42" w16cid:durableId="1174415144">
    <w:abstractNumId w:val="8"/>
  </w:num>
  <w:num w:numId="43" w16cid:durableId="651256937">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38B"/>
    <w:rsid w:val="00000C8B"/>
    <w:rsid w:val="00000F07"/>
    <w:rsid w:val="0000286A"/>
    <w:rsid w:val="0000298F"/>
    <w:rsid w:val="00002B40"/>
    <w:rsid w:val="00003630"/>
    <w:rsid w:val="000044A0"/>
    <w:rsid w:val="00004A08"/>
    <w:rsid w:val="00005224"/>
    <w:rsid w:val="00006755"/>
    <w:rsid w:val="000068F7"/>
    <w:rsid w:val="00006D77"/>
    <w:rsid w:val="00007C2C"/>
    <w:rsid w:val="00007CE9"/>
    <w:rsid w:val="000111D3"/>
    <w:rsid w:val="0001166E"/>
    <w:rsid w:val="00011BF1"/>
    <w:rsid w:val="00012917"/>
    <w:rsid w:val="000129B7"/>
    <w:rsid w:val="00013278"/>
    <w:rsid w:val="00013748"/>
    <w:rsid w:val="00013979"/>
    <w:rsid w:val="000145F0"/>
    <w:rsid w:val="0001574C"/>
    <w:rsid w:val="0001687E"/>
    <w:rsid w:val="000168D0"/>
    <w:rsid w:val="00017787"/>
    <w:rsid w:val="00022DA5"/>
    <w:rsid w:val="000232FD"/>
    <w:rsid w:val="00024ABE"/>
    <w:rsid w:val="00024C46"/>
    <w:rsid w:val="00024FEE"/>
    <w:rsid w:val="00025BC1"/>
    <w:rsid w:val="00026C1B"/>
    <w:rsid w:val="000270AE"/>
    <w:rsid w:val="00027179"/>
    <w:rsid w:val="000277F1"/>
    <w:rsid w:val="000278F0"/>
    <w:rsid w:val="00030341"/>
    <w:rsid w:val="00030759"/>
    <w:rsid w:val="00031C21"/>
    <w:rsid w:val="00032047"/>
    <w:rsid w:val="00032DF9"/>
    <w:rsid w:val="000332EC"/>
    <w:rsid w:val="00034E1C"/>
    <w:rsid w:val="00034E58"/>
    <w:rsid w:val="00035815"/>
    <w:rsid w:val="00036CD3"/>
    <w:rsid w:val="00036FD8"/>
    <w:rsid w:val="00037557"/>
    <w:rsid w:val="000379B8"/>
    <w:rsid w:val="0004015B"/>
    <w:rsid w:val="00040A81"/>
    <w:rsid w:val="00042B30"/>
    <w:rsid w:val="000435A2"/>
    <w:rsid w:val="00044003"/>
    <w:rsid w:val="00044A20"/>
    <w:rsid w:val="00045808"/>
    <w:rsid w:val="00045B29"/>
    <w:rsid w:val="00045D67"/>
    <w:rsid w:val="00045E20"/>
    <w:rsid w:val="00045E51"/>
    <w:rsid w:val="00052A06"/>
    <w:rsid w:val="00053BA4"/>
    <w:rsid w:val="00053D92"/>
    <w:rsid w:val="00054C84"/>
    <w:rsid w:val="00054CDA"/>
    <w:rsid w:val="000551ED"/>
    <w:rsid w:val="00055D51"/>
    <w:rsid w:val="00055FC0"/>
    <w:rsid w:val="00057197"/>
    <w:rsid w:val="00057494"/>
    <w:rsid w:val="00057D4C"/>
    <w:rsid w:val="00057FCB"/>
    <w:rsid w:val="00060265"/>
    <w:rsid w:val="00060DB1"/>
    <w:rsid w:val="000616DC"/>
    <w:rsid w:val="00061732"/>
    <w:rsid w:val="000621E7"/>
    <w:rsid w:val="00062AD7"/>
    <w:rsid w:val="00063DAC"/>
    <w:rsid w:val="0006404F"/>
    <w:rsid w:val="00064F55"/>
    <w:rsid w:val="00065C3F"/>
    <w:rsid w:val="00070883"/>
    <w:rsid w:val="00072675"/>
    <w:rsid w:val="00072B8D"/>
    <w:rsid w:val="0007327C"/>
    <w:rsid w:val="00074CBA"/>
    <w:rsid w:val="00075852"/>
    <w:rsid w:val="00075D39"/>
    <w:rsid w:val="00076195"/>
    <w:rsid w:val="000771AF"/>
    <w:rsid w:val="000771EE"/>
    <w:rsid w:val="00077807"/>
    <w:rsid w:val="00077D71"/>
    <w:rsid w:val="00077DC8"/>
    <w:rsid w:val="000818CC"/>
    <w:rsid w:val="000821E4"/>
    <w:rsid w:val="00082DA8"/>
    <w:rsid w:val="00083028"/>
    <w:rsid w:val="00083151"/>
    <w:rsid w:val="00083246"/>
    <w:rsid w:val="00083CB4"/>
    <w:rsid w:val="00084E2D"/>
    <w:rsid w:val="00085424"/>
    <w:rsid w:val="0008617C"/>
    <w:rsid w:val="00086269"/>
    <w:rsid w:val="00086909"/>
    <w:rsid w:val="00087FBE"/>
    <w:rsid w:val="0009116E"/>
    <w:rsid w:val="0009118F"/>
    <w:rsid w:val="000913A3"/>
    <w:rsid w:val="00091D0C"/>
    <w:rsid w:val="00092CA3"/>
    <w:rsid w:val="00094784"/>
    <w:rsid w:val="000955D1"/>
    <w:rsid w:val="00096104"/>
    <w:rsid w:val="000965E3"/>
    <w:rsid w:val="00096806"/>
    <w:rsid w:val="00097191"/>
    <w:rsid w:val="000971C3"/>
    <w:rsid w:val="000975C1"/>
    <w:rsid w:val="000A0203"/>
    <w:rsid w:val="000A0C20"/>
    <w:rsid w:val="000A183B"/>
    <w:rsid w:val="000A37FB"/>
    <w:rsid w:val="000A5889"/>
    <w:rsid w:val="000A5AF4"/>
    <w:rsid w:val="000A64C6"/>
    <w:rsid w:val="000A6BFB"/>
    <w:rsid w:val="000A712C"/>
    <w:rsid w:val="000A72A8"/>
    <w:rsid w:val="000A7AB4"/>
    <w:rsid w:val="000B0993"/>
    <w:rsid w:val="000B0F6E"/>
    <w:rsid w:val="000B1065"/>
    <w:rsid w:val="000B1890"/>
    <w:rsid w:val="000B19DA"/>
    <w:rsid w:val="000B1DA3"/>
    <w:rsid w:val="000B462E"/>
    <w:rsid w:val="000B47C7"/>
    <w:rsid w:val="000B6CB9"/>
    <w:rsid w:val="000B7385"/>
    <w:rsid w:val="000B7A79"/>
    <w:rsid w:val="000C0354"/>
    <w:rsid w:val="000C0883"/>
    <w:rsid w:val="000C14A1"/>
    <w:rsid w:val="000C1CCC"/>
    <w:rsid w:val="000C2B4F"/>
    <w:rsid w:val="000C2FFB"/>
    <w:rsid w:val="000C3081"/>
    <w:rsid w:val="000C3E0C"/>
    <w:rsid w:val="000C46D5"/>
    <w:rsid w:val="000C470C"/>
    <w:rsid w:val="000C4DF8"/>
    <w:rsid w:val="000C61E5"/>
    <w:rsid w:val="000C73D6"/>
    <w:rsid w:val="000C7FB2"/>
    <w:rsid w:val="000D0297"/>
    <w:rsid w:val="000D0450"/>
    <w:rsid w:val="000D093C"/>
    <w:rsid w:val="000D1551"/>
    <w:rsid w:val="000D3F86"/>
    <w:rsid w:val="000D45DE"/>
    <w:rsid w:val="000D462C"/>
    <w:rsid w:val="000D4855"/>
    <w:rsid w:val="000D4AFD"/>
    <w:rsid w:val="000D5892"/>
    <w:rsid w:val="000E08F9"/>
    <w:rsid w:val="000E1935"/>
    <w:rsid w:val="000E1D1F"/>
    <w:rsid w:val="000E1D83"/>
    <w:rsid w:val="000E2DA0"/>
    <w:rsid w:val="000E42FD"/>
    <w:rsid w:val="000E5104"/>
    <w:rsid w:val="000E5230"/>
    <w:rsid w:val="000E6A6D"/>
    <w:rsid w:val="000E709A"/>
    <w:rsid w:val="000E7A65"/>
    <w:rsid w:val="000F00D9"/>
    <w:rsid w:val="000F08C3"/>
    <w:rsid w:val="000F2402"/>
    <w:rsid w:val="000F28B4"/>
    <w:rsid w:val="000F2A19"/>
    <w:rsid w:val="000F2DE2"/>
    <w:rsid w:val="000F3149"/>
    <w:rsid w:val="000F37E3"/>
    <w:rsid w:val="000F3D62"/>
    <w:rsid w:val="000F4F58"/>
    <w:rsid w:val="000F50D0"/>
    <w:rsid w:val="000F5B10"/>
    <w:rsid w:val="000F5C76"/>
    <w:rsid w:val="000F683F"/>
    <w:rsid w:val="000F6BD2"/>
    <w:rsid w:val="00100454"/>
    <w:rsid w:val="001005AC"/>
    <w:rsid w:val="00100982"/>
    <w:rsid w:val="001010A0"/>
    <w:rsid w:val="00101576"/>
    <w:rsid w:val="00101860"/>
    <w:rsid w:val="001018F7"/>
    <w:rsid w:val="001019A1"/>
    <w:rsid w:val="00101E03"/>
    <w:rsid w:val="001020BD"/>
    <w:rsid w:val="00102ABA"/>
    <w:rsid w:val="00102C87"/>
    <w:rsid w:val="00102D3F"/>
    <w:rsid w:val="00103692"/>
    <w:rsid w:val="00103B12"/>
    <w:rsid w:val="00104FA9"/>
    <w:rsid w:val="00105922"/>
    <w:rsid w:val="00106D42"/>
    <w:rsid w:val="00107541"/>
    <w:rsid w:val="001077B2"/>
    <w:rsid w:val="0010791B"/>
    <w:rsid w:val="001100D1"/>
    <w:rsid w:val="0011040E"/>
    <w:rsid w:val="00110531"/>
    <w:rsid w:val="00110802"/>
    <w:rsid w:val="0011398D"/>
    <w:rsid w:val="00113DAB"/>
    <w:rsid w:val="001141A4"/>
    <w:rsid w:val="001141AE"/>
    <w:rsid w:val="00114619"/>
    <w:rsid w:val="00114946"/>
    <w:rsid w:val="00114BFB"/>
    <w:rsid w:val="00116250"/>
    <w:rsid w:val="00116A97"/>
    <w:rsid w:val="00116EEC"/>
    <w:rsid w:val="0011711C"/>
    <w:rsid w:val="00117C60"/>
    <w:rsid w:val="00117F14"/>
    <w:rsid w:val="001206BD"/>
    <w:rsid w:val="00121694"/>
    <w:rsid w:val="00121AE4"/>
    <w:rsid w:val="0012258F"/>
    <w:rsid w:val="001226AE"/>
    <w:rsid w:val="00122975"/>
    <w:rsid w:val="001230AC"/>
    <w:rsid w:val="00124714"/>
    <w:rsid w:val="00124B3E"/>
    <w:rsid w:val="00127081"/>
    <w:rsid w:val="001270C1"/>
    <w:rsid w:val="00127BAE"/>
    <w:rsid w:val="001302A7"/>
    <w:rsid w:val="00130C0E"/>
    <w:rsid w:val="0013103A"/>
    <w:rsid w:val="001312D6"/>
    <w:rsid w:val="001314C5"/>
    <w:rsid w:val="00132481"/>
    <w:rsid w:val="001333C0"/>
    <w:rsid w:val="00133511"/>
    <w:rsid w:val="00133FA8"/>
    <w:rsid w:val="00134839"/>
    <w:rsid w:val="00134EE7"/>
    <w:rsid w:val="00134FBB"/>
    <w:rsid w:val="00135942"/>
    <w:rsid w:val="0013671F"/>
    <w:rsid w:val="00136A27"/>
    <w:rsid w:val="00136A2D"/>
    <w:rsid w:val="00136A74"/>
    <w:rsid w:val="00136E4E"/>
    <w:rsid w:val="001412E0"/>
    <w:rsid w:val="0014132D"/>
    <w:rsid w:val="0014348F"/>
    <w:rsid w:val="00143C3B"/>
    <w:rsid w:val="00144389"/>
    <w:rsid w:val="0014732C"/>
    <w:rsid w:val="001475B5"/>
    <w:rsid w:val="00147B7B"/>
    <w:rsid w:val="00147D09"/>
    <w:rsid w:val="0015093C"/>
    <w:rsid w:val="00150ADB"/>
    <w:rsid w:val="00153F12"/>
    <w:rsid w:val="00154484"/>
    <w:rsid w:val="0015559E"/>
    <w:rsid w:val="00155BEC"/>
    <w:rsid w:val="001572E8"/>
    <w:rsid w:val="00157E37"/>
    <w:rsid w:val="00157FF6"/>
    <w:rsid w:val="00160491"/>
    <w:rsid w:val="001609B0"/>
    <w:rsid w:val="00160BEE"/>
    <w:rsid w:val="00160D59"/>
    <w:rsid w:val="00161AC6"/>
    <w:rsid w:val="00162154"/>
    <w:rsid w:val="00162275"/>
    <w:rsid w:val="00162425"/>
    <w:rsid w:val="00162777"/>
    <w:rsid w:val="00162920"/>
    <w:rsid w:val="00163D07"/>
    <w:rsid w:val="001640A1"/>
    <w:rsid w:val="00164B56"/>
    <w:rsid w:val="001652D7"/>
    <w:rsid w:val="001656B2"/>
    <w:rsid w:val="0016584F"/>
    <w:rsid w:val="001661C8"/>
    <w:rsid w:val="00166978"/>
    <w:rsid w:val="00167E1A"/>
    <w:rsid w:val="00170752"/>
    <w:rsid w:val="001708F4"/>
    <w:rsid w:val="00170DAF"/>
    <w:rsid w:val="001714CD"/>
    <w:rsid w:val="001724BC"/>
    <w:rsid w:val="0017337C"/>
    <w:rsid w:val="0017358E"/>
    <w:rsid w:val="001737F5"/>
    <w:rsid w:val="00174DD0"/>
    <w:rsid w:val="0017526C"/>
    <w:rsid w:val="00175465"/>
    <w:rsid w:val="00175679"/>
    <w:rsid w:val="00175E64"/>
    <w:rsid w:val="00176786"/>
    <w:rsid w:val="00176FD4"/>
    <w:rsid w:val="0017710E"/>
    <w:rsid w:val="0017731E"/>
    <w:rsid w:val="00177731"/>
    <w:rsid w:val="001807CA"/>
    <w:rsid w:val="001814EE"/>
    <w:rsid w:val="00182D1F"/>
    <w:rsid w:val="0018307F"/>
    <w:rsid w:val="001836F6"/>
    <w:rsid w:val="00183D79"/>
    <w:rsid w:val="00184009"/>
    <w:rsid w:val="00184200"/>
    <w:rsid w:val="001853E9"/>
    <w:rsid w:val="00185409"/>
    <w:rsid w:val="00186AFB"/>
    <w:rsid w:val="00187C29"/>
    <w:rsid w:val="00190510"/>
    <w:rsid w:val="00190A11"/>
    <w:rsid w:val="00191240"/>
    <w:rsid w:val="00193582"/>
    <w:rsid w:val="001935FF"/>
    <w:rsid w:val="00193A30"/>
    <w:rsid w:val="0019584F"/>
    <w:rsid w:val="00196B82"/>
    <w:rsid w:val="00196C26"/>
    <w:rsid w:val="00197532"/>
    <w:rsid w:val="001A03A7"/>
    <w:rsid w:val="001A0E71"/>
    <w:rsid w:val="001A11D1"/>
    <w:rsid w:val="001A14D8"/>
    <w:rsid w:val="001A1637"/>
    <w:rsid w:val="001A2B2A"/>
    <w:rsid w:val="001A2BAB"/>
    <w:rsid w:val="001A30E8"/>
    <w:rsid w:val="001A3362"/>
    <w:rsid w:val="001A33B7"/>
    <w:rsid w:val="001A41FD"/>
    <w:rsid w:val="001A5A98"/>
    <w:rsid w:val="001A639A"/>
    <w:rsid w:val="001A69A2"/>
    <w:rsid w:val="001A6F4A"/>
    <w:rsid w:val="001A7694"/>
    <w:rsid w:val="001A76AA"/>
    <w:rsid w:val="001A7789"/>
    <w:rsid w:val="001A7DA4"/>
    <w:rsid w:val="001B1C20"/>
    <w:rsid w:val="001B310A"/>
    <w:rsid w:val="001B38D8"/>
    <w:rsid w:val="001B4296"/>
    <w:rsid w:val="001B52A0"/>
    <w:rsid w:val="001B5F65"/>
    <w:rsid w:val="001B6BA6"/>
    <w:rsid w:val="001B6CCB"/>
    <w:rsid w:val="001B747C"/>
    <w:rsid w:val="001B7B5E"/>
    <w:rsid w:val="001B7CDA"/>
    <w:rsid w:val="001B7E2B"/>
    <w:rsid w:val="001C052E"/>
    <w:rsid w:val="001C0754"/>
    <w:rsid w:val="001C0AE1"/>
    <w:rsid w:val="001C0C6B"/>
    <w:rsid w:val="001C1E69"/>
    <w:rsid w:val="001C2D37"/>
    <w:rsid w:val="001C35E9"/>
    <w:rsid w:val="001C511E"/>
    <w:rsid w:val="001C51AC"/>
    <w:rsid w:val="001C6954"/>
    <w:rsid w:val="001C75B4"/>
    <w:rsid w:val="001D0396"/>
    <w:rsid w:val="001D04FD"/>
    <w:rsid w:val="001D0AF2"/>
    <w:rsid w:val="001D0B96"/>
    <w:rsid w:val="001D0E78"/>
    <w:rsid w:val="001D11F8"/>
    <w:rsid w:val="001D2484"/>
    <w:rsid w:val="001D3CBE"/>
    <w:rsid w:val="001D4274"/>
    <w:rsid w:val="001D440F"/>
    <w:rsid w:val="001D4AB5"/>
    <w:rsid w:val="001D66AF"/>
    <w:rsid w:val="001D741B"/>
    <w:rsid w:val="001D7549"/>
    <w:rsid w:val="001E0198"/>
    <w:rsid w:val="001E0E37"/>
    <w:rsid w:val="001E0E78"/>
    <w:rsid w:val="001E1404"/>
    <w:rsid w:val="001E15F5"/>
    <w:rsid w:val="001E197C"/>
    <w:rsid w:val="001E2A98"/>
    <w:rsid w:val="001E3099"/>
    <w:rsid w:val="001E3732"/>
    <w:rsid w:val="001E3DB5"/>
    <w:rsid w:val="001E4D6A"/>
    <w:rsid w:val="001E5FC4"/>
    <w:rsid w:val="001E75DE"/>
    <w:rsid w:val="001E79E0"/>
    <w:rsid w:val="001E7E7B"/>
    <w:rsid w:val="001F0823"/>
    <w:rsid w:val="001F0C25"/>
    <w:rsid w:val="001F1007"/>
    <w:rsid w:val="001F23B7"/>
    <w:rsid w:val="001F29EF"/>
    <w:rsid w:val="001F2AA9"/>
    <w:rsid w:val="001F3913"/>
    <w:rsid w:val="001F3EBB"/>
    <w:rsid w:val="001F435C"/>
    <w:rsid w:val="001F4C7F"/>
    <w:rsid w:val="001F6C35"/>
    <w:rsid w:val="00200C04"/>
    <w:rsid w:val="002025A5"/>
    <w:rsid w:val="0020292B"/>
    <w:rsid w:val="00202B37"/>
    <w:rsid w:val="002033DF"/>
    <w:rsid w:val="002039DC"/>
    <w:rsid w:val="00204143"/>
    <w:rsid w:val="00205972"/>
    <w:rsid w:val="0020679D"/>
    <w:rsid w:val="00206A27"/>
    <w:rsid w:val="00206DA1"/>
    <w:rsid w:val="00207019"/>
    <w:rsid w:val="00211E67"/>
    <w:rsid w:val="00213050"/>
    <w:rsid w:val="0021333A"/>
    <w:rsid w:val="00213B63"/>
    <w:rsid w:val="00214A87"/>
    <w:rsid w:val="00215A55"/>
    <w:rsid w:val="002166D4"/>
    <w:rsid w:val="00216AA4"/>
    <w:rsid w:val="00216CF7"/>
    <w:rsid w:val="00216EDE"/>
    <w:rsid w:val="00221479"/>
    <w:rsid w:val="00222191"/>
    <w:rsid w:val="00223064"/>
    <w:rsid w:val="00223A6A"/>
    <w:rsid w:val="0022650C"/>
    <w:rsid w:val="002267EE"/>
    <w:rsid w:val="00227087"/>
    <w:rsid w:val="0023022E"/>
    <w:rsid w:val="0023065D"/>
    <w:rsid w:val="00230F57"/>
    <w:rsid w:val="00231A11"/>
    <w:rsid w:val="00231ED4"/>
    <w:rsid w:val="00232519"/>
    <w:rsid w:val="00232CBA"/>
    <w:rsid w:val="00232FB9"/>
    <w:rsid w:val="00233B74"/>
    <w:rsid w:val="002347AA"/>
    <w:rsid w:val="00235040"/>
    <w:rsid w:val="002374D4"/>
    <w:rsid w:val="00240131"/>
    <w:rsid w:val="0024035F"/>
    <w:rsid w:val="002418F1"/>
    <w:rsid w:val="00242E61"/>
    <w:rsid w:val="00243382"/>
    <w:rsid w:val="002437C8"/>
    <w:rsid w:val="00243C09"/>
    <w:rsid w:val="00243D00"/>
    <w:rsid w:val="00244191"/>
    <w:rsid w:val="00244791"/>
    <w:rsid w:val="00244B56"/>
    <w:rsid w:val="00244BE9"/>
    <w:rsid w:val="00244EE9"/>
    <w:rsid w:val="002466C0"/>
    <w:rsid w:val="0024675B"/>
    <w:rsid w:val="00246C10"/>
    <w:rsid w:val="002477A5"/>
    <w:rsid w:val="00250064"/>
    <w:rsid w:val="00250BB2"/>
    <w:rsid w:val="00250E24"/>
    <w:rsid w:val="002538A4"/>
    <w:rsid w:val="00254C5A"/>
    <w:rsid w:val="002556D6"/>
    <w:rsid w:val="002564EB"/>
    <w:rsid w:val="00256BBA"/>
    <w:rsid w:val="002575EC"/>
    <w:rsid w:val="00257752"/>
    <w:rsid w:val="0026145F"/>
    <w:rsid w:val="00261785"/>
    <w:rsid w:val="00263425"/>
    <w:rsid w:val="00263835"/>
    <w:rsid w:val="0026399B"/>
    <w:rsid w:val="0026402B"/>
    <w:rsid w:val="002654B5"/>
    <w:rsid w:val="00265B25"/>
    <w:rsid w:val="0026633C"/>
    <w:rsid w:val="002665E3"/>
    <w:rsid w:val="00267270"/>
    <w:rsid w:val="002677C8"/>
    <w:rsid w:val="002717E1"/>
    <w:rsid w:val="00271822"/>
    <w:rsid w:val="00271AF1"/>
    <w:rsid w:val="00271DAE"/>
    <w:rsid w:val="00272518"/>
    <w:rsid w:val="0027299A"/>
    <w:rsid w:val="00272D19"/>
    <w:rsid w:val="00272DDF"/>
    <w:rsid w:val="00272E43"/>
    <w:rsid w:val="002731AE"/>
    <w:rsid w:val="002737D7"/>
    <w:rsid w:val="00273A99"/>
    <w:rsid w:val="00273C02"/>
    <w:rsid w:val="00274D58"/>
    <w:rsid w:val="002750CE"/>
    <w:rsid w:val="00275546"/>
    <w:rsid w:val="00276707"/>
    <w:rsid w:val="0027671E"/>
    <w:rsid w:val="00276727"/>
    <w:rsid w:val="0028049D"/>
    <w:rsid w:val="002815F6"/>
    <w:rsid w:val="002817B0"/>
    <w:rsid w:val="00281C77"/>
    <w:rsid w:val="00282104"/>
    <w:rsid w:val="002825BB"/>
    <w:rsid w:val="0028524F"/>
    <w:rsid w:val="00285549"/>
    <w:rsid w:val="0028568D"/>
    <w:rsid w:val="00285821"/>
    <w:rsid w:val="002869F1"/>
    <w:rsid w:val="00286A37"/>
    <w:rsid w:val="00286EB4"/>
    <w:rsid w:val="00286F8A"/>
    <w:rsid w:val="00287E17"/>
    <w:rsid w:val="002901B8"/>
    <w:rsid w:val="00290222"/>
    <w:rsid w:val="00290AF8"/>
    <w:rsid w:val="00290CF8"/>
    <w:rsid w:val="00291A57"/>
    <w:rsid w:val="00292A0A"/>
    <w:rsid w:val="00293D75"/>
    <w:rsid w:val="00293E9B"/>
    <w:rsid w:val="00293F96"/>
    <w:rsid w:val="00295681"/>
    <w:rsid w:val="00296436"/>
    <w:rsid w:val="002969F7"/>
    <w:rsid w:val="00296A7C"/>
    <w:rsid w:val="002A0099"/>
    <w:rsid w:val="002A05AE"/>
    <w:rsid w:val="002A0CC9"/>
    <w:rsid w:val="002A2A6B"/>
    <w:rsid w:val="002A3146"/>
    <w:rsid w:val="002A3908"/>
    <w:rsid w:val="002A3A6C"/>
    <w:rsid w:val="002A3E43"/>
    <w:rsid w:val="002A44B6"/>
    <w:rsid w:val="002A45D8"/>
    <w:rsid w:val="002A4F78"/>
    <w:rsid w:val="002A5C1F"/>
    <w:rsid w:val="002A60C2"/>
    <w:rsid w:val="002A67C2"/>
    <w:rsid w:val="002A6B71"/>
    <w:rsid w:val="002A79CD"/>
    <w:rsid w:val="002B03BC"/>
    <w:rsid w:val="002B0FFA"/>
    <w:rsid w:val="002B235E"/>
    <w:rsid w:val="002B2B46"/>
    <w:rsid w:val="002B2CD8"/>
    <w:rsid w:val="002B3113"/>
    <w:rsid w:val="002B46EF"/>
    <w:rsid w:val="002B482D"/>
    <w:rsid w:val="002B576A"/>
    <w:rsid w:val="002B5953"/>
    <w:rsid w:val="002B6C97"/>
    <w:rsid w:val="002B756C"/>
    <w:rsid w:val="002B7570"/>
    <w:rsid w:val="002C0420"/>
    <w:rsid w:val="002C085F"/>
    <w:rsid w:val="002C0B93"/>
    <w:rsid w:val="002C1D11"/>
    <w:rsid w:val="002C2263"/>
    <w:rsid w:val="002C2F78"/>
    <w:rsid w:val="002C368B"/>
    <w:rsid w:val="002C3A75"/>
    <w:rsid w:val="002C458A"/>
    <w:rsid w:val="002C58A0"/>
    <w:rsid w:val="002C5B48"/>
    <w:rsid w:val="002C5D24"/>
    <w:rsid w:val="002C5F63"/>
    <w:rsid w:val="002C700C"/>
    <w:rsid w:val="002C7518"/>
    <w:rsid w:val="002C76C4"/>
    <w:rsid w:val="002D0251"/>
    <w:rsid w:val="002D0FB4"/>
    <w:rsid w:val="002D136C"/>
    <w:rsid w:val="002D1505"/>
    <w:rsid w:val="002D2282"/>
    <w:rsid w:val="002D26EC"/>
    <w:rsid w:val="002D2ACC"/>
    <w:rsid w:val="002D3CEA"/>
    <w:rsid w:val="002D43C3"/>
    <w:rsid w:val="002D74F2"/>
    <w:rsid w:val="002D79DC"/>
    <w:rsid w:val="002D79F8"/>
    <w:rsid w:val="002E0437"/>
    <w:rsid w:val="002E14DA"/>
    <w:rsid w:val="002E2441"/>
    <w:rsid w:val="002E3AF4"/>
    <w:rsid w:val="002E3D60"/>
    <w:rsid w:val="002E5419"/>
    <w:rsid w:val="002E5520"/>
    <w:rsid w:val="002E5D97"/>
    <w:rsid w:val="002E7B1C"/>
    <w:rsid w:val="002F01F3"/>
    <w:rsid w:val="002F07BE"/>
    <w:rsid w:val="002F0D73"/>
    <w:rsid w:val="002F12FC"/>
    <w:rsid w:val="002F1C6A"/>
    <w:rsid w:val="002F24C2"/>
    <w:rsid w:val="002F32B0"/>
    <w:rsid w:val="002F3E44"/>
    <w:rsid w:val="002F4276"/>
    <w:rsid w:val="002F47BF"/>
    <w:rsid w:val="002F70B4"/>
    <w:rsid w:val="002F7EE9"/>
    <w:rsid w:val="003000E8"/>
    <w:rsid w:val="003008E4"/>
    <w:rsid w:val="00300E52"/>
    <w:rsid w:val="00301B57"/>
    <w:rsid w:val="0030247E"/>
    <w:rsid w:val="0030266D"/>
    <w:rsid w:val="003030C4"/>
    <w:rsid w:val="00303D6A"/>
    <w:rsid w:val="0030470B"/>
    <w:rsid w:val="00304914"/>
    <w:rsid w:val="003057EB"/>
    <w:rsid w:val="0030583E"/>
    <w:rsid w:val="00305A3A"/>
    <w:rsid w:val="00306D54"/>
    <w:rsid w:val="00310187"/>
    <w:rsid w:val="003103A1"/>
    <w:rsid w:val="003117C2"/>
    <w:rsid w:val="00311A47"/>
    <w:rsid w:val="00312F92"/>
    <w:rsid w:val="00314F80"/>
    <w:rsid w:val="00315A2E"/>
    <w:rsid w:val="003164C5"/>
    <w:rsid w:val="0031654D"/>
    <w:rsid w:val="003175F2"/>
    <w:rsid w:val="00317655"/>
    <w:rsid w:val="00320235"/>
    <w:rsid w:val="003204FF"/>
    <w:rsid w:val="00321898"/>
    <w:rsid w:val="00322CE9"/>
    <w:rsid w:val="003235AD"/>
    <w:rsid w:val="00323715"/>
    <w:rsid w:val="003253CA"/>
    <w:rsid w:val="003255F2"/>
    <w:rsid w:val="00326038"/>
    <w:rsid w:val="00326473"/>
    <w:rsid w:val="00330BD8"/>
    <w:rsid w:val="0033246B"/>
    <w:rsid w:val="00332B59"/>
    <w:rsid w:val="003333F0"/>
    <w:rsid w:val="0033342C"/>
    <w:rsid w:val="00334292"/>
    <w:rsid w:val="0033506F"/>
    <w:rsid w:val="003351CB"/>
    <w:rsid w:val="00335767"/>
    <w:rsid w:val="00335BD0"/>
    <w:rsid w:val="003364AE"/>
    <w:rsid w:val="0033678B"/>
    <w:rsid w:val="0033678D"/>
    <w:rsid w:val="003368BC"/>
    <w:rsid w:val="003368EB"/>
    <w:rsid w:val="0034039B"/>
    <w:rsid w:val="003405EB"/>
    <w:rsid w:val="00341752"/>
    <w:rsid w:val="00341A77"/>
    <w:rsid w:val="00342113"/>
    <w:rsid w:val="0034368D"/>
    <w:rsid w:val="0034373A"/>
    <w:rsid w:val="00344923"/>
    <w:rsid w:val="00344F6D"/>
    <w:rsid w:val="0034543C"/>
    <w:rsid w:val="003454C2"/>
    <w:rsid w:val="0034596C"/>
    <w:rsid w:val="00345DE2"/>
    <w:rsid w:val="00345E88"/>
    <w:rsid w:val="0034687D"/>
    <w:rsid w:val="00346A65"/>
    <w:rsid w:val="00347F09"/>
    <w:rsid w:val="003516D0"/>
    <w:rsid w:val="003520CC"/>
    <w:rsid w:val="0035239D"/>
    <w:rsid w:val="00353FA7"/>
    <w:rsid w:val="00357027"/>
    <w:rsid w:val="0035746F"/>
    <w:rsid w:val="0035766E"/>
    <w:rsid w:val="00357AE3"/>
    <w:rsid w:val="003605CF"/>
    <w:rsid w:val="003612EB"/>
    <w:rsid w:val="00361DD1"/>
    <w:rsid w:val="00362859"/>
    <w:rsid w:val="003661AA"/>
    <w:rsid w:val="00366C7A"/>
    <w:rsid w:val="00366CD6"/>
    <w:rsid w:val="003671F4"/>
    <w:rsid w:val="003679CC"/>
    <w:rsid w:val="00370006"/>
    <w:rsid w:val="00371528"/>
    <w:rsid w:val="003715A5"/>
    <w:rsid w:val="00371ADC"/>
    <w:rsid w:val="0037216A"/>
    <w:rsid w:val="00373531"/>
    <w:rsid w:val="00373535"/>
    <w:rsid w:val="003736E8"/>
    <w:rsid w:val="00373CAB"/>
    <w:rsid w:val="00374463"/>
    <w:rsid w:val="00374753"/>
    <w:rsid w:val="003752DA"/>
    <w:rsid w:val="003758DE"/>
    <w:rsid w:val="00375A2D"/>
    <w:rsid w:val="00376A19"/>
    <w:rsid w:val="00377877"/>
    <w:rsid w:val="00377A6B"/>
    <w:rsid w:val="00377D3A"/>
    <w:rsid w:val="003810F2"/>
    <w:rsid w:val="00381660"/>
    <w:rsid w:val="00381988"/>
    <w:rsid w:val="00381F4F"/>
    <w:rsid w:val="00382310"/>
    <w:rsid w:val="00382D37"/>
    <w:rsid w:val="00382D79"/>
    <w:rsid w:val="00383CDB"/>
    <w:rsid w:val="00384FBC"/>
    <w:rsid w:val="00385280"/>
    <w:rsid w:val="00386733"/>
    <w:rsid w:val="00387753"/>
    <w:rsid w:val="00391207"/>
    <w:rsid w:val="00391980"/>
    <w:rsid w:val="00392147"/>
    <w:rsid w:val="0039258D"/>
    <w:rsid w:val="00392E0E"/>
    <w:rsid w:val="00393BF6"/>
    <w:rsid w:val="00394483"/>
    <w:rsid w:val="0039482E"/>
    <w:rsid w:val="00394DD8"/>
    <w:rsid w:val="00395CF0"/>
    <w:rsid w:val="00396E48"/>
    <w:rsid w:val="003A0DB1"/>
    <w:rsid w:val="003A1ACE"/>
    <w:rsid w:val="003A1C28"/>
    <w:rsid w:val="003A20B1"/>
    <w:rsid w:val="003A2309"/>
    <w:rsid w:val="003A3347"/>
    <w:rsid w:val="003A5271"/>
    <w:rsid w:val="003A6A3C"/>
    <w:rsid w:val="003A72E5"/>
    <w:rsid w:val="003B03D8"/>
    <w:rsid w:val="003B06F0"/>
    <w:rsid w:val="003B09A0"/>
    <w:rsid w:val="003B0E97"/>
    <w:rsid w:val="003B14BF"/>
    <w:rsid w:val="003B18B1"/>
    <w:rsid w:val="003B228F"/>
    <w:rsid w:val="003B24B2"/>
    <w:rsid w:val="003B318A"/>
    <w:rsid w:val="003B524C"/>
    <w:rsid w:val="003B5E15"/>
    <w:rsid w:val="003B68A2"/>
    <w:rsid w:val="003B7795"/>
    <w:rsid w:val="003B7D3C"/>
    <w:rsid w:val="003C0C76"/>
    <w:rsid w:val="003C1642"/>
    <w:rsid w:val="003C1822"/>
    <w:rsid w:val="003C2619"/>
    <w:rsid w:val="003C2995"/>
    <w:rsid w:val="003C2BE8"/>
    <w:rsid w:val="003C3D03"/>
    <w:rsid w:val="003C3E6A"/>
    <w:rsid w:val="003C5B66"/>
    <w:rsid w:val="003C607F"/>
    <w:rsid w:val="003C6FEF"/>
    <w:rsid w:val="003C7080"/>
    <w:rsid w:val="003C75C9"/>
    <w:rsid w:val="003C7BAA"/>
    <w:rsid w:val="003D0028"/>
    <w:rsid w:val="003D06FB"/>
    <w:rsid w:val="003D0DFD"/>
    <w:rsid w:val="003D0EA6"/>
    <w:rsid w:val="003D13C1"/>
    <w:rsid w:val="003D3163"/>
    <w:rsid w:val="003D37DB"/>
    <w:rsid w:val="003D3AE6"/>
    <w:rsid w:val="003D3EBC"/>
    <w:rsid w:val="003D41F9"/>
    <w:rsid w:val="003D64A8"/>
    <w:rsid w:val="003D6AE1"/>
    <w:rsid w:val="003D7B37"/>
    <w:rsid w:val="003D7DA6"/>
    <w:rsid w:val="003E0E7E"/>
    <w:rsid w:val="003E3067"/>
    <w:rsid w:val="003E324C"/>
    <w:rsid w:val="003E3802"/>
    <w:rsid w:val="003E4E1F"/>
    <w:rsid w:val="003E4F94"/>
    <w:rsid w:val="003E5413"/>
    <w:rsid w:val="003E55F7"/>
    <w:rsid w:val="003E5891"/>
    <w:rsid w:val="003E6077"/>
    <w:rsid w:val="003E614B"/>
    <w:rsid w:val="003E66AF"/>
    <w:rsid w:val="003E6F2F"/>
    <w:rsid w:val="003E7324"/>
    <w:rsid w:val="003E7817"/>
    <w:rsid w:val="003E7E0A"/>
    <w:rsid w:val="003F0257"/>
    <w:rsid w:val="003F115E"/>
    <w:rsid w:val="003F340F"/>
    <w:rsid w:val="003F34C9"/>
    <w:rsid w:val="003F3634"/>
    <w:rsid w:val="003F514A"/>
    <w:rsid w:val="003F51BA"/>
    <w:rsid w:val="003F53E3"/>
    <w:rsid w:val="003F5A9E"/>
    <w:rsid w:val="003F6D88"/>
    <w:rsid w:val="003F6E2B"/>
    <w:rsid w:val="004000ED"/>
    <w:rsid w:val="004009F6"/>
    <w:rsid w:val="00400B39"/>
    <w:rsid w:val="00401143"/>
    <w:rsid w:val="004017FB"/>
    <w:rsid w:val="0040188D"/>
    <w:rsid w:val="00401A4F"/>
    <w:rsid w:val="004043CA"/>
    <w:rsid w:val="00406B90"/>
    <w:rsid w:val="004073DB"/>
    <w:rsid w:val="00410C9E"/>
    <w:rsid w:val="00410CB2"/>
    <w:rsid w:val="00410E28"/>
    <w:rsid w:val="004112B0"/>
    <w:rsid w:val="004115F9"/>
    <w:rsid w:val="0041212E"/>
    <w:rsid w:val="004122ED"/>
    <w:rsid w:val="00415458"/>
    <w:rsid w:val="00416845"/>
    <w:rsid w:val="00416C1E"/>
    <w:rsid w:val="00416CC6"/>
    <w:rsid w:val="00416DEC"/>
    <w:rsid w:val="004170ED"/>
    <w:rsid w:val="00417789"/>
    <w:rsid w:val="004218FA"/>
    <w:rsid w:val="00421A83"/>
    <w:rsid w:val="00421CE6"/>
    <w:rsid w:val="004224BC"/>
    <w:rsid w:val="00422752"/>
    <w:rsid w:val="00422BB5"/>
    <w:rsid w:val="004235D3"/>
    <w:rsid w:val="00423682"/>
    <w:rsid w:val="00423969"/>
    <w:rsid w:val="00423EB2"/>
    <w:rsid w:val="004248F7"/>
    <w:rsid w:val="00425749"/>
    <w:rsid w:val="00426105"/>
    <w:rsid w:val="004264A5"/>
    <w:rsid w:val="004274EA"/>
    <w:rsid w:val="00427FC2"/>
    <w:rsid w:val="0043069B"/>
    <w:rsid w:val="0043072C"/>
    <w:rsid w:val="00430E61"/>
    <w:rsid w:val="004327B9"/>
    <w:rsid w:val="00432BF4"/>
    <w:rsid w:val="00432D8A"/>
    <w:rsid w:val="00433740"/>
    <w:rsid w:val="00433D0F"/>
    <w:rsid w:val="00437101"/>
    <w:rsid w:val="00437839"/>
    <w:rsid w:val="004378FF"/>
    <w:rsid w:val="00440772"/>
    <w:rsid w:val="00442916"/>
    <w:rsid w:val="00443884"/>
    <w:rsid w:val="00443E89"/>
    <w:rsid w:val="0044418C"/>
    <w:rsid w:val="00444637"/>
    <w:rsid w:val="004455DA"/>
    <w:rsid w:val="00446347"/>
    <w:rsid w:val="00446523"/>
    <w:rsid w:val="00447125"/>
    <w:rsid w:val="0044722E"/>
    <w:rsid w:val="0044777A"/>
    <w:rsid w:val="00447A65"/>
    <w:rsid w:val="00450205"/>
    <w:rsid w:val="004506E8"/>
    <w:rsid w:val="004510FC"/>
    <w:rsid w:val="0045123D"/>
    <w:rsid w:val="00451821"/>
    <w:rsid w:val="004546B0"/>
    <w:rsid w:val="00454E0C"/>
    <w:rsid w:val="00455482"/>
    <w:rsid w:val="004554E1"/>
    <w:rsid w:val="0045618E"/>
    <w:rsid w:val="004562EC"/>
    <w:rsid w:val="00456DCD"/>
    <w:rsid w:val="004570F4"/>
    <w:rsid w:val="0045736C"/>
    <w:rsid w:val="00457B2F"/>
    <w:rsid w:val="004603DB"/>
    <w:rsid w:val="004605FE"/>
    <w:rsid w:val="00460775"/>
    <w:rsid w:val="00460BEA"/>
    <w:rsid w:val="0046322D"/>
    <w:rsid w:val="00463F1C"/>
    <w:rsid w:val="0046541C"/>
    <w:rsid w:val="00467B6B"/>
    <w:rsid w:val="00470173"/>
    <w:rsid w:val="00470A36"/>
    <w:rsid w:val="00470E01"/>
    <w:rsid w:val="00472E54"/>
    <w:rsid w:val="00474338"/>
    <w:rsid w:val="00474571"/>
    <w:rsid w:val="0047510D"/>
    <w:rsid w:val="00477155"/>
    <w:rsid w:val="00477307"/>
    <w:rsid w:val="004779D8"/>
    <w:rsid w:val="004779F0"/>
    <w:rsid w:val="00477C88"/>
    <w:rsid w:val="00480ECC"/>
    <w:rsid w:val="004815EE"/>
    <w:rsid w:val="004824F6"/>
    <w:rsid w:val="004826E0"/>
    <w:rsid w:val="00482A95"/>
    <w:rsid w:val="00482B7E"/>
    <w:rsid w:val="00482EE6"/>
    <w:rsid w:val="00484D98"/>
    <w:rsid w:val="00485E92"/>
    <w:rsid w:val="004864FB"/>
    <w:rsid w:val="00486B6C"/>
    <w:rsid w:val="00486BF4"/>
    <w:rsid w:val="0048713B"/>
    <w:rsid w:val="00487C1E"/>
    <w:rsid w:val="00491285"/>
    <w:rsid w:val="004919D8"/>
    <w:rsid w:val="00491DFF"/>
    <w:rsid w:val="00492B9D"/>
    <w:rsid w:val="004942F1"/>
    <w:rsid w:val="00494B76"/>
    <w:rsid w:val="004955B3"/>
    <w:rsid w:val="0049596E"/>
    <w:rsid w:val="00495A01"/>
    <w:rsid w:val="004961F0"/>
    <w:rsid w:val="00496217"/>
    <w:rsid w:val="00496259"/>
    <w:rsid w:val="004A1356"/>
    <w:rsid w:val="004A24F0"/>
    <w:rsid w:val="004A2741"/>
    <w:rsid w:val="004A32BE"/>
    <w:rsid w:val="004A3540"/>
    <w:rsid w:val="004A3656"/>
    <w:rsid w:val="004A3742"/>
    <w:rsid w:val="004A3C33"/>
    <w:rsid w:val="004A4A67"/>
    <w:rsid w:val="004A512B"/>
    <w:rsid w:val="004A5876"/>
    <w:rsid w:val="004A7F49"/>
    <w:rsid w:val="004B1B2D"/>
    <w:rsid w:val="004B2622"/>
    <w:rsid w:val="004B32F0"/>
    <w:rsid w:val="004B36DC"/>
    <w:rsid w:val="004B4297"/>
    <w:rsid w:val="004B4976"/>
    <w:rsid w:val="004B4AA0"/>
    <w:rsid w:val="004B5D0E"/>
    <w:rsid w:val="004B6008"/>
    <w:rsid w:val="004B6F57"/>
    <w:rsid w:val="004C0278"/>
    <w:rsid w:val="004C032C"/>
    <w:rsid w:val="004C1BDB"/>
    <w:rsid w:val="004C1FB9"/>
    <w:rsid w:val="004C1FD5"/>
    <w:rsid w:val="004C2A47"/>
    <w:rsid w:val="004C2AB8"/>
    <w:rsid w:val="004C2C52"/>
    <w:rsid w:val="004C363E"/>
    <w:rsid w:val="004C675C"/>
    <w:rsid w:val="004C6DAD"/>
    <w:rsid w:val="004D133B"/>
    <w:rsid w:val="004D1C4F"/>
    <w:rsid w:val="004D1E56"/>
    <w:rsid w:val="004D1F97"/>
    <w:rsid w:val="004D2902"/>
    <w:rsid w:val="004D3800"/>
    <w:rsid w:val="004D46E6"/>
    <w:rsid w:val="004D57E8"/>
    <w:rsid w:val="004D5E32"/>
    <w:rsid w:val="004D5EE1"/>
    <w:rsid w:val="004D668C"/>
    <w:rsid w:val="004D6C3C"/>
    <w:rsid w:val="004D7593"/>
    <w:rsid w:val="004E0E02"/>
    <w:rsid w:val="004E150B"/>
    <w:rsid w:val="004E19B5"/>
    <w:rsid w:val="004E1A91"/>
    <w:rsid w:val="004E2D56"/>
    <w:rsid w:val="004E3295"/>
    <w:rsid w:val="004E33AE"/>
    <w:rsid w:val="004E3459"/>
    <w:rsid w:val="004E3F49"/>
    <w:rsid w:val="004E4095"/>
    <w:rsid w:val="004E5349"/>
    <w:rsid w:val="004E5ACD"/>
    <w:rsid w:val="004E6152"/>
    <w:rsid w:val="004E737B"/>
    <w:rsid w:val="004E74BD"/>
    <w:rsid w:val="004E7E4D"/>
    <w:rsid w:val="004F0318"/>
    <w:rsid w:val="004F0B68"/>
    <w:rsid w:val="004F197D"/>
    <w:rsid w:val="004F2FE0"/>
    <w:rsid w:val="004F36EE"/>
    <w:rsid w:val="004F3BEF"/>
    <w:rsid w:val="004F5CFB"/>
    <w:rsid w:val="004F6B2A"/>
    <w:rsid w:val="004F736A"/>
    <w:rsid w:val="004F759C"/>
    <w:rsid w:val="004F75C4"/>
    <w:rsid w:val="00500657"/>
    <w:rsid w:val="005018CA"/>
    <w:rsid w:val="00502E27"/>
    <w:rsid w:val="00502FC0"/>
    <w:rsid w:val="0050359B"/>
    <w:rsid w:val="00504598"/>
    <w:rsid w:val="00506641"/>
    <w:rsid w:val="005078ED"/>
    <w:rsid w:val="005107EF"/>
    <w:rsid w:val="0051080E"/>
    <w:rsid w:val="0051081C"/>
    <w:rsid w:val="005116E1"/>
    <w:rsid w:val="005117CD"/>
    <w:rsid w:val="0051251B"/>
    <w:rsid w:val="00512726"/>
    <w:rsid w:val="005132A9"/>
    <w:rsid w:val="005137F0"/>
    <w:rsid w:val="00513A86"/>
    <w:rsid w:val="0051455D"/>
    <w:rsid w:val="00514A6E"/>
    <w:rsid w:val="00515145"/>
    <w:rsid w:val="00515E60"/>
    <w:rsid w:val="00516141"/>
    <w:rsid w:val="00516C95"/>
    <w:rsid w:val="00516CA8"/>
    <w:rsid w:val="00516DE8"/>
    <w:rsid w:val="00517045"/>
    <w:rsid w:val="0051733B"/>
    <w:rsid w:val="00517443"/>
    <w:rsid w:val="005179AD"/>
    <w:rsid w:val="00517E0B"/>
    <w:rsid w:val="0052082B"/>
    <w:rsid w:val="005209D1"/>
    <w:rsid w:val="00520E87"/>
    <w:rsid w:val="00521E44"/>
    <w:rsid w:val="005221B7"/>
    <w:rsid w:val="00523D35"/>
    <w:rsid w:val="005246B2"/>
    <w:rsid w:val="0052516C"/>
    <w:rsid w:val="005255CB"/>
    <w:rsid w:val="00525DCE"/>
    <w:rsid w:val="005265BB"/>
    <w:rsid w:val="00526652"/>
    <w:rsid w:val="005269C1"/>
    <w:rsid w:val="005269E6"/>
    <w:rsid w:val="00526F40"/>
    <w:rsid w:val="00527386"/>
    <w:rsid w:val="005275D6"/>
    <w:rsid w:val="00531560"/>
    <w:rsid w:val="005329DD"/>
    <w:rsid w:val="00534AA9"/>
    <w:rsid w:val="00535533"/>
    <w:rsid w:val="005368F8"/>
    <w:rsid w:val="00540C8A"/>
    <w:rsid w:val="005410C7"/>
    <w:rsid w:val="00541211"/>
    <w:rsid w:val="005415B1"/>
    <w:rsid w:val="00541954"/>
    <w:rsid w:val="00541EE0"/>
    <w:rsid w:val="00541F35"/>
    <w:rsid w:val="00541FE6"/>
    <w:rsid w:val="0054276E"/>
    <w:rsid w:val="0054284F"/>
    <w:rsid w:val="00542A80"/>
    <w:rsid w:val="005435A6"/>
    <w:rsid w:val="00543E10"/>
    <w:rsid w:val="00544011"/>
    <w:rsid w:val="005455E0"/>
    <w:rsid w:val="005459E2"/>
    <w:rsid w:val="00546EC4"/>
    <w:rsid w:val="00546F68"/>
    <w:rsid w:val="00546FBB"/>
    <w:rsid w:val="00550DC3"/>
    <w:rsid w:val="0055164F"/>
    <w:rsid w:val="005516A0"/>
    <w:rsid w:val="00551E4A"/>
    <w:rsid w:val="005520D9"/>
    <w:rsid w:val="00552A7A"/>
    <w:rsid w:val="0055373C"/>
    <w:rsid w:val="005549E4"/>
    <w:rsid w:val="00555115"/>
    <w:rsid w:val="00555AB6"/>
    <w:rsid w:val="00556BCC"/>
    <w:rsid w:val="00560974"/>
    <w:rsid w:val="00560C8B"/>
    <w:rsid w:val="00560DBA"/>
    <w:rsid w:val="005616EC"/>
    <w:rsid w:val="00562AD3"/>
    <w:rsid w:val="00562D6D"/>
    <w:rsid w:val="0056357E"/>
    <w:rsid w:val="005641A6"/>
    <w:rsid w:val="005647A6"/>
    <w:rsid w:val="005648A7"/>
    <w:rsid w:val="00564BD5"/>
    <w:rsid w:val="00565427"/>
    <w:rsid w:val="005658DC"/>
    <w:rsid w:val="00565C71"/>
    <w:rsid w:val="00567798"/>
    <w:rsid w:val="00567A22"/>
    <w:rsid w:val="005708DB"/>
    <w:rsid w:val="00571757"/>
    <w:rsid w:val="00571ADB"/>
    <w:rsid w:val="00573400"/>
    <w:rsid w:val="00573616"/>
    <w:rsid w:val="00573AAD"/>
    <w:rsid w:val="00573E4A"/>
    <w:rsid w:val="005740B0"/>
    <w:rsid w:val="005741B0"/>
    <w:rsid w:val="00574826"/>
    <w:rsid w:val="005749CB"/>
    <w:rsid w:val="00574D62"/>
    <w:rsid w:val="0057588F"/>
    <w:rsid w:val="0057798B"/>
    <w:rsid w:val="00580177"/>
    <w:rsid w:val="0058119B"/>
    <w:rsid w:val="005812CC"/>
    <w:rsid w:val="005817FB"/>
    <w:rsid w:val="00581AD3"/>
    <w:rsid w:val="005822CE"/>
    <w:rsid w:val="0058277F"/>
    <w:rsid w:val="00582A90"/>
    <w:rsid w:val="00582B51"/>
    <w:rsid w:val="00582D16"/>
    <w:rsid w:val="00584412"/>
    <w:rsid w:val="00584440"/>
    <w:rsid w:val="0058457D"/>
    <w:rsid w:val="00584933"/>
    <w:rsid w:val="00587B6D"/>
    <w:rsid w:val="00590D80"/>
    <w:rsid w:val="005912E3"/>
    <w:rsid w:val="00591595"/>
    <w:rsid w:val="00591804"/>
    <w:rsid w:val="00591EFD"/>
    <w:rsid w:val="00592157"/>
    <w:rsid w:val="00593811"/>
    <w:rsid w:val="00593EBE"/>
    <w:rsid w:val="005943CC"/>
    <w:rsid w:val="00595C47"/>
    <w:rsid w:val="00595D67"/>
    <w:rsid w:val="00595EC9"/>
    <w:rsid w:val="00595EE4"/>
    <w:rsid w:val="00596126"/>
    <w:rsid w:val="005965D1"/>
    <w:rsid w:val="005A07E2"/>
    <w:rsid w:val="005A09CD"/>
    <w:rsid w:val="005A0D02"/>
    <w:rsid w:val="005A1083"/>
    <w:rsid w:val="005A1715"/>
    <w:rsid w:val="005A1AB8"/>
    <w:rsid w:val="005A20A6"/>
    <w:rsid w:val="005A2365"/>
    <w:rsid w:val="005A2572"/>
    <w:rsid w:val="005A29D6"/>
    <w:rsid w:val="005A2A7E"/>
    <w:rsid w:val="005A38D4"/>
    <w:rsid w:val="005A4C72"/>
    <w:rsid w:val="005A4C98"/>
    <w:rsid w:val="005A511A"/>
    <w:rsid w:val="005A5698"/>
    <w:rsid w:val="005A58B0"/>
    <w:rsid w:val="005A646E"/>
    <w:rsid w:val="005A6862"/>
    <w:rsid w:val="005A6A61"/>
    <w:rsid w:val="005A72E2"/>
    <w:rsid w:val="005B038A"/>
    <w:rsid w:val="005B1379"/>
    <w:rsid w:val="005B15C5"/>
    <w:rsid w:val="005B184A"/>
    <w:rsid w:val="005B19D0"/>
    <w:rsid w:val="005B1B5A"/>
    <w:rsid w:val="005B20AF"/>
    <w:rsid w:val="005B2874"/>
    <w:rsid w:val="005B311A"/>
    <w:rsid w:val="005B4E22"/>
    <w:rsid w:val="005B61B0"/>
    <w:rsid w:val="005B61E8"/>
    <w:rsid w:val="005B65A1"/>
    <w:rsid w:val="005B73CC"/>
    <w:rsid w:val="005B7B74"/>
    <w:rsid w:val="005B7C9C"/>
    <w:rsid w:val="005C0363"/>
    <w:rsid w:val="005C04F5"/>
    <w:rsid w:val="005C0D34"/>
    <w:rsid w:val="005C0EBF"/>
    <w:rsid w:val="005C2334"/>
    <w:rsid w:val="005C250D"/>
    <w:rsid w:val="005C2C2B"/>
    <w:rsid w:val="005C4310"/>
    <w:rsid w:val="005C4660"/>
    <w:rsid w:val="005C53D4"/>
    <w:rsid w:val="005C5711"/>
    <w:rsid w:val="005C575E"/>
    <w:rsid w:val="005C647A"/>
    <w:rsid w:val="005C66ED"/>
    <w:rsid w:val="005C6A7B"/>
    <w:rsid w:val="005C7192"/>
    <w:rsid w:val="005C7C0D"/>
    <w:rsid w:val="005D0054"/>
    <w:rsid w:val="005D0D32"/>
    <w:rsid w:val="005D116A"/>
    <w:rsid w:val="005D2BEE"/>
    <w:rsid w:val="005D409A"/>
    <w:rsid w:val="005D6107"/>
    <w:rsid w:val="005D6390"/>
    <w:rsid w:val="005D66F5"/>
    <w:rsid w:val="005D7B4D"/>
    <w:rsid w:val="005E131E"/>
    <w:rsid w:val="005E2094"/>
    <w:rsid w:val="005E22E1"/>
    <w:rsid w:val="005E27C7"/>
    <w:rsid w:val="005E3045"/>
    <w:rsid w:val="005E3C59"/>
    <w:rsid w:val="005E49B1"/>
    <w:rsid w:val="005E4BAE"/>
    <w:rsid w:val="005E55A2"/>
    <w:rsid w:val="005E5F13"/>
    <w:rsid w:val="005E608F"/>
    <w:rsid w:val="005E69CD"/>
    <w:rsid w:val="005E75F5"/>
    <w:rsid w:val="005E7C16"/>
    <w:rsid w:val="005F01DF"/>
    <w:rsid w:val="005F04C6"/>
    <w:rsid w:val="005F1828"/>
    <w:rsid w:val="005F1D1A"/>
    <w:rsid w:val="005F213A"/>
    <w:rsid w:val="005F2A24"/>
    <w:rsid w:val="005F2AD8"/>
    <w:rsid w:val="005F2B7F"/>
    <w:rsid w:val="005F32C2"/>
    <w:rsid w:val="005F3E1B"/>
    <w:rsid w:val="005F3FCA"/>
    <w:rsid w:val="005F522E"/>
    <w:rsid w:val="005F5911"/>
    <w:rsid w:val="005F62FA"/>
    <w:rsid w:val="005F6403"/>
    <w:rsid w:val="005F7AA9"/>
    <w:rsid w:val="005F7FA8"/>
    <w:rsid w:val="006002F0"/>
    <w:rsid w:val="00600829"/>
    <w:rsid w:val="00601D6F"/>
    <w:rsid w:val="00602D88"/>
    <w:rsid w:val="006033BF"/>
    <w:rsid w:val="00604419"/>
    <w:rsid w:val="00604DCB"/>
    <w:rsid w:val="00605381"/>
    <w:rsid w:val="006061C4"/>
    <w:rsid w:val="006064D1"/>
    <w:rsid w:val="00606F39"/>
    <w:rsid w:val="0060762E"/>
    <w:rsid w:val="00607DB4"/>
    <w:rsid w:val="006101DF"/>
    <w:rsid w:val="0061095E"/>
    <w:rsid w:val="00610DD3"/>
    <w:rsid w:val="00610F76"/>
    <w:rsid w:val="00611690"/>
    <w:rsid w:val="006118B5"/>
    <w:rsid w:val="00611E95"/>
    <w:rsid w:val="006124EF"/>
    <w:rsid w:val="006129FA"/>
    <w:rsid w:val="00613759"/>
    <w:rsid w:val="00615910"/>
    <w:rsid w:val="00615B29"/>
    <w:rsid w:val="006168C5"/>
    <w:rsid w:val="00616D68"/>
    <w:rsid w:val="00617481"/>
    <w:rsid w:val="00617D96"/>
    <w:rsid w:val="00617EA2"/>
    <w:rsid w:val="00620F1E"/>
    <w:rsid w:val="006214FF"/>
    <w:rsid w:val="00621A82"/>
    <w:rsid w:val="00622A35"/>
    <w:rsid w:val="00623679"/>
    <w:rsid w:val="0062378F"/>
    <w:rsid w:val="00624DF7"/>
    <w:rsid w:val="00625FED"/>
    <w:rsid w:val="00626A6E"/>
    <w:rsid w:val="00626CCB"/>
    <w:rsid w:val="006279F0"/>
    <w:rsid w:val="00627CBB"/>
    <w:rsid w:val="00627F4A"/>
    <w:rsid w:val="00630AC5"/>
    <w:rsid w:val="00631E3F"/>
    <w:rsid w:val="006326A3"/>
    <w:rsid w:val="006326CE"/>
    <w:rsid w:val="006328FC"/>
    <w:rsid w:val="006333A5"/>
    <w:rsid w:val="00633EA6"/>
    <w:rsid w:val="0063412F"/>
    <w:rsid w:val="00634158"/>
    <w:rsid w:val="006356D2"/>
    <w:rsid w:val="00635743"/>
    <w:rsid w:val="0063698B"/>
    <w:rsid w:val="00636B65"/>
    <w:rsid w:val="00640B94"/>
    <w:rsid w:val="00640D68"/>
    <w:rsid w:val="006419BC"/>
    <w:rsid w:val="00642369"/>
    <w:rsid w:val="00642A4E"/>
    <w:rsid w:val="00642A77"/>
    <w:rsid w:val="00642CCF"/>
    <w:rsid w:val="00643354"/>
    <w:rsid w:val="00643592"/>
    <w:rsid w:val="006459B9"/>
    <w:rsid w:val="0064665A"/>
    <w:rsid w:val="006504C8"/>
    <w:rsid w:val="00651DA6"/>
    <w:rsid w:val="0065271E"/>
    <w:rsid w:val="00652A36"/>
    <w:rsid w:val="006533D4"/>
    <w:rsid w:val="006535B5"/>
    <w:rsid w:val="00653CD5"/>
    <w:rsid w:val="00653F0F"/>
    <w:rsid w:val="00654D86"/>
    <w:rsid w:val="006554B7"/>
    <w:rsid w:val="0065591B"/>
    <w:rsid w:val="00655E21"/>
    <w:rsid w:val="006560AD"/>
    <w:rsid w:val="006564E2"/>
    <w:rsid w:val="0065653A"/>
    <w:rsid w:val="0065703F"/>
    <w:rsid w:val="006572F8"/>
    <w:rsid w:val="00657828"/>
    <w:rsid w:val="00664317"/>
    <w:rsid w:val="00664E56"/>
    <w:rsid w:val="0066663F"/>
    <w:rsid w:val="00666F8A"/>
    <w:rsid w:val="006704CD"/>
    <w:rsid w:val="00670B70"/>
    <w:rsid w:val="00670BBC"/>
    <w:rsid w:val="00670DAF"/>
    <w:rsid w:val="006710B5"/>
    <w:rsid w:val="00671DCB"/>
    <w:rsid w:val="00673698"/>
    <w:rsid w:val="00673AB8"/>
    <w:rsid w:val="00673D48"/>
    <w:rsid w:val="00674873"/>
    <w:rsid w:val="00674A5B"/>
    <w:rsid w:val="006750A3"/>
    <w:rsid w:val="00675418"/>
    <w:rsid w:val="006757D5"/>
    <w:rsid w:val="00676BE5"/>
    <w:rsid w:val="00680155"/>
    <w:rsid w:val="006818B4"/>
    <w:rsid w:val="00681BBB"/>
    <w:rsid w:val="00681EE8"/>
    <w:rsid w:val="00682BA1"/>
    <w:rsid w:val="0068307E"/>
    <w:rsid w:val="00683376"/>
    <w:rsid w:val="00683BB9"/>
    <w:rsid w:val="00683BF1"/>
    <w:rsid w:val="006876C5"/>
    <w:rsid w:val="00690126"/>
    <w:rsid w:val="00690E94"/>
    <w:rsid w:val="00690F5C"/>
    <w:rsid w:val="00691013"/>
    <w:rsid w:val="00691040"/>
    <w:rsid w:val="006910B9"/>
    <w:rsid w:val="00692BE2"/>
    <w:rsid w:val="00693EC0"/>
    <w:rsid w:val="00695153"/>
    <w:rsid w:val="00696937"/>
    <w:rsid w:val="00697A82"/>
    <w:rsid w:val="00697C18"/>
    <w:rsid w:val="00697CB6"/>
    <w:rsid w:val="006A0793"/>
    <w:rsid w:val="006A26A7"/>
    <w:rsid w:val="006A3036"/>
    <w:rsid w:val="006A41B5"/>
    <w:rsid w:val="006A4A67"/>
    <w:rsid w:val="006A5FCC"/>
    <w:rsid w:val="006A6104"/>
    <w:rsid w:val="006A6B50"/>
    <w:rsid w:val="006A75FE"/>
    <w:rsid w:val="006A7E19"/>
    <w:rsid w:val="006B0835"/>
    <w:rsid w:val="006B1354"/>
    <w:rsid w:val="006B1720"/>
    <w:rsid w:val="006B1AC7"/>
    <w:rsid w:val="006B1C80"/>
    <w:rsid w:val="006B247B"/>
    <w:rsid w:val="006B2532"/>
    <w:rsid w:val="006B31DA"/>
    <w:rsid w:val="006B3EAA"/>
    <w:rsid w:val="006B470D"/>
    <w:rsid w:val="006B5764"/>
    <w:rsid w:val="006B5A7C"/>
    <w:rsid w:val="006B5D7B"/>
    <w:rsid w:val="006B5FAA"/>
    <w:rsid w:val="006B6752"/>
    <w:rsid w:val="006B7443"/>
    <w:rsid w:val="006C078A"/>
    <w:rsid w:val="006C0F73"/>
    <w:rsid w:val="006C2AEC"/>
    <w:rsid w:val="006C37C2"/>
    <w:rsid w:val="006C4402"/>
    <w:rsid w:val="006C57BF"/>
    <w:rsid w:val="006C67D6"/>
    <w:rsid w:val="006C7842"/>
    <w:rsid w:val="006D0B2A"/>
    <w:rsid w:val="006D18DB"/>
    <w:rsid w:val="006D2288"/>
    <w:rsid w:val="006D23C6"/>
    <w:rsid w:val="006D26F3"/>
    <w:rsid w:val="006D282B"/>
    <w:rsid w:val="006D4828"/>
    <w:rsid w:val="006D595D"/>
    <w:rsid w:val="006D67EA"/>
    <w:rsid w:val="006D7186"/>
    <w:rsid w:val="006D7267"/>
    <w:rsid w:val="006D7C5A"/>
    <w:rsid w:val="006D7DA0"/>
    <w:rsid w:val="006E0D9A"/>
    <w:rsid w:val="006E11E9"/>
    <w:rsid w:val="006E1244"/>
    <w:rsid w:val="006E1EB0"/>
    <w:rsid w:val="006E37CA"/>
    <w:rsid w:val="006E3BA2"/>
    <w:rsid w:val="006E5AD8"/>
    <w:rsid w:val="006E5B26"/>
    <w:rsid w:val="006E64F6"/>
    <w:rsid w:val="006E6661"/>
    <w:rsid w:val="006E6A08"/>
    <w:rsid w:val="006E6A1F"/>
    <w:rsid w:val="006E6B8E"/>
    <w:rsid w:val="006E7353"/>
    <w:rsid w:val="006E78EF"/>
    <w:rsid w:val="006E7AD3"/>
    <w:rsid w:val="006E7DC3"/>
    <w:rsid w:val="006F0465"/>
    <w:rsid w:val="006F1E5D"/>
    <w:rsid w:val="006F22A6"/>
    <w:rsid w:val="006F272E"/>
    <w:rsid w:val="006F2AB8"/>
    <w:rsid w:val="006F2F60"/>
    <w:rsid w:val="006F3124"/>
    <w:rsid w:val="006F3577"/>
    <w:rsid w:val="006F4491"/>
    <w:rsid w:val="006F5321"/>
    <w:rsid w:val="006F6540"/>
    <w:rsid w:val="006F6D3A"/>
    <w:rsid w:val="006F747C"/>
    <w:rsid w:val="007019F7"/>
    <w:rsid w:val="00701B2B"/>
    <w:rsid w:val="00702D6E"/>
    <w:rsid w:val="00704719"/>
    <w:rsid w:val="00704A1A"/>
    <w:rsid w:val="00706203"/>
    <w:rsid w:val="00706C7B"/>
    <w:rsid w:val="00706D02"/>
    <w:rsid w:val="007074A9"/>
    <w:rsid w:val="00711AE3"/>
    <w:rsid w:val="007121E6"/>
    <w:rsid w:val="007123F1"/>
    <w:rsid w:val="007135D8"/>
    <w:rsid w:val="00714572"/>
    <w:rsid w:val="0071561B"/>
    <w:rsid w:val="0071562A"/>
    <w:rsid w:val="00715742"/>
    <w:rsid w:val="00717042"/>
    <w:rsid w:val="007203BB"/>
    <w:rsid w:val="007205B5"/>
    <w:rsid w:val="0072071B"/>
    <w:rsid w:val="00720DDC"/>
    <w:rsid w:val="007222AB"/>
    <w:rsid w:val="00722B9A"/>
    <w:rsid w:val="00722F25"/>
    <w:rsid w:val="007243A6"/>
    <w:rsid w:val="00726A2F"/>
    <w:rsid w:val="00726EC2"/>
    <w:rsid w:val="0073038A"/>
    <w:rsid w:val="0073072C"/>
    <w:rsid w:val="0073091E"/>
    <w:rsid w:val="00731F86"/>
    <w:rsid w:val="0073266E"/>
    <w:rsid w:val="00732911"/>
    <w:rsid w:val="00732C0D"/>
    <w:rsid w:val="0073366F"/>
    <w:rsid w:val="00733E67"/>
    <w:rsid w:val="007340E7"/>
    <w:rsid w:val="00734453"/>
    <w:rsid w:val="007349BB"/>
    <w:rsid w:val="00734A21"/>
    <w:rsid w:val="00734D17"/>
    <w:rsid w:val="00735790"/>
    <w:rsid w:val="0073584C"/>
    <w:rsid w:val="007361C4"/>
    <w:rsid w:val="007371ED"/>
    <w:rsid w:val="00737BD1"/>
    <w:rsid w:val="00737CB1"/>
    <w:rsid w:val="00737D26"/>
    <w:rsid w:val="00737F75"/>
    <w:rsid w:val="00740BE3"/>
    <w:rsid w:val="00742921"/>
    <w:rsid w:val="00743384"/>
    <w:rsid w:val="007437A0"/>
    <w:rsid w:val="00743C21"/>
    <w:rsid w:val="00744906"/>
    <w:rsid w:val="00745132"/>
    <w:rsid w:val="00745189"/>
    <w:rsid w:val="0074575A"/>
    <w:rsid w:val="007457F6"/>
    <w:rsid w:val="00746854"/>
    <w:rsid w:val="00746FDE"/>
    <w:rsid w:val="00747402"/>
    <w:rsid w:val="00747620"/>
    <w:rsid w:val="00747C50"/>
    <w:rsid w:val="007502B3"/>
    <w:rsid w:val="007506A6"/>
    <w:rsid w:val="00750DF7"/>
    <w:rsid w:val="00751FAC"/>
    <w:rsid w:val="007524C4"/>
    <w:rsid w:val="0075263F"/>
    <w:rsid w:val="007531E5"/>
    <w:rsid w:val="00753BF9"/>
    <w:rsid w:val="00754862"/>
    <w:rsid w:val="00754CE4"/>
    <w:rsid w:val="00755445"/>
    <w:rsid w:val="00755A5C"/>
    <w:rsid w:val="00755D6F"/>
    <w:rsid w:val="0075625A"/>
    <w:rsid w:val="00756272"/>
    <w:rsid w:val="00756FEB"/>
    <w:rsid w:val="00757813"/>
    <w:rsid w:val="00757A82"/>
    <w:rsid w:val="00760B42"/>
    <w:rsid w:val="0076107E"/>
    <w:rsid w:val="007611FF"/>
    <w:rsid w:val="00761633"/>
    <w:rsid w:val="007621D8"/>
    <w:rsid w:val="00762D71"/>
    <w:rsid w:val="00762E91"/>
    <w:rsid w:val="00762FD5"/>
    <w:rsid w:val="0076694D"/>
    <w:rsid w:val="00766A5A"/>
    <w:rsid w:val="00766C0D"/>
    <w:rsid w:val="00766C18"/>
    <w:rsid w:val="00767FE5"/>
    <w:rsid w:val="00770CC3"/>
    <w:rsid w:val="00772376"/>
    <w:rsid w:val="00772C8F"/>
    <w:rsid w:val="007738A1"/>
    <w:rsid w:val="00773F15"/>
    <w:rsid w:val="0077412A"/>
    <w:rsid w:val="00774A0C"/>
    <w:rsid w:val="00774A1C"/>
    <w:rsid w:val="00774D7B"/>
    <w:rsid w:val="00774D80"/>
    <w:rsid w:val="00775389"/>
    <w:rsid w:val="007753F7"/>
    <w:rsid w:val="00776922"/>
    <w:rsid w:val="00777CA1"/>
    <w:rsid w:val="00777F46"/>
    <w:rsid w:val="007813FE"/>
    <w:rsid w:val="00781ACE"/>
    <w:rsid w:val="00781CE0"/>
    <w:rsid w:val="0078234B"/>
    <w:rsid w:val="0078373D"/>
    <w:rsid w:val="00785EFF"/>
    <w:rsid w:val="00785FC8"/>
    <w:rsid w:val="007865C3"/>
    <w:rsid w:val="00786BA5"/>
    <w:rsid w:val="007872B7"/>
    <w:rsid w:val="007877F9"/>
    <w:rsid w:val="0079230B"/>
    <w:rsid w:val="00793094"/>
    <w:rsid w:val="007938A0"/>
    <w:rsid w:val="00793BA3"/>
    <w:rsid w:val="00793E66"/>
    <w:rsid w:val="00794C93"/>
    <w:rsid w:val="00794CE3"/>
    <w:rsid w:val="0079514B"/>
    <w:rsid w:val="0079522C"/>
    <w:rsid w:val="00795924"/>
    <w:rsid w:val="0079653C"/>
    <w:rsid w:val="00797367"/>
    <w:rsid w:val="00797412"/>
    <w:rsid w:val="0079752F"/>
    <w:rsid w:val="00797587"/>
    <w:rsid w:val="00797CB5"/>
    <w:rsid w:val="007A0F0D"/>
    <w:rsid w:val="007A0FEA"/>
    <w:rsid w:val="007A2F38"/>
    <w:rsid w:val="007A351F"/>
    <w:rsid w:val="007A3CD4"/>
    <w:rsid w:val="007A4B78"/>
    <w:rsid w:val="007A4D6D"/>
    <w:rsid w:val="007A5479"/>
    <w:rsid w:val="007A5D22"/>
    <w:rsid w:val="007A6D8A"/>
    <w:rsid w:val="007A7BFC"/>
    <w:rsid w:val="007A7F3E"/>
    <w:rsid w:val="007B1E57"/>
    <w:rsid w:val="007B2033"/>
    <w:rsid w:val="007B210F"/>
    <w:rsid w:val="007B233A"/>
    <w:rsid w:val="007B2C18"/>
    <w:rsid w:val="007B2E5A"/>
    <w:rsid w:val="007B32CE"/>
    <w:rsid w:val="007B348B"/>
    <w:rsid w:val="007B44D1"/>
    <w:rsid w:val="007B4B39"/>
    <w:rsid w:val="007C084C"/>
    <w:rsid w:val="007C1638"/>
    <w:rsid w:val="007C166D"/>
    <w:rsid w:val="007C1E96"/>
    <w:rsid w:val="007C24DC"/>
    <w:rsid w:val="007C2F58"/>
    <w:rsid w:val="007C438F"/>
    <w:rsid w:val="007C4E31"/>
    <w:rsid w:val="007C4FA5"/>
    <w:rsid w:val="007C4FAD"/>
    <w:rsid w:val="007C4FDB"/>
    <w:rsid w:val="007C5E9D"/>
    <w:rsid w:val="007C6832"/>
    <w:rsid w:val="007C7AE1"/>
    <w:rsid w:val="007D0B83"/>
    <w:rsid w:val="007D14DC"/>
    <w:rsid w:val="007D202F"/>
    <w:rsid w:val="007D31C8"/>
    <w:rsid w:val="007D3414"/>
    <w:rsid w:val="007D46FD"/>
    <w:rsid w:val="007D4FAF"/>
    <w:rsid w:val="007D5130"/>
    <w:rsid w:val="007D5355"/>
    <w:rsid w:val="007D5953"/>
    <w:rsid w:val="007D6FC4"/>
    <w:rsid w:val="007E0C52"/>
    <w:rsid w:val="007E36FA"/>
    <w:rsid w:val="007E3FF8"/>
    <w:rsid w:val="007E423C"/>
    <w:rsid w:val="007E460E"/>
    <w:rsid w:val="007E4F3E"/>
    <w:rsid w:val="007E5BEE"/>
    <w:rsid w:val="007E648A"/>
    <w:rsid w:val="007E6490"/>
    <w:rsid w:val="007E6623"/>
    <w:rsid w:val="007E6ADE"/>
    <w:rsid w:val="007E7819"/>
    <w:rsid w:val="007E7BC8"/>
    <w:rsid w:val="007F022C"/>
    <w:rsid w:val="007F0AD3"/>
    <w:rsid w:val="007F0B62"/>
    <w:rsid w:val="007F105A"/>
    <w:rsid w:val="007F1B4A"/>
    <w:rsid w:val="007F20A3"/>
    <w:rsid w:val="007F2A9B"/>
    <w:rsid w:val="007F2F06"/>
    <w:rsid w:val="007F2F42"/>
    <w:rsid w:val="007F3429"/>
    <w:rsid w:val="007F38C4"/>
    <w:rsid w:val="007F4985"/>
    <w:rsid w:val="007F4D05"/>
    <w:rsid w:val="007F66EC"/>
    <w:rsid w:val="007F6962"/>
    <w:rsid w:val="007F6FAE"/>
    <w:rsid w:val="007F7D15"/>
    <w:rsid w:val="00800459"/>
    <w:rsid w:val="008008B7"/>
    <w:rsid w:val="008008EC"/>
    <w:rsid w:val="00801C60"/>
    <w:rsid w:val="00801EAD"/>
    <w:rsid w:val="0080251F"/>
    <w:rsid w:val="00802599"/>
    <w:rsid w:val="008034ED"/>
    <w:rsid w:val="00803C11"/>
    <w:rsid w:val="008043EF"/>
    <w:rsid w:val="0080525F"/>
    <w:rsid w:val="0080557E"/>
    <w:rsid w:val="008066A7"/>
    <w:rsid w:val="008071D4"/>
    <w:rsid w:val="00807CBA"/>
    <w:rsid w:val="00811F50"/>
    <w:rsid w:val="008128AC"/>
    <w:rsid w:val="00813395"/>
    <w:rsid w:val="00814653"/>
    <w:rsid w:val="00814EF7"/>
    <w:rsid w:val="0081581E"/>
    <w:rsid w:val="00815AD7"/>
    <w:rsid w:val="00815E9E"/>
    <w:rsid w:val="00816122"/>
    <w:rsid w:val="00816DA1"/>
    <w:rsid w:val="00816F56"/>
    <w:rsid w:val="00816F58"/>
    <w:rsid w:val="008170D2"/>
    <w:rsid w:val="008178BE"/>
    <w:rsid w:val="008210FF"/>
    <w:rsid w:val="00821A3B"/>
    <w:rsid w:val="00821E71"/>
    <w:rsid w:val="00823131"/>
    <w:rsid w:val="00823242"/>
    <w:rsid w:val="008239DD"/>
    <w:rsid w:val="00823A7C"/>
    <w:rsid w:val="00823CEC"/>
    <w:rsid w:val="0082492D"/>
    <w:rsid w:val="008249F1"/>
    <w:rsid w:val="00824D92"/>
    <w:rsid w:val="00824DA9"/>
    <w:rsid w:val="00825325"/>
    <w:rsid w:val="008255A6"/>
    <w:rsid w:val="00826110"/>
    <w:rsid w:val="008267EA"/>
    <w:rsid w:val="00826C1F"/>
    <w:rsid w:val="00827AF8"/>
    <w:rsid w:val="00830AC8"/>
    <w:rsid w:val="00831F70"/>
    <w:rsid w:val="008337B4"/>
    <w:rsid w:val="0083600D"/>
    <w:rsid w:val="008361D4"/>
    <w:rsid w:val="00836BAE"/>
    <w:rsid w:val="00836E64"/>
    <w:rsid w:val="00837633"/>
    <w:rsid w:val="008378F4"/>
    <w:rsid w:val="0083794C"/>
    <w:rsid w:val="00837A0E"/>
    <w:rsid w:val="00840061"/>
    <w:rsid w:val="008400D1"/>
    <w:rsid w:val="0084022F"/>
    <w:rsid w:val="008407D8"/>
    <w:rsid w:val="00840DCC"/>
    <w:rsid w:val="008429B1"/>
    <w:rsid w:val="00843277"/>
    <w:rsid w:val="0084398E"/>
    <w:rsid w:val="008439E5"/>
    <w:rsid w:val="008446D0"/>
    <w:rsid w:val="00844F2B"/>
    <w:rsid w:val="00845101"/>
    <w:rsid w:val="008455D0"/>
    <w:rsid w:val="00845FC7"/>
    <w:rsid w:val="008461D6"/>
    <w:rsid w:val="00846FA3"/>
    <w:rsid w:val="0085064F"/>
    <w:rsid w:val="00850C40"/>
    <w:rsid w:val="00850FD7"/>
    <w:rsid w:val="00851F55"/>
    <w:rsid w:val="008526DE"/>
    <w:rsid w:val="00853131"/>
    <w:rsid w:val="008535C8"/>
    <w:rsid w:val="008540E7"/>
    <w:rsid w:val="00854731"/>
    <w:rsid w:val="00854CB2"/>
    <w:rsid w:val="0085516F"/>
    <w:rsid w:val="00855CFB"/>
    <w:rsid w:val="00855E30"/>
    <w:rsid w:val="00856500"/>
    <w:rsid w:val="0085668A"/>
    <w:rsid w:val="00856DAB"/>
    <w:rsid w:val="00857924"/>
    <w:rsid w:val="00861BDE"/>
    <w:rsid w:val="00861DBC"/>
    <w:rsid w:val="008636FE"/>
    <w:rsid w:val="0086431F"/>
    <w:rsid w:val="008645C7"/>
    <w:rsid w:val="00864904"/>
    <w:rsid w:val="00864DE6"/>
    <w:rsid w:val="008656AB"/>
    <w:rsid w:val="00865EAF"/>
    <w:rsid w:val="00866B32"/>
    <w:rsid w:val="00867136"/>
    <w:rsid w:val="00870038"/>
    <w:rsid w:val="008705AB"/>
    <w:rsid w:val="00870D0C"/>
    <w:rsid w:val="00871D32"/>
    <w:rsid w:val="008724C4"/>
    <w:rsid w:val="008742B2"/>
    <w:rsid w:val="00874FA4"/>
    <w:rsid w:val="00875824"/>
    <w:rsid w:val="00875E39"/>
    <w:rsid w:val="00876665"/>
    <w:rsid w:val="0087735A"/>
    <w:rsid w:val="00877E91"/>
    <w:rsid w:val="008802F2"/>
    <w:rsid w:val="00881AC0"/>
    <w:rsid w:val="00881D3D"/>
    <w:rsid w:val="008821BA"/>
    <w:rsid w:val="008830E6"/>
    <w:rsid w:val="00883378"/>
    <w:rsid w:val="008836B9"/>
    <w:rsid w:val="00883DBC"/>
    <w:rsid w:val="008842C5"/>
    <w:rsid w:val="00884AD9"/>
    <w:rsid w:val="00884CE8"/>
    <w:rsid w:val="00885943"/>
    <w:rsid w:val="00885F18"/>
    <w:rsid w:val="00886014"/>
    <w:rsid w:val="008866EB"/>
    <w:rsid w:val="00890469"/>
    <w:rsid w:val="008909D6"/>
    <w:rsid w:val="00890A20"/>
    <w:rsid w:val="00891467"/>
    <w:rsid w:val="00891592"/>
    <w:rsid w:val="00891AD8"/>
    <w:rsid w:val="008924E0"/>
    <w:rsid w:val="00895BF4"/>
    <w:rsid w:val="00895CE1"/>
    <w:rsid w:val="00897028"/>
    <w:rsid w:val="00897D89"/>
    <w:rsid w:val="008A04DE"/>
    <w:rsid w:val="008A0669"/>
    <w:rsid w:val="008A07AD"/>
    <w:rsid w:val="008A1286"/>
    <w:rsid w:val="008A1BDC"/>
    <w:rsid w:val="008A37EC"/>
    <w:rsid w:val="008A3D6B"/>
    <w:rsid w:val="008A3DBA"/>
    <w:rsid w:val="008A3F47"/>
    <w:rsid w:val="008A426F"/>
    <w:rsid w:val="008A5035"/>
    <w:rsid w:val="008A54B8"/>
    <w:rsid w:val="008A6F54"/>
    <w:rsid w:val="008A6F55"/>
    <w:rsid w:val="008B0485"/>
    <w:rsid w:val="008B04FC"/>
    <w:rsid w:val="008B0DF1"/>
    <w:rsid w:val="008B1429"/>
    <w:rsid w:val="008B1C4F"/>
    <w:rsid w:val="008B1DA1"/>
    <w:rsid w:val="008B2588"/>
    <w:rsid w:val="008B35A8"/>
    <w:rsid w:val="008B4517"/>
    <w:rsid w:val="008B46BE"/>
    <w:rsid w:val="008B6B44"/>
    <w:rsid w:val="008B6C52"/>
    <w:rsid w:val="008C01DB"/>
    <w:rsid w:val="008C0286"/>
    <w:rsid w:val="008C0367"/>
    <w:rsid w:val="008C04AB"/>
    <w:rsid w:val="008C09E4"/>
    <w:rsid w:val="008C13DC"/>
    <w:rsid w:val="008C16C0"/>
    <w:rsid w:val="008C27CF"/>
    <w:rsid w:val="008C2BF6"/>
    <w:rsid w:val="008C3A56"/>
    <w:rsid w:val="008C481F"/>
    <w:rsid w:val="008C5C2D"/>
    <w:rsid w:val="008C6140"/>
    <w:rsid w:val="008C6A97"/>
    <w:rsid w:val="008C711A"/>
    <w:rsid w:val="008C7AF0"/>
    <w:rsid w:val="008D053F"/>
    <w:rsid w:val="008D1E17"/>
    <w:rsid w:val="008D2AD8"/>
    <w:rsid w:val="008D3000"/>
    <w:rsid w:val="008D3072"/>
    <w:rsid w:val="008D35FD"/>
    <w:rsid w:val="008D37B4"/>
    <w:rsid w:val="008D4581"/>
    <w:rsid w:val="008D4603"/>
    <w:rsid w:val="008D5CCE"/>
    <w:rsid w:val="008D69FD"/>
    <w:rsid w:val="008D6D1F"/>
    <w:rsid w:val="008D73D4"/>
    <w:rsid w:val="008D75B0"/>
    <w:rsid w:val="008D75D5"/>
    <w:rsid w:val="008D774C"/>
    <w:rsid w:val="008E063A"/>
    <w:rsid w:val="008E1468"/>
    <w:rsid w:val="008E2EAD"/>
    <w:rsid w:val="008E3015"/>
    <w:rsid w:val="008E3681"/>
    <w:rsid w:val="008E3727"/>
    <w:rsid w:val="008E4189"/>
    <w:rsid w:val="008E424F"/>
    <w:rsid w:val="008E4FE0"/>
    <w:rsid w:val="008E531B"/>
    <w:rsid w:val="008E5423"/>
    <w:rsid w:val="008E61B3"/>
    <w:rsid w:val="008E65A3"/>
    <w:rsid w:val="008E6ED7"/>
    <w:rsid w:val="008E74D0"/>
    <w:rsid w:val="008F0352"/>
    <w:rsid w:val="008F0AB9"/>
    <w:rsid w:val="008F0AF5"/>
    <w:rsid w:val="008F1EA4"/>
    <w:rsid w:val="008F2FA5"/>
    <w:rsid w:val="008F4668"/>
    <w:rsid w:val="008F5287"/>
    <w:rsid w:val="008F6B99"/>
    <w:rsid w:val="008F73BE"/>
    <w:rsid w:val="00900D94"/>
    <w:rsid w:val="009017DE"/>
    <w:rsid w:val="00901AC2"/>
    <w:rsid w:val="0090323D"/>
    <w:rsid w:val="00903598"/>
    <w:rsid w:val="0090407E"/>
    <w:rsid w:val="00904590"/>
    <w:rsid w:val="0090488B"/>
    <w:rsid w:val="00904BB0"/>
    <w:rsid w:val="00904D8D"/>
    <w:rsid w:val="009058DC"/>
    <w:rsid w:val="009067CE"/>
    <w:rsid w:val="009069DB"/>
    <w:rsid w:val="009070FD"/>
    <w:rsid w:val="00907EF6"/>
    <w:rsid w:val="009101D1"/>
    <w:rsid w:val="00910493"/>
    <w:rsid w:val="0091193A"/>
    <w:rsid w:val="00911E15"/>
    <w:rsid w:val="00912E06"/>
    <w:rsid w:val="009146DF"/>
    <w:rsid w:val="00914935"/>
    <w:rsid w:val="00915202"/>
    <w:rsid w:val="00915517"/>
    <w:rsid w:val="00916AFE"/>
    <w:rsid w:val="00916D3F"/>
    <w:rsid w:val="00917C1D"/>
    <w:rsid w:val="009200D9"/>
    <w:rsid w:val="009216A1"/>
    <w:rsid w:val="0092200C"/>
    <w:rsid w:val="0092216D"/>
    <w:rsid w:val="00923E77"/>
    <w:rsid w:val="009257C1"/>
    <w:rsid w:val="00927FA1"/>
    <w:rsid w:val="009301D5"/>
    <w:rsid w:val="00930E93"/>
    <w:rsid w:val="00931D25"/>
    <w:rsid w:val="00932304"/>
    <w:rsid w:val="00932968"/>
    <w:rsid w:val="00932C80"/>
    <w:rsid w:val="0093395B"/>
    <w:rsid w:val="00934398"/>
    <w:rsid w:val="00935AF9"/>
    <w:rsid w:val="00936FA0"/>
    <w:rsid w:val="009373C9"/>
    <w:rsid w:val="009374AE"/>
    <w:rsid w:val="00937690"/>
    <w:rsid w:val="00937EFD"/>
    <w:rsid w:val="009401DF"/>
    <w:rsid w:val="00940F35"/>
    <w:rsid w:val="009411FF"/>
    <w:rsid w:val="0094193F"/>
    <w:rsid w:val="00942CA9"/>
    <w:rsid w:val="0094367F"/>
    <w:rsid w:val="00943900"/>
    <w:rsid w:val="0094484A"/>
    <w:rsid w:val="0094553D"/>
    <w:rsid w:val="00945AD1"/>
    <w:rsid w:val="00945C25"/>
    <w:rsid w:val="00946B18"/>
    <w:rsid w:val="00946D83"/>
    <w:rsid w:val="00947C8E"/>
    <w:rsid w:val="00947E05"/>
    <w:rsid w:val="00950BCC"/>
    <w:rsid w:val="009515AC"/>
    <w:rsid w:val="0095181A"/>
    <w:rsid w:val="00951AA4"/>
    <w:rsid w:val="00951E30"/>
    <w:rsid w:val="009520E2"/>
    <w:rsid w:val="009525F9"/>
    <w:rsid w:val="009535D3"/>
    <w:rsid w:val="00954AB8"/>
    <w:rsid w:val="0095551F"/>
    <w:rsid w:val="009565EF"/>
    <w:rsid w:val="009571E4"/>
    <w:rsid w:val="00957A8E"/>
    <w:rsid w:val="009604E7"/>
    <w:rsid w:val="009606BF"/>
    <w:rsid w:val="00960919"/>
    <w:rsid w:val="00961119"/>
    <w:rsid w:val="0096220F"/>
    <w:rsid w:val="0096270B"/>
    <w:rsid w:val="00962DD2"/>
    <w:rsid w:val="00963B00"/>
    <w:rsid w:val="00964023"/>
    <w:rsid w:val="00965166"/>
    <w:rsid w:val="00965A81"/>
    <w:rsid w:val="00965E48"/>
    <w:rsid w:val="00966155"/>
    <w:rsid w:val="00966170"/>
    <w:rsid w:val="009663C1"/>
    <w:rsid w:val="0096652C"/>
    <w:rsid w:val="0096659F"/>
    <w:rsid w:val="00966A60"/>
    <w:rsid w:val="00966E4F"/>
    <w:rsid w:val="00967284"/>
    <w:rsid w:val="00967996"/>
    <w:rsid w:val="00967D19"/>
    <w:rsid w:val="00970F58"/>
    <w:rsid w:val="00970F86"/>
    <w:rsid w:val="00971239"/>
    <w:rsid w:val="0097250D"/>
    <w:rsid w:val="009730C2"/>
    <w:rsid w:val="00973D62"/>
    <w:rsid w:val="00974FCD"/>
    <w:rsid w:val="00976683"/>
    <w:rsid w:val="00976D3F"/>
    <w:rsid w:val="00980B3B"/>
    <w:rsid w:val="00982569"/>
    <w:rsid w:val="0098396D"/>
    <w:rsid w:val="009852EB"/>
    <w:rsid w:val="00985439"/>
    <w:rsid w:val="00985A0F"/>
    <w:rsid w:val="00985C1F"/>
    <w:rsid w:val="00986B53"/>
    <w:rsid w:val="00986FEF"/>
    <w:rsid w:val="00987A63"/>
    <w:rsid w:val="00987F7F"/>
    <w:rsid w:val="00991C19"/>
    <w:rsid w:val="00991CE2"/>
    <w:rsid w:val="00992DE4"/>
    <w:rsid w:val="00993FE4"/>
    <w:rsid w:val="00994E27"/>
    <w:rsid w:val="009961E9"/>
    <w:rsid w:val="0099793C"/>
    <w:rsid w:val="009A0296"/>
    <w:rsid w:val="009A0A07"/>
    <w:rsid w:val="009A2028"/>
    <w:rsid w:val="009A25F2"/>
    <w:rsid w:val="009A37C6"/>
    <w:rsid w:val="009A3A65"/>
    <w:rsid w:val="009A3B8F"/>
    <w:rsid w:val="009A4B9D"/>
    <w:rsid w:val="009A4F6D"/>
    <w:rsid w:val="009A5EEE"/>
    <w:rsid w:val="009A6F1D"/>
    <w:rsid w:val="009A7929"/>
    <w:rsid w:val="009A7ABD"/>
    <w:rsid w:val="009B1562"/>
    <w:rsid w:val="009B23E1"/>
    <w:rsid w:val="009B319B"/>
    <w:rsid w:val="009B31EF"/>
    <w:rsid w:val="009B37A3"/>
    <w:rsid w:val="009B3BB2"/>
    <w:rsid w:val="009B4576"/>
    <w:rsid w:val="009B4683"/>
    <w:rsid w:val="009B5705"/>
    <w:rsid w:val="009B5A85"/>
    <w:rsid w:val="009B5BAF"/>
    <w:rsid w:val="009B6375"/>
    <w:rsid w:val="009B6539"/>
    <w:rsid w:val="009B6BCD"/>
    <w:rsid w:val="009B7376"/>
    <w:rsid w:val="009C0692"/>
    <w:rsid w:val="009C06CC"/>
    <w:rsid w:val="009C0B38"/>
    <w:rsid w:val="009C1C72"/>
    <w:rsid w:val="009C1E9F"/>
    <w:rsid w:val="009C347B"/>
    <w:rsid w:val="009C3E7B"/>
    <w:rsid w:val="009C5253"/>
    <w:rsid w:val="009C5329"/>
    <w:rsid w:val="009C5FE4"/>
    <w:rsid w:val="009D0309"/>
    <w:rsid w:val="009D08BD"/>
    <w:rsid w:val="009D0C3D"/>
    <w:rsid w:val="009D1897"/>
    <w:rsid w:val="009D1C2E"/>
    <w:rsid w:val="009D1D06"/>
    <w:rsid w:val="009D285F"/>
    <w:rsid w:val="009D32A7"/>
    <w:rsid w:val="009D44EF"/>
    <w:rsid w:val="009D4802"/>
    <w:rsid w:val="009D535E"/>
    <w:rsid w:val="009D5BD4"/>
    <w:rsid w:val="009D74E9"/>
    <w:rsid w:val="009D787F"/>
    <w:rsid w:val="009D7C79"/>
    <w:rsid w:val="009E1C45"/>
    <w:rsid w:val="009E3255"/>
    <w:rsid w:val="009E68A4"/>
    <w:rsid w:val="009E71B6"/>
    <w:rsid w:val="009E7257"/>
    <w:rsid w:val="009F0137"/>
    <w:rsid w:val="009F1B6D"/>
    <w:rsid w:val="009F1F90"/>
    <w:rsid w:val="009F2135"/>
    <w:rsid w:val="009F27A4"/>
    <w:rsid w:val="009F2BF7"/>
    <w:rsid w:val="009F3776"/>
    <w:rsid w:val="009F4110"/>
    <w:rsid w:val="009F4593"/>
    <w:rsid w:val="009F4734"/>
    <w:rsid w:val="009F51AE"/>
    <w:rsid w:val="009F63D0"/>
    <w:rsid w:val="009F6522"/>
    <w:rsid w:val="009F67C9"/>
    <w:rsid w:val="009F6902"/>
    <w:rsid w:val="009F742D"/>
    <w:rsid w:val="009F76B3"/>
    <w:rsid w:val="00A00A95"/>
    <w:rsid w:val="00A00AA9"/>
    <w:rsid w:val="00A02395"/>
    <w:rsid w:val="00A027B8"/>
    <w:rsid w:val="00A02D38"/>
    <w:rsid w:val="00A02E9C"/>
    <w:rsid w:val="00A036F8"/>
    <w:rsid w:val="00A03F81"/>
    <w:rsid w:val="00A0408F"/>
    <w:rsid w:val="00A04110"/>
    <w:rsid w:val="00A043DE"/>
    <w:rsid w:val="00A049D1"/>
    <w:rsid w:val="00A058C5"/>
    <w:rsid w:val="00A05D33"/>
    <w:rsid w:val="00A05DBE"/>
    <w:rsid w:val="00A05DD9"/>
    <w:rsid w:val="00A06369"/>
    <w:rsid w:val="00A07F70"/>
    <w:rsid w:val="00A10534"/>
    <w:rsid w:val="00A13E29"/>
    <w:rsid w:val="00A15322"/>
    <w:rsid w:val="00A15924"/>
    <w:rsid w:val="00A15C93"/>
    <w:rsid w:val="00A16AF2"/>
    <w:rsid w:val="00A16EE3"/>
    <w:rsid w:val="00A176E8"/>
    <w:rsid w:val="00A17CBF"/>
    <w:rsid w:val="00A214F6"/>
    <w:rsid w:val="00A21A2B"/>
    <w:rsid w:val="00A21BF1"/>
    <w:rsid w:val="00A22C77"/>
    <w:rsid w:val="00A237EC"/>
    <w:rsid w:val="00A23D58"/>
    <w:rsid w:val="00A249CB"/>
    <w:rsid w:val="00A24F23"/>
    <w:rsid w:val="00A250FF"/>
    <w:rsid w:val="00A26C6A"/>
    <w:rsid w:val="00A27975"/>
    <w:rsid w:val="00A3044F"/>
    <w:rsid w:val="00A30D7D"/>
    <w:rsid w:val="00A31448"/>
    <w:rsid w:val="00A316B7"/>
    <w:rsid w:val="00A31EF3"/>
    <w:rsid w:val="00A32B50"/>
    <w:rsid w:val="00A33724"/>
    <w:rsid w:val="00A346C4"/>
    <w:rsid w:val="00A34B1C"/>
    <w:rsid w:val="00A35F59"/>
    <w:rsid w:val="00A370E3"/>
    <w:rsid w:val="00A41112"/>
    <w:rsid w:val="00A41E80"/>
    <w:rsid w:val="00A42722"/>
    <w:rsid w:val="00A43E74"/>
    <w:rsid w:val="00A44840"/>
    <w:rsid w:val="00A45D28"/>
    <w:rsid w:val="00A46524"/>
    <w:rsid w:val="00A4781A"/>
    <w:rsid w:val="00A4788F"/>
    <w:rsid w:val="00A47936"/>
    <w:rsid w:val="00A47E62"/>
    <w:rsid w:val="00A501C4"/>
    <w:rsid w:val="00A505F0"/>
    <w:rsid w:val="00A507C5"/>
    <w:rsid w:val="00A50F4D"/>
    <w:rsid w:val="00A517DB"/>
    <w:rsid w:val="00A51ECE"/>
    <w:rsid w:val="00A522D3"/>
    <w:rsid w:val="00A53FB3"/>
    <w:rsid w:val="00A540AA"/>
    <w:rsid w:val="00A5450B"/>
    <w:rsid w:val="00A54BAF"/>
    <w:rsid w:val="00A55355"/>
    <w:rsid w:val="00A55ED7"/>
    <w:rsid w:val="00A56142"/>
    <w:rsid w:val="00A564E3"/>
    <w:rsid w:val="00A56C30"/>
    <w:rsid w:val="00A56ECB"/>
    <w:rsid w:val="00A56FF6"/>
    <w:rsid w:val="00A57B78"/>
    <w:rsid w:val="00A57C05"/>
    <w:rsid w:val="00A57CCE"/>
    <w:rsid w:val="00A57F45"/>
    <w:rsid w:val="00A57FA0"/>
    <w:rsid w:val="00A60388"/>
    <w:rsid w:val="00A610B1"/>
    <w:rsid w:val="00A61423"/>
    <w:rsid w:val="00A62D47"/>
    <w:rsid w:val="00A63509"/>
    <w:rsid w:val="00A63C56"/>
    <w:rsid w:val="00A646FD"/>
    <w:rsid w:val="00A6561E"/>
    <w:rsid w:val="00A65835"/>
    <w:rsid w:val="00A66451"/>
    <w:rsid w:val="00A666F4"/>
    <w:rsid w:val="00A66CCE"/>
    <w:rsid w:val="00A67167"/>
    <w:rsid w:val="00A672AB"/>
    <w:rsid w:val="00A672F5"/>
    <w:rsid w:val="00A6753E"/>
    <w:rsid w:val="00A67F8B"/>
    <w:rsid w:val="00A708F1"/>
    <w:rsid w:val="00A70D90"/>
    <w:rsid w:val="00A72593"/>
    <w:rsid w:val="00A72B55"/>
    <w:rsid w:val="00A7356C"/>
    <w:rsid w:val="00A7490B"/>
    <w:rsid w:val="00A74DDE"/>
    <w:rsid w:val="00A74F07"/>
    <w:rsid w:val="00A754A3"/>
    <w:rsid w:val="00A75BA6"/>
    <w:rsid w:val="00A764C5"/>
    <w:rsid w:val="00A7726B"/>
    <w:rsid w:val="00A77BE2"/>
    <w:rsid w:val="00A80890"/>
    <w:rsid w:val="00A83A99"/>
    <w:rsid w:val="00A83D6C"/>
    <w:rsid w:val="00A85219"/>
    <w:rsid w:val="00A858CF"/>
    <w:rsid w:val="00A85A42"/>
    <w:rsid w:val="00A86BBE"/>
    <w:rsid w:val="00A870F6"/>
    <w:rsid w:val="00A875BD"/>
    <w:rsid w:val="00A90BBB"/>
    <w:rsid w:val="00A90DA1"/>
    <w:rsid w:val="00A91284"/>
    <w:rsid w:val="00A912DF"/>
    <w:rsid w:val="00A91E70"/>
    <w:rsid w:val="00A92406"/>
    <w:rsid w:val="00A93457"/>
    <w:rsid w:val="00A938B7"/>
    <w:rsid w:val="00A938CD"/>
    <w:rsid w:val="00A960BB"/>
    <w:rsid w:val="00A9627F"/>
    <w:rsid w:val="00A96309"/>
    <w:rsid w:val="00A96697"/>
    <w:rsid w:val="00A96AD1"/>
    <w:rsid w:val="00AA37FF"/>
    <w:rsid w:val="00AA483E"/>
    <w:rsid w:val="00AA542C"/>
    <w:rsid w:val="00AA667D"/>
    <w:rsid w:val="00AA6AA1"/>
    <w:rsid w:val="00AA6D11"/>
    <w:rsid w:val="00AA6D44"/>
    <w:rsid w:val="00AA7289"/>
    <w:rsid w:val="00AA78D9"/>
    <w:rsid w:val="00AA79E0"/>
    <w:rsid w:val="00AB0E6F"/>
    <w:rsid w:val="00AB0EC2"/>
    <w:rsid w:val="00AB1082"/>
    <w:rsid w:val="00AB1299"/>
    <w:rsid w:val="00AB2274"/>
    <w:rsid w:val="00AB2685"/>
    <w:rsid w:val="00AB2B40"/>
    <w:rsid w:val="00AB2D4B"/>
    <w:rsid w:val="00AB3284"/>
    <w:rsid w:val="00AB33DE"/>
    <w:rsid w:val="00AB381D"/>
    <w:rsid w:val="00AB3D83"/>
    <w:rsid w:val="00AB4BB6"/>
    <w:rsid w:val="00AB4F5A"/>
    <w:rsid w:val="00AB5008"/>
    <w:rsid w:val="00AB5643"/>
    <w:rsid w:val="00AB5CAA"/>
    <w:rsid w:val="00AB6CF1"/>
    <w:rsid w:val="00AB77EF"/>
    <w:rsid w:val="00AB780D"/>
    <w:rsid w:val="00AB7EDA"/>
    <w:rsid w:val="00AC0259"/>
    <w:rsid w:val="00AC06AE"/>
    <w:rsid w:val="00AC0805"/>
    <w:rsid w:val="00AC0FDB"/>
    <w:rsid w:val="00AC191E"/>
    <w:rsid w:val="00AC1E92"/>
    <w:rsid w:val="00AC2D72"/>
    <w:rsid w:val="00AC381F"/>
    <w:rsid w:val="00AC3C6D"/>
    <w:rsid w:val="00AC4C1E"/>
    <w:rsid w:val="00AC5377"/>
    <w:rsid w:val="00AC56BF"/>
    <w:rsid w:val="00AC6881"/>
    <w:rsid w:val="00AC6D22"/>
    <w:rsid w:val="00AC7541"/>
    <w:rsid w:val="00AC78F7"/>
    <w:rsid w:val="00AC7D42"/>
    <w:rsid w:val="00AC7D94"/>
    <w:rsid w:val="00AD0EB8"/>
    <w:rsid w:val="00AD110A"/>
    <w:rsid w:val="00AD2AE5"/>
    <w:rsid w:val="00AD419C"/>
    <w:rsid w:val="00AD440C"/>
    <w:rsid w:val="00AD4ADD"/>
    <w:rsid w:val="00AD5436"/>
    <w:rsid w:val="00AD55F9"/>
    <w:rsid w:val="00AD6888"/>
    <w:rsid w:val="00AD6AFC"/>
    <w:rsid w:val="00AD7C29"/>
    <w:rsid w:val="00AE07B5"/>
    <w:rsid w:val="00AE097D"/>
    <w:rsid w:val="00AE19BC"/>
    <w:rsid w:val="00AE2F7E"/>
    <w:rsid w:val="00AE37E8"/>
    <w:rsid w:val="00AE3DFA"/>
    <w:rsid w:val="00AE3F56"/>
    <w:rsid w:val="00AE4187"/>
    <w:rsid w:val="00AE4652"/>
    <w:rsid w:val="00AE4B11"/>
    <w:rsid w:val="00AE4CD3"/>
    <w:rsid w:val="00AE6B99"/>
    <w:rsid w:val="00AE7D6D"/>
    <w:rsid w:val="00AF0001"/>
    <w:rsid w:val="00AF0282"/>
    <w:rsid w:val="00AF0F93"/>
    <w:rsid w:val="00AF1D3E"/>
    <w:rsid w:val="00AF1EEB"/>
    <w:rsid w:val="00AF2DCC"/>
    <w:rsid w:val="00AF331D"/>
    <w:rsid w:val="00AF3382"/>
    <w:rsid w:val="00AF3A5F"/>
    <w:rsid w:val="00AF3BA0"/>
    <w:rsid w:val="00AF496F"/>
    <w:rsid w:val="00AF4A77"/>
    <w:rsid w:val="00AF59B7"/>
    <w:rsid w:val="00AF7961"/>
    <w:rsid w:val="00B00997"/>
    <w:rsid w:val="00B01255"/>
    <w:rsid w:val="00B017DD"/>
    <w:rsid w:val="00B01D37"/>
    <w:rsid w:val="00B03630"/>
    <w:rsid w:val="00B036ED"/>
    <w:rsid w:val="00B03FAD"/>
    <w:rsid w:val="00B043AC"/>
    <w:rsid w:val="00B047B7"/>
    <w:rsid w:val="00B04809"/>
    <w:rsid w:val="00B0513E"/>
    <w:rsid w:val="00B05803"/>
    <w:rsid w:val="00B0597A"/>
    <w:rsid w:val="00B05DDA"/>
    <w:rsid w:val="00B06254"/>
    <w:rsid w:val="00B0703F"/>
    <w:rsid w:val="00B0708C"/>
    <w:rsid w:val="00B07322"/>
    <w:rsid w:val="00B07890"/>
    <w:rsid w:val="00B07BC7"/>
    <w:rsid w:val="00B10646"/>
    <w:rsid w:val="00B10FC9"/>
    <w:rsid w:val="00B11131"/>
    <w:rsid w:val="00B1147E"/>
    <w:rsid w:val="00B11EED"/>
    <w:rsid w:val="00B12163"/>
    <w:rsid w:val="00B12412"/>
    <w:rsid w:val="00B126AF"/>
    <w:rsid w:val="00B1277C"/>
    <w:rsid w:val="00B13DD6"/>
    <w:rsid w:val="00B13DEB"/>
    <w:rsid w:val="00B15A30"/>
    <w:rsid w:val="00B17140"/>
    <w:rsid w:val="00B1759C"/>
    <w:rsid w:val="00B2006E"/>
    <w:rsid w:val="00B2014B"/>
    <w:rsid w:val="00B20457"/>
    <w:rsid w:val="00B235B7"/>
    <w:rsid w:val="00B255DC"/>
    <w:rsid w:val="00B2603F"/>
    <w:rsid w:val="00B26AE9"/>
    <w:rsid w:val="00B2723B"/>
    <w:rsid w:val="00B27D43"/>
    <w:rsid w:val="00B27D66"/>
    <w:rsid w:val="00B30020"/>
    <w:rsid w:val="00B3069A"/>
    <w:rsid w:val="00B306AD"/>
    <w:rsid w:val="00B306FE"/>
    <w:rsid w:val="00B30D7C"/>
    <w:rsid w:val="00B30EB7"/>
    <w:rsid w:val="00B30FFE"/>
    <w:rsid w:val="00B31167"/>
    <w:rsid w:val="00B316DB"/>
    <w:rsid w:val="00B32C70"/>
    <w:rsid w:val="00B33682"/>
    <w:rsid w:val="00B33C1F"/>
    <w:rsid w:val="00B35FC3"/>
    <w:rsid w:val="00B3664D"/>
    <w:rsid w:val="00B3736D"/>
    <w:rsid w:val="00B37954"/>
    <w:rsid w:val="00B37C2B"/>
    <w:rsid w:val="00B402B9"/>
    <w:rsid w:val="00B4061A"/>
    <w:rsid w:val="00B41691"/>
    <w:rsid w:val="00B4190B"/>
    <w:rsid w:val="00B42024"/>
    <w:rsid w:val="00B43166"/>
    <w:rsid w:val="00B439CC"/>
    <w:rsid w:val="00B44113"/>
    <w:rsid w:val="00B44B81"/>
    <w:rsid w:val="00B44F88"/>
    <w:rsid w:val="00B45AD7"/>
    <w:rsid w:val="00B4629E"/>
    <w:rsid w:val="00B462A3"/>
    <w:rsid w:val="00B47385"/>
    <w:rsid w:val="00B47959"/>
    <w:rsid w:val="00B50043"/>
    <w:rsid w:val="00B508F6"/>
    <w:rsid w:val="00B51E97"/>
    <w:rsid w:val="00B5222F"/>
    <w:rsid w:val="00B52361"/>
    <w:rsid w:val="00B52619"/>
    <w:rsid w:val="00B5350B"/>
    <w:rsid w:val="00B5398D"/>
    <w:rsid w:val="00B54C98"/>
    <w:rsid w:val="00B556EC"/>
    <w:rsid w:val="00B55B6C"/>
    <w:rsid w:val="00B55FAA"/>
    <w:rsid w:val="00B5674D"/>
    <w:rsid w:val="00B56B05"/>
    <w:rsid w:val="00B56D98"/>
    <w:rsid w:val="00B5725B"/>
    <w:rsid w:val="00B60532"/>
    <w:rsid w:val="00B6112A"/>
    <w:rsid w:val="00B615E4"/>
    <w:rsid w:val="00B616B4"/>
    <w:rsid w:val="00B618C0"/>
    <w:rsid w:val="00B6364B"/>
    <w:rsid w:val="00B647C9"/>
    <w:rsid w:val="00B65BFD"/>
    <w:rsid w:val="00B666DA"/>
    <w:rsid w:val="00B67357"/>
    <w:rsid w:val="00B67502"/>
    <w:rsid w:val="00B67626"/>
    <w:rsid w:val="00B7070D"/>
    <w:rsid w:val="00B7099F"/>
    <w:rsid w:val="00B70D52"/>
    <w:rsid w:val="00B721A9"/>
    <w:rsid w:val="00B72C21"/>
    <w:rsid w:val="00B72C22"/>
    <w:rsid w:val="00B7447C"/>
    <w:rsid w:val="00B74E2B"/>
    <w:rsid w:val="00B754CC"/>
    <w:rsid w:val="00B7555A"/>
    <w:rsid w:val="00B7771E"/>
    <w:rsid w:val="00B777B1"/>
    <w:rsid w:val="00B777C7"/>
    <w:rsid w:val="00B803BD"/>
    <w:rsid w:val="00B80E68"/>
    <w:rsid w:val="00B81A1A"/>
    <w:rsid w:val="00B81F30"/>
    <w:rsid w:val="00B824B5"/>
    <w:rsid w:val="00B82C30"/>
    <w:rsid w:val="00B83FAA"/>
    <w:rsid w:val="00B842BF"/>
    <w:rsid w:val="00B844A6"/>
    <w:rsid w:val="00B8464A"/>
    <w:rsid w:val="00B84A52"/>
    <w:rsid w:val="00B86C25"/>
    <w:rsid w:val="00B86D89"/>
    <w:rsid w:val="00B873FC"/>
    <w:rsid w:val="00B87985"/>
    <w:rsid w:val="00B92D96"/>
    <w:rsid w:val="00B940DF"/>
    <w:rsid w:val="00B94F6C"/>
    <w:rsid w:val="00B95C47"/>
    <w:rsid w:val="00B95F6D"/>
    <w:rsid w:val="00B9616A"/>
    <w:rsid w:val="00B966C3"/>
    <w:rsid w:val="00B9695D"/>
    <w:rsid w:val="00B975FA"/>
    <w:rsid w:val="00B97C6C"/>
    <w:rsid w:val="00B97E21"/>
    <w:rsid w:val="00BA0828"/>
    <w:rsid w:val="00BA0914"/>
    <w:rsid w:val="00BA18D2"/>
    <w:rsid w:val="00BA21E9"/>
    <w:rsid w:val="00BA36ED"/>
    <w:rsid w:val="00BA3815"/>
    <w:rsid w:val="00BA385D"/>
    <w:rsid w:val="00BA3DA3"/>
    <w:rsid w:val="00BA4689"/>
    <w:rsid w:val="00BA4BF8"/>
    <w:rsid w:val="00BA6700"/>
    <w:rsid w:val="00BA7293"/>
    <w:rsid w:val="00BB1179"/>
    <w:rsid w:val="00BB3C77"/>
    <w:rsid w:val="00BB4735"/>
    <w:rsid w:val="00BB4D15"/>
    <w:rsid w:val="00BB55DE"/>
    <w:rsid w:val="00BB56B7"/>
    <w:rsid w:val="00BB6964"/>
    <w:rsid w:val="00BB6F67"/>
    <w:rsid w:val="00BB70AA"/>
    <w:rsid w:val="00BB7F6D"/>
    <w:rsid w:val="00BC2F2F"/>
    <w:rsid w:val="00BC3B25"/>
    <w:rsid w:val="00BC3E83"/>
    <w:rsid w:val="00BC4D8E"/>
    <w:rsid w:val="00BC4F8F"/>
    <w:rsid w:val="00BC61DC"/>
    <w:rsid w:val="00BC66F4"/>
    <w:rsid w:val="00BC6E6C"/>
    <w:rsid w:val="00BD0566"/>
    <w:rsid w:val="00BD09C0"/>
    <w:rsid w:val="00BD1608"/>
    <w:rsid w:val="00BD2C0A"/>
    <w:rsid w:val="00BD40D7"/>
    <w:rsid w:val="00BD4CAD"/>
    <w:rsid w:val="00BD5355"/>
    <w:rsid w:val="00BD5B4F"/>
    <w:rsid w:val="00BD5DB4"/>
    <w:rsid w:val="00BD62FD"/>
    <w:rsid w:val="00BD6479"/>
    <w:rsid w:val="00BD66AD"/>
    <w:rsid w:val="00BD75EC"/>
    <w:rsid w:val="00BD7CA2"/>
    <w:rsid w:val="00BD7D75"/>
    <w:rsid w:val="00BD7D76"/>
    <w:rsid w:val="00BE12F6"/>
    <w:rsid w:val="00BE13AB"/>
    <w:rsid w:val="00BE1783"/>
    <w:rsid w:val="00BE27E9"/>
    <w:rsid w:val="00BE2AE5"/>
    <w:rsid w:val="00BE5188"/>
    <w:rsid w:val="00BE57E8"/>
    <w:rsid w:val="00BE58CA"/>
    <w:rsid w:val="00BE6C81"/>
    <w:rsid w:val="00BE7450"/>
    <w:rsid w:val="00BE74BC"/>
    <w:rsid w:val="00BE7ECD"/>
    <w:rsid w:val="00BF1D12"/>
    <w:rsid w:val="00BF3248"/>
    <w:rsid w:val="00BF324D"/>
    <w:rsid w:val="00BF3307"/>
    <w:rsid w:val="00BF3A53"/>
    <w:rsid w:val="00BF3DFD"/>
    <w:rsid w:val="00BF416D"/>
    <w:rsid w:val="00BF4218"/>
    <w:rsid w:val="00BF436B"/>
    <w:rsid w:val="00BF4969"/>
    <w:rsid w:val="00BF4A81"/>
    <w:rsid w:val="00BF5F14"/>
    <w:rsid w:val="00BF674C"/>
    <w:rsid w:val="00BF79B0"/>
    <w:rsid w:val="00C0047B"/>
    <w:rsid w:val="00C0048A"/>
    <w:rsid w:val="00C00A86"/>
    <w:rsid w:val="00C00D3F"/>
    <w:rsid w:val="00C01BFB"/>
    <w:rsid w:val="00C023C2"/>
    <w:rsid w:val="00C02892"/>
    <w:rsid w:val="00C03E61"/>
    <w:rsid w:val="00C05F94"/>
    <w:rsid w:val="00C101B6"/>
    <w:rsid w:val="00C104A3"/>
    <w:rsid w:val="00C104D0"/>
    <w:rsid w:val="00C1137D"/>
    <w:rsid w:val="00C115DD"/>
    <w:rsid w:val="00C11E46"/>
    <w:rsid w:val="00C12092"/>
    <w:rsid w:val="00C126F6"/>
    <w:rsid w:val="00C13A63"/>
    <w:rsid w:val="00C1445A"/>
    <w:rsid w:val="00C14EB1"/>
    <w:rsid w:val="00C150AF"/>
    <w:rsid w:val="00C15D45"/>
    <w:rsid w:val="00C16440"/>
    <w:rsid w:val="00C16B35"/>
    <w:rsid w:val="00C16E3B"/>
    <w:rsid w:val="00C16E80"/>
    <w:rsid w:val="00C1789D"/>
    <w:rsid w:val="00C217B6"/>
    <w:rsid w:val="00C23420"/>
    <w:rsid w:val="00C24243"/>
    <w:rsid w:val="00C249CB"/>
    <w:rsid w:val="00C24B57"/>
    <w:rsid w:val="00C252C9"/>
    <w:rsid w:val="00C25E4F"/>
    <w:rsid w:val="00C265C4"/>
    <w:rsid w:val="00C26623"/>
    <w:rsid w:val="00C26A30"/>
    <w:rsid w:val="00C27145"/>
    <w:rsid w:val="00C300E2"/>
    <w:rsid w:val="00C3034E"/>
    <w:rsid w:val="00C31CD7"/>
    <w:rsid w:val="00C32425"/>
    <w:rsid w:val="00C32C83"/>
    <w:rsid w:val="00C33C31"/>
    <w:rsid w:val="00C346EE"/>
    <w:rsid w:val="00C34B37"/>
    <w:rsid w:val="00C357DC"/>
    <w:rsid w:val="00C35CDD"/>
    <w:rsid w:val="00C35E94"/>
    <w:rsid w:val="00C36151"/>
    <w:rsid w:val="00C364C1"/>
    <w:rsid w:val="00C36759"/>
    <w:rsid w:val="00C36779"/>
    <w:rsid w:val="00C37A89"/>
    <w:rsid w:val="00C37ECD"/>
    <w:rsid w:val="00C45BCF"/>
    <w:rsid w:val="00C465A6"/>
    <w:rsid w:val="00C46A62"/>
    <w:rsid w:val="00C46E07"/>
    <w:rsid w:val="00C46FC9"/>
    <w:rsid w:val="00C46FF8"/>
    <w:rsid w:val="00C47F9B"/>
    <w:rsid w:val="00C50717"/>
    <w:rsid w:val="00C509EE"/>
    <w:rsid w:val="00C53019"/>
    <w:rsid w:val="00C54246"/>
    <w:rsid w:val="00C5668B"/>
    <w:rsid w:val="00C577A2"/>
    <w:rsid w:val="00C603A5"/>
    <w:rsid w:val="00C61154"/>
    <w:rsid w:val="00C618C3"/>
    <w:rsid w:val="00C62608"/>
    <w:rsid w:val="00C62F02"/>
    <w:rsid w:val="00C633ED"/>
    <w:rsid w:val="00C63879"/>
    <w:rsid w:val="00C64410"/>
    <w:rsid w:val="00C64B17"/>
    <w:rsid w:val="00C6672F"/>
    <w:rsid w:val="00C66EDE"/>
    <w:rsid w:val="00C672B5"/>
    <w:rsid w:val="00C67622"/>
    <w:rsid w:val="00C67866"/>
    <w:rsid w:val="00C67C55"/>
    <w:rsid w:val="00C67F56"/>
    <w:rsid w:val="00C70758"/>
    <w:rsid w:val="00C713E7"/>
    <w:rsid w:val="00C71AED"/>
    <w:rsid w:val="00C736F2"/>
    <w:rsid w:val="00C743F2"/>
    <w:rsid w:val="00C74985"/>
    <w:rsid w:val="00C74CF4"/>
    <w:rsid w:val="00C75F2D"/>
    <w:rsid w:val="00C7626C"/>
    <w:rsid w:val="00C76871"/>
    <w:rsid w:val="00C77055"/>
    <w:rsid w:val="00C7724D"/>
    <w:rsid w:val="00C77AC4"/>
    <w:rsid w:val="00C81164"/>
    <w:rsid w:val="00C8122F"/>
    <w:rsid w:val="00C81312"/>
    <w:rsid w:val="00C81669"/>
    <w:rsid w:val="00C817D8"/>
    <w:rsid w:val="00C81E38"/>
    <w:rsid w:val="00C82702"/>
    <w:rsid w:val="00C83D6C"/>
    <w:rsid w:val="00C83FF8"/>
    <w:rsid w:val="00C84FF3"/>
    <w:rsid w:val="00C85EB2"/>
    <w:rsid w:val="00C86236"/>
    <w:rsid w:val="00C871BA"/>
    <w:rsid w:val="00C8794F"/>
    <w:rsid w:val="00C879CC"/>
    <w:rsid w:val="00C903AE"/>
    <w:rsid w:val="00C907E7"/>
    <w:rsid w:val="00C91857"/>
    <w:rsid w:val="00C92D66"/>
    <w:rsid w:val="00C93CA3"/>
    <w:rsid w:val="00C944B1"/>
    <w:rsid w:val="00C94C04"/>
    <w:rsid w:val="00C9515B"/>
    <w:rsid w:val="00C95173"/>
    <w:rsid w:val="00C95A17"/>
    <w:rsid w:val="00C963C2"/>
    <w:rsid w:val="00C96910"/>
    <w:rsid w:val="00C9726E"/>
    <w:rsid w:val="00C97AF8"/>
    <w:rsid w:val="00CA0768"/>
    <w:rsid w:val="00CA0F03"/>
    <w:rsid w:val="00CA16EA"/>
    <w:rsid w:val="00CA2679"/>
    <w:rsid w:val="00CA38A6"/>
    <w:rsid w:val="00CA4699"/>
    <w:rsid w:val="00CA5AF4"/>
    <w:rsid w:val="00CA5C36"/>
    <w:rsid w:val="00CA67DA"/>
    <w:rsid w:val="00CA6D86"/>
    <w:rsid w:val="00CA702F"/>
    <w:rsid w:val="00CB010F"/>
    <w:rsid w:val="00CB30DA"/>
    <w:rsid w:val="00CB317B"/>
    <w:rsid w:val="00CB337A"/>
    <w:rsid w:val="00CB3B8F"/>
    <w:rsid w:val="00CB464E"/>
    <w:rsid w:val="00CB4A2D"/>
    <w:rsid w:val="00CC04AD"/>
    <w:rsid w:val="00CC04CE"/>
    <w:rsid w:val="00CC151B"/>
    <w:rsid w:val="00CC2054"/>
    <w:rsid w:val="00CC26DF"/>
    <w:rsid w:val="00CC2C24"/>
    <w:rsid w:val="00CC33A9"/>
    <w:rsid w:val="00CC50C4"/>
    <w:rsid w:val="00CC6E8B"/>
    <w:rsid w:val="00CC6EEF"/>
    <w:rsid w:val="00CC75AA"/>
    <w:rsid w:val="00CC7972"/>
    <w:rsid w:val="00CD0835"/>
    <w:rsid w:val="00CD08F6"/>
    <w:rsid w:val="00CD0F74"/>
    <w:rsid w:val="00CD2F1A"/>
    <w:rsid w:val="00CD3330"/>
    <w:rsid w:val="00CD442B"/>
    <w:rsid w:val="00CD4BE2"/>
    <w:rsid w:val="00CD57B9"/>
    <w:rsid w:val="00CD580E"/>
    <w:rsid w:val="00CD5CB1"/>
    <w:rsid w:val="00CD67F7"/>
    <w:rsid w:val="00CD6C69"/>
    <w:rsid w:val="00CD6FBD"/>
    <w:rsid w:val="00CD7D19"/>
    <w:rsid w:val="00CE0ECF"/>
    <w:rsid w:val="00CE3304"/>
    <w:rsid w:val="00CE3565"/>
    <w:rsid w:val="00CE37CF"/>
    <w:rsid w:val="00CE3FA7"/>
    <w:rsid w:val="00CE4952"/>
    <w:rsid w:val="00CE4DC7"/>
    <w:rsid w:val="00CE4E61"/>
    <w:rsid w:val="00CE5B1D"/>
    <w:rsid w:val="00CE6B1D"/>
    <w:rsid w:val="00CF0299"/>
    <w:rsid w:val="00CF048E"/>
    <w:rsid w:val="00CF06F7"/>
    <w:rsid w:val="00CF1403"/>
    <w:rsid w:val="00CF1A46"/>
    <w:rsid w:val="00CF1E93"/>
    <w:rsid w:val="00CF240A"/>
    <w:rsid w:val="00CF2CC7"/>
    <w:rsid w:val="00CF2FD0"/>
    <w:rsid w:val="00CF73B0"/>
    <w:rsid w:val="00CF7469"/>
    <w:rsid w:val="00CF77BF"/>
    <w:rsid w:val="00CF7FA9"/>
    <w:rsid w:val="00D001F6"/>
    <w:rsid w:val="00D0045C"/>
    <w:rsid w:val="00D0059E"/>
    <w:rsid w:val="00D009F6"/>
    <w:rsid w:val="00D0157E"/>
    <w:rsid w:val="00D01955"/>
    <w:rsid w:val="00D01DA6"/>
    <w:rsid w:val="00D020EB"/>
    <w:rsid w:val="00D029BC"/>
    <w:rsid w:val="00D02C9A"/>
    <w:rsid w:val="00D02F8C"/>
    <w:rsid w:val="00D03807"/>
    <w:rsid w:val="00D03C21"/>
    <w:rsid w:val="00D03D5D"/>
    <w:rsid w:val="00D04E48"/>
    <w:rsid w:val="00D06D3D"/>
    <w:rsid w:val="00D06F38"/>
    <w:rsid w:val="00D07234"/>
    <w:rsid w:val="00D073BD"/>
    <w:rsid w:val="00D07C18"/>
    <w:rsid w:val="00D07CAA"/>
    <w:rsid w:val="00D10BDF"/>
    <w:rsid w:val="00D11948"/>
    <w:rsid w:val="00D11BDE"/>
    <w:rsid w:val="00D123F4"/>
    <w:rsid w:val="00D128A1"/>
    <w:rsid w:val="00D138D3"/>
    <w:rsid w:val="00D15583"/>
    <w:rsid w:val="00D1626A"/>
    <w:rsid w:val="00D167CB"/>
    <w:rsid w:val="00D1681F"/>
    <w:rsid w:val="00D16B29"/>
    <w:rsid w:val="00D16B70"/>
    <w:rsid w:val="00D20B4F"/>
    <w:rsid w:val="00D21629"/>
    <w:rsid w:val="00D2182A"/>
    <w:rsid w:val="00D2287A"/>
    <w:rsid w:val="00D22B33"/>
    <w:rsid w:val="00D2338B"/>
    <w:rsid w:val="00D24D1D"/>
    <w:rsid w:val="00D25EA5"/>
    <w:rsid w:val="00D26D70"/>
    <w:rsid w:val="00D27D5C"/>
    <w:rsid w:val="00D316C7"/>
    <w:rsid w:val="00D3270D"/>
    <w:rsid w:val="00D32817"/>
    <w:rsid w:val="00D32A73"/>
    <w:rsid w:val="00D33428"/>
    <w:rsid w:val="00D34782"/>
    <w:rsid w:val="00D349BA"/>
    <w:rsid w:val="00D34B73"/>
    <w:rsid w:val="00D36213"/>
    <w:rsid w:val="00D36563"/>
    <w:rsid w:val="00D37FAF"/>
    <w:rsid w:val="00D400D4"/>
    <w:rsid w:val="00D411E1"/>
    <w:rsid w:val="00D42DC6"/>
    <w:rsid w:val="00D42F9C"/>
    <w:rsid w:val="00D43E95"/>
    <w:rsid w:val="00D44054"/>
    <w:rsid w:val="00D44BD2"/>
    <w:rsid w:val="00D44DD8"/>
    <w:rsid w:val="00D45B6F"/>
    <w:rsid w:val="00D45F5E"/>
    <w:rsid w:val="00D460B8"/>
    <w:rsid w:val="00D467B6"/>
    <w:rsid w:val="00D46B3E"/>
    <w:rsid w:val="00D471F3"/>
    <w:rsid w:val="00D4782D"/>
    <w:rsid w:val="00D478DB"/>
    <w:rsid w:val="00D47AAE"/>
    <w:rsid w:val="00D50476"/>
    <w:rsid w:val="00D5108A"/>
    <w:rsid w:val="00D52383"/>
    <w:rsid w:val="00D52607"/>
    <w:rsid w:val="00D53351"/>
    <w:rsid w:val="00D53515"/>
    <w:rsid w:val="00D53C32"/>
    <w:rsid w:val="00D54727"/>
    <w:rsid w:val="00D54AA0"/>
    <w:rsid w:val="00D5684F"/>
    <w:rsid w:val="00D571F4"/>
    <w:rsid w:val="00D575BD"/>
    <w:rsid w:val="00D575EB"/>
    <w:rsid w:val="00D5762F"/>
    <w:rsid w:val="00D60597"/>
    <w:rsid w:val="00D61467"/>
    <w:rsid w:val="00D6146B"/>
    <w:rsid w:val="00D616A1"/>
    <w:rsid w:val="00D621FB"/>
    <w:rsid w:val="00D62B68"/>
    <w:rsid w:val="00D63745"/>
    <w:rsid w:val="00D63E8B"/>
    <w:rsid w:val="00D64095"/>
    <w:rsid w:val="00D6436F"/>
    <w:rsid w:val="00D64DCD"/>
    <w:rsid w:val="00D6622C"/>
    <w:rsid w:val="00D66298"/>
    <w:rsid w:val="00D66802"/>
    <w:rsid w:val="00D6709C"/>
    <w:rsid w:val="00D672FC"/>
    <w:rsid w:val="00D67316"/>
    <w:rsid w:val="00D674F0"/>
    <w:rsid w:val="00D7082B"/>
    <w:rsid w:val="00D7123E"/>
    <w:rsid w:val="00D72425"/>
    <w:rsid w:val="00D73485"/>
    <w:rsid w:val="00D73E03"/>
    <w:rsid w:val="00D741C4"/>
    <w:rsid w:val="00D74BD5"/>
    <w:rsid w:val="00D75B2F"/>
    <w:rsid w:val="00D7632B"/>
    <w:rsid w:val="00D76681"/>
    <w:rsid w:val="00D76FAB"/>
    <w:rsid w:val="00D83A33"/>
    <w:rsid w:val="00D84BD6"/>
    <w:rsid w:val="00D84D8D"/>
    <w:rsid w:val="00D855A8"/>
    <w:rsid w:val="00D86303"/>
    <w:rsid w:val="00D86359"/>
    <w:rsid w:val="00D8689C"/>
    <w:rsid w:val="00D86DA9"/>
    <w:rsid w:val="00D87B98"/>
    <w:rsid w:val="00D87E62"/>
    <w:rsid w:val="00D904C8"/>
    <w:rsid w:val="00D90AC9"/>
    <w:rsid w:val="00D910F0"/>
    <w:rsid w:val="00D92527"/>
    <w:rsid w:val="00D92852"/>
    <w:rsid w:val="00D94186"/>
    <w:rsid w:val="00D95C15"/>
    <w:rsid w:val="00D978EA"/>
    <w:rsid w:val="00D979E2"/>
    <w:rsid w:val="00D97FD2"/>
    <w:rsid w:val="00DA04AF"/>
    <w:rsid w:val="00DA0AFA"/>
    <w:rsid w:val="00DA1860"/>
    <w:rsid w:val="00DA1EC7"/>
    <w:rsid w:val="00DA202C"/>
    <w:rsid w:val="00DA2789"/>
    <w:rsid w:val="00DA4209"/>
    <w:rsid w:val="00DA44DE"/>
    <w:rsid w:val="00DA4976"/>
    <w:rsid w:val="00DA5BB6"/>
    <w:rsid w:val="00DA67B6"/>
    <w:rsid w:val="00DA6AA4"/>
    <w:rsid w:val="00DB0B3A"/>
    <w:rsid w:val="00DB0F6C"/>
    <w:rsid w:val="00DB2ADE"/>
    <w:rsid w:val="00DB300C"/>
    <w:rsid w:val="00DB4082"/>
    <w:rsid w:val="00DB4129"/>
    <w:rsid w:val="00DB431F"/>
    <w:rsid w:val="00DB4984"/>
    <w:rsid w:val="00DB5B4F"/>
    <w:rsid w:val="00DB5DB1"/>
    <w:rsid w:val="00DB73CF"/>
    <w:rsid w:val="00DB7622"/>
    <w:rsid w:val="00DC006B"/>
    <w:rsid w:val="00DC0434"/>
    <w:rsid w:val="00DC046F"/>
    <w:rsid w:val="00DC1324"/>
    <w:rsid w:val="00DC1412"/>
    <w:rsid w:val="00DC18CB"/>
    <w:rsid w:val="00DC1902"/>
    <w:rsid w:val="00DC38DA"/>
    <w:rsid w:val="00DC45FB"/>
    <w:rsid w:val="00DC4672"/>
    <w:rsid w:val="00DC6419"/>
    <w:rsid w:val="00DC69F8"/>
    <w:rsid w:val="00DC769A"/>
    <w:rsid w:val="00DD0450"/>
    <w:rsid w:val="00DD05C7"/>
    <w:rsid w:val="00DD0681"/>
    <w:rsid w:val="00DD0C96"/>
    <w:rsid w:val="00DD2ED1"/>
    <w:rsid w:val="00DD31A5"/>
    <w:rsid w:val="00DD4240"/>
    <w:rsid w:val="00DD4B4B"/>
    <w:rsid w:val="00DD4BF8"/>
    <w:rsid w:val="00DD5064"/>
    <w:rsid w:val="00DD5CC6"/>
    <w:rsid w:val="00DD7257"/>
    <w:rsid w:val="00DE01F8"/>
    <w:rsid w:val="00DE0685"/>
    <w:rsid w:val="00DE0F31"/>
    <w:rsid w:val="00DE149E"/>
    <w:rsid w:val="00DE1797"/>
    <w:rsid w:val="00DE2194"/>
    <w:rsid w:val="00DE234E"/>
    <w:rsid w:val="00DE244E"/>
    <w:rsid w:val="00DE3055"/>
    <w:rsid w:val="00DE30C4"/>
    <w:rsid w:val="00DE40B3"/>
    <w:rsid w:val="00DE4D93"/>
    <w:rsid w:val="00DE54F9"/>
    <w:rsid w:val="00DE5CAF"/>
    <w:rsid w:val="00DE6692"/>
    <w:rsid w:val="00DE6CDC"/>
    <w:rsid w:val="00DE70BD"/>
    <w:rsid w:val="00DE714B"/>
    <w:rsid w:val="00DE78DB"/>
    <w:rsid w:val="00DE7A12"/>
    <w:rsid w:val="00DE7AE7"/>
    <w:rsid w:val="00DF0100"/>
    <w:rsid w:val="00DF0762"/>
    <w:rsid w:val="00DF0807"/>
    <w:rsid w:val="00DF098C"/>
    <w:rsid w:val="00DF09E3"/>
    <w:rsid w:val="00DF1988"/>
    <w:rsid w:val="00DF1C46"/>
    <w:rsid w:val="00DF34E7"/>
    <w:rsid w:val="00DF3979"/>
    <w:rsid w:val="00DF3ABE"/>
    <w:rsid w:val="00DF3B6E"/>
    <w:rsid w:val="00DF3C6B"/>
    <w:rsid w:val="00DF44BF"/>
    <w:rsid w:val="00DF513B"/>
    <w:rsid w:val="00DF530B"/>
    <w:rsid w:val="00DF5EB9"/>
    <w:rsid w:val="00DF60DA"/>
    <w:rsid w:val="00DF6A2E"/>
    <w:rsid w:val="00DF6DB6"/>
    <w:rsid w:val="00E0135D"/>
    <w:rsid w:val="00E0190D"/>
    <w:rsid w:val="00E02AEB"/>
    <w:rsid w:val="00E046E6"/>
    <w:rsid w:val="00E04784"/>
    <w:rsid w:val="00E04866"/>
    <w:rsid w:val="00E04D70"/>
    <w:rsid w:val="00E04F5B"/>
    <w:rsid w:val="00E060C2"/>
    <w:rsid w:val="00E069B0"/>
    <w:rsid w:val="00E06BA4"/>
    <w:rsid w:val="00E06BDB"/>
    <w:rsid w:val="00E07A49"/>
    <w:rsid w:val="00E07CCC"/>
    <w:rsid w:val="00E1001A"/>
    <w:rsid w:val="00E10341"/>
    <w:rsid w:val="00E10587"/>
    <w:rsid w:val="00E10BFC"/>
    <w:rsid w:val="00E10C3A"/>
    <w:rsid w:val="00E10F82"/>
    <w:rsid w:val="00E115A7"/>
    <w:rsid w:val="00E1265C"/>
    <w:rsid w:val="00E12769"/>
    <w:rsid w:val="00E12AFC"/>
    <w:rsid w:val="00E12F77"/>
    <w:rsid w:val="00E1367F"/>
    <w:rsid w:val="00E13E5A"/>
    <w:rsid w:val="00E148A2"/>
    <w:rsid w:val="00E15B34"/>
    <w:rsid w:val="00E15D31"/>
    <w:rsid w:val="00E1630E"/>
    <w:rsid w:val="00E16DC0"/>
    <w:rsid w:val="00E176CA"/>
    <w:rsid w:val="00E17B66"/>
    <w:rsid w:val="00E2049D"/>
    <w:rsid w:val="00E2174C"/>
    <w:rsid w:val="00E217E0"/>
    <w:rsid w:val="00E23656"/>
    <w:rsid w:val="00E23BAC"/>
    <w:rsid w:val="00E2482B"/>
    <w:rsid w:val="00E24E5F"/>
    <w:rsid w:val="00E2555D"/>
    <w:rsid w:val="00E26CF6"/>
    <w:rsid w:val="00E304B7"/>
    <w:rsid w:val="00E31E5F"/>
    <w:rsid w:val="00E32C5A"/>
    <w:rsid w:val="00E33EB9"/>
    <w:rsid w:val="00E34679"/>
    <w:rsid w:val="00E34D4F"/>
    <w:rsid w:val="00E379DB"/>
    <w:rsid w:val="00E37B78"/>
    <w:rsid w:val="00E413EF"/>
    <w:rsid w:val="00E415A7"/>
    <w:rsid w:val="00E423E7"/>
    <w:rsid w:val="00E42730"/>
    <w:rsid w:val="00E42824"/>
    <w:rsid w:val="00E428B4"/>
    <w:rsid w:val="00E42AA0"/>
    <w:rsid w:val="00E42B88"/>
    <w:rsid w:val="00E4329E"/>
    <w:rsid w:val="00E433D1"/>
    <w:rsid w:val="00E4371D"/>
    <w:rsid w:val="00E43D3D"/>
    <w:rsid w:val="00E4552E"/>
    <w:rsid w:val="00E45F2B"/>
    <w:rsid w:val="00E45F61"/>
    <w:rsid w:val="00E465DC"/>
    <w:rsid w:val="00E468D5"/>
    <w:rsid w:val="00E4724A"/>
    <w:rsid w:val="00E502EB"/>
    <w:rsid w:val="00E513FC"/>
    <w:rsid w:val="00E52D03"/>
    <w:rsid w:val="00E5339D"/>
    <w:rsid w:val="00E54801"/>
    <w:rsid w:val="00E556F9"/>
    <w:rsid w:val="00E5605D"/>
    <w:rsid w:val="00E567DB"/>
    <w:rsid w:val="00E56EB8"/>
    <w:rsid w:val="00E5709F"/>
    <w:rsid w:val="00E60FEE"/>
    <w:rsid w:val="00E61596"/>
    <w:rsid w:val="00E618B8"/>
    <w:rsid w:val="00E62851"/>
    <w:rsid w:val="00E6347B"/>
    <w:rsid w:val="00E658EE"/>
    <w:rsid w:val="00E66F07"/>
    <w:rsid w:val="00E66F64"/>
    <w:rsid w:val="00E709EF"/>
    <w:rsid w:val="00E70F2D"/>
    <w:rsid w:val="00E72119"/>
    <w:rsid w:val="00E73B31"/>
    <w:rsid w:val="00E74D25"/>
    <w:rsid w:val="00E752E9"/>
    <w:rsid w:val="00E76093"/>
    <w:rsid w:val="00E760AA"/>
    <w:rsid w:val="00E76202"/>
    <w:rsid w:val="00E76385"/>
    <w:rsid w:val="00E769CF"/>
    <w:rsid w:val="00E7766B"/>
    <w:rsid w:val="00E77AA6"/>
    <w:rsid w:val="00E77C19"/>
    <w:rsid w:val="00E77D05"/>
    <w:rsid w:val="00E77D47"/>
    <w:rsid w:val="00E77FDD"/>
    <w:rsid w:val="00E80E7D"/>
    <w:rsid w:val="00E8116E"/>
    <w:rsid w:val="00E81814"/>
    <w:rsid w:val="00E81B64"/>
    <w:rsid w:val="00E82C79"/>
    <w:rsid w:val="00E849FA"/>
    <w:rsid w:val="00E854EF"/>
    <w:rsid w:val="00E86CF4"/>
    <w:rsid w:val="00E87554"/>
    <w:rsid w:val="00E87BF0"/>
    <w:rsid w:val="00E90C70"/>
    <w:rsid w:val="00E92A34"/>
    <w:rsid w:val="00E941AB"/>
    <w:rsid w:val="00E94E3B"/>
    <w:rsid w:val="00E95A49"/>
    <w:rsid w:val="00E95D07"/>
    <w:rsid w:val="00E96060"/>
    <w:rsid w:val="00E971AD"/>
    <w:rsid w:val="00E979C4"/>
    <w:rsid w:val="00E97E29"/>
    <w:rsid w:val="00EA0AA6"/>
    <w:rsid w:val="00EA0CD3"/>
    <w:rsid w:val="00EA298D"/>
    <w:rsid w:val="00EA2A6F"/>
    <w:rsid w:val="00EA328E"/>
    <w:rsid w:val="00EA3516"/>
    <w:rsid w:val="00EA3550"/>
    <w:rsid w:val="00EA4172"/>
    <w:rsid w:val="00EA48FE"/>
    <w:rsid w:val="00EA493D"/>
    <w:rsid w:val="00EA50F7"/>
    <w:rsid w:val="00EA5367"/>
    <w:rsid w:val="00EA5D0F"/>
    <w:rsid w:val="00EA7314"/>
    <w:rsid w:val="00EA749C"/>
    <w:rsid w:val="00EB03D8"/>
    <w:rsid w:val="00EB0A30"/>
    <w:rsid w:val="00EB0BCF"/>
    <w:rsid w:val="00EB151A"/>
    <w:rsid w:val="00EB2499"/>
    <w:rsid w:val="00EB425F"/>
    <w:rsid w:val="00EB5948"/>
    <w:rsid w:val="00EB5962"/>
    <w:rsid w:val="00EB6D5B"/>
    <w:rsid w:val="00EB70B7"/>
    <w:rsid w:val="00EC0607"/>
    <w:rsid w:val="00EC1098"/>
    <w:rsid w:val="00EC26F9"/>
    <w:rsid w:val="00EC3569"/>
    <w:rsid w:val="00EC35F4"/>
    <w:rsid w:val="00EC3679"/>
    <w:rsid w:val="00EC37CA"/>
    <w:rsid w:val="00EC450D"/>
    <w:rsid w:val="00EC4D7A"/>
    <w:rsid w:val="00EC5A2C"/>
    <w:rsid w:val="00EC5ABA"/>
    <w:rsid w:val="00EC5B17"/>
    <w:rsid w:val="00EC5C1B"/>
    <w:rsid w:val="00EC6432"/>
    <w:rsid w:val="00EC6B92"/>
    <w:rsid w:val="00EC6E05"/>
    <w:rsid w:val="00ED03E2"/>
    <w:rsid w:val="00ED1184"/>
    <w:rsid w:val="00ED16B6"/>
    <w:rsid w:val="00ED19AA"/>
    <w:rsid w:val="00ED1E35"/>
    <w:rsid w:val="00ED297F"/>
    <w:rsid w:val="00ED2FA0"/>
    <w:rsid w:val="00ED43AF"/>
    <w:rsid w:val="00ED4C17"/>
    <w:rsid w:val="00ED4C99"/>
    <w:rsid w:val="00ED6740"/>
    <w:rsid w:val="00EE01CB"/>
    <w:rsid w:val="00EE0512"/>
    <w:rsid w:val="00EE0790"/>
    <w:rsid w:val="00EE0897"/>
    <w:rsid w:val="00EE0BBF"/>
    <w:rsid w:val="00EE4636"/>
    <w:rsid w:val="00EE4C17"/>
    <w:rsid w:val="00EE6A29"/>
    <w:rsid w:val="00EE6A46"/>
    <w:rsid w:val="00EE6FAD"/>
    <w:rsid w:val="00EE7678"/>
    <w:rsid w:val="00EE77A6"/>
    <w:rsid w:val="00EE7A53"/>
    <w:rsid w:val="00EF03EE"/>
    <w:rsid w:val="00EF378D"/>
    <w:rsid w:val="00EF4BD1"/>
    <w:rsid w:val="00EF4C56"/>
    <w:rsid w:val="00EF513B"/>
    <w:rsid w:val="00EF5DC9"/>
    <w:rsid w:val="00EF602A"/>
    <w:rsid w:val="00EF6FC4"/>
    <w:rsid w:val="00EF7C8D"/>
    <w:rsid w:val="00F001A6"/>
    <w:rsid w:val="00F022A1"/>
    <w:rsid w:val="00F02B6C"/>
    <w:rsid w:val="00F04356"/>
    <w:rsid w:val="00F05199"/>
    <w:rsid w:val="00F05769"/>
    <w:rsid w:val="00F06ABD"/>
    <w:rsid w:val="00F06D0A"/>
    <w:rsid w:val="00F06E72"/>
    <w:rsid w:val="00F1022F"/>
    <w:rsid w:val="00F1026B"/>
    <w:rsid w:val="00F116EB"/>
    <w:rsid w:val="00F11706"/>
    <w:rsid w:val="00F124B3"/>
    <w:rsid w:val="00F137FE"/>
    <w:rsid w:val="00F14C69"/>
    <w:rsid w:val="00F161F0"/>
    <w:rsid w:val="00F168C3"/>
    <w:rsid w:val="00F16C7E"/>
    <w:rsid w:val="00F1772C"/>
    <w:rsid w:val="00F17DAE"/>
    <w:rsid w:val="00F21AB7"/>
    <w:rsid w:val="00F22162"/>
    <w:rsid w:val="00F22857"/>
    <w:rsid w:val="00F235A4"/>
    <w:rsid w:val="00F23C78"/>
    <w:rsid w:val="00F240A6"/>
    <w:rsid w:val="00F24CEB"/>
    <w:rsid w:val="00F25838"/>
    <w:rsid w:val="00F2621E"/>
    <w:rsid w:val="00F26622"/>
    <w:rsid w:val="00F26C2A"/>
    <w:rsid w:val="00F279E6"/>
    <w:rsid w:val="00F27D09"/>
    <w:rsid w:val="00F30B75"/>
    <w:rsid w:val="00F31AD8"/>
    <w:rsid w:val="00F32ED1"/>
    <w:rsid w:val="00F331B7"/>
    <w:rsid w:val="00F34477"/>
    <w:rsid w:val="00F347FF"/>
    <w:rsid w:val="00F34AC3"/>
    <w:rsid w:val="00F36093"/>
    <w:rsid w:val="00F363C4"/>
    <w:rsid w:val="00F36465"/>
    <w:rsid w:val="00F36CD0"/>
    <w:rsid w:val="00F36F69"/>
    <w:rsid w:val="00F37372"/>
    <w:rsid w:val="00F40133"/>
    <w:rsid w:val="00F40805"/>
    <w:rsid w:val="00F4087E"/>
    <w:rsid w:val="00F4094F"/>
    <w:rsid w:val="00F4142A"/>
    <w:rsid w:val="00F41BB0"/>
    <w:rsid w:val="00F4222F"/>
    <w:rsid w:val="00F42480"/>
    <w:rsid w:val="00F431C7"/>
    <w:rsid w:val="00F43B8D"/>
    <w:rsid w:val="00F43BE4"/>
    <w:rsid w:val="00F44062"/>
    <w:rsid w:val="00F4422F"/>
    <w:rsid w:val="00F444BA"/>
    <w:rsid w:val="00F456D0"/>
    <w:rsid w:val="00F45AD3"/>
    <w:rsid w:val="00F45B1E"/>
    <w:rsid w:val="00F46125"/>
    <w:rsid w:val="00F465D7"/>
    <w:rsid w:val="00F46F92"/>
    <w:rsid w:val="00F504C2"/>
    <w:rsid w:val="00F50DCA"/>
    <w:rsid w:val="00F5152D"/>
    <w:rsid w:val="00F518BF"/>
    <w:rsid w:val="00F51AF4"/>
    <w:rsid w:val="00F52CEA"/>
    <w:rsid w:val="00F5365A"/>
    <w:rsid w:val="00F53956"/>
    <w:rsid w:val="00F55919"/>
    <w:rsid w:val="00F55AED"/>
    <w:rsid w:val="00F55CEB"/>
    <w:rsid w:val="00F55F8D"/>
    <w:rsid w:val="00F5694A"/>
    <w:rsid w:val="00F56E74"/>
    <w:rsid w:val="00F572E9"/>
    <w:rsid w:val="00F57B0A"/>
    <w:rsid w:val="00F57DB6"/>
    <w:rsid w:val="00F6027A"/>
    <w:rsid w:val="00F60580"/>
    <w:rsid w:val="00F62EA1"/>
    <w:rsid w:val="00F62F85"/>
    <w:rsid w:val="00F631B0"/>
    <w:rsid w:val="00F6436A"/>
    <w:rsid w:val="00F643FE"/>
    <w:rsid w:val="00F64730"/>
    <w:rsid w:val="00F65852"/>
    <w:rsid w:val="00F66366"/>
    <w:rsid w:val="00F66734"/>
    <w:rsid w:val="00F6692F"/>
    <w:rsid w:val="00F674E8"/>
    <w:rsid w:val="00F7026C"/>
    <w:rsid w:val="00F713BB"/>
    <w:rsid w:val="00F71636"/>
    <w:rsid w:val="00F718F6"/>
    <w:rsid w:val="00F72CF0"/>
    <w:rsid w:val="00F72E0E"/>
    <w:rsid w:val="00F73791"/>
    <w:rsid w:val="00F75067"/>
    <w:rsid w:val="00F75A51"/>
    <w:rsid w:val="00F75CFF"/>
    <w:rsid w:val="00F76243"/>
    <w:rsid w:val="00F76A0F"/>
    <w:rsid w:val="00F76FC2"/>
    <w:rsid w:val="00F7776F"/>
    <w:rsid w:val="00F80044"/>
    <w:rsid w:val="00F80220"/>
    <w:rsid w:val="00F80F77"/>
    <w:rsid w:val="00F8154D"/>
    <w:rsid w:val="00F81695"/>
    <w:rsid w:val="00F8194E"/>
    <w:rsid w:val="00F82020"/>
    <w:rsid w:val="00F824DA"/>
    <w:rsid w:val="00F82568"/>
    <w:rsid w:val="00F82A20"/>
    <w:rsid w:val="00F837F8"/>
    <w:rsid w:val="00F83BB9"/>
    <w:rsid w:val="00F83BD3"/>
    <w:rsid w:val="00F83E6B"/>
    <w:rsid w:val="00F84AE8"/>
    <w:rsid w:val="00F86411"/>
    <w:rsid w:val="00F866CA"/>
    <w:rsid w:val="00F86A66"/>
    <w:rsid w:val="00F877AE"/>
    <w:rsid w:val="00F87BE4"/>
    <w:rsid w:val="00F87CF2"/>
    <w:rsid w:val="00F90041"/>
    <w:rsid w:val="00F9148C"/>
    <w:rsid w:val="00F91DD8"/>
    <w:rsid w:val="00F9294D"/>
    <w:rsid w:val="00F936A2"/>
    <w:rsid w:val="00F93B91"/>
    <w:rsid w:val="00F93F73"/>
    <w:rsid w:val="00F94060"/>
    <w:rsid w:val="00F95131"/>
    <w:rsid w:val="00F955B7"/>
    <w:rsid w:val="00F955FA"/>
    <w:rsid w:val="00F956F1"/>
    <w:rsid w:val="00F95C21"/>
    <w:rsid w:val="00F96529"/>
    <w:rsid w:val="00F96AD0"/>
    <w:rsid w:val="00F9782F"/>
    <w:rsid w:val="00FA0B20"/>
    <w:rsid w:val="00FA22C8"/>
    <w:rsid w:val="00FA356A"/>
    <w:rsid w:val="00FA4957"/>
    <w:rsid w:val="00FA4B45"/>
    <w:rsid w:val="00FA5A28"/>
    <w:rsid w:val="00FA5D40"/>
    <w:rsid w:val="00FA6059"/>
    <w:rsid w:val="00FA7467"/>
    <w:rsid w:val="00FB0D20"/>
    <w:rsid w:val="00FB126B"/>
    <w:rsid w:val="00FB2DB2"/>
    <w:rsid w:val="00FB3416"/>
    <w:rsid w:val="00FB3CC8"/>
    <w:rsid w:val="00FB5C3E"/>
    <w:rsid w:val="00FB5D61"/>
    <w:rsid w:val="00FB621F"/>
    <w:rsid w:val="00FB6664"/>
    <w:rsid w:val="00FB74F3"/>
    <w:rsid w:val="00FB75B9"/>
    <w:rsid w:val="00FC0A6F"/>
    <w:rsid w:val="00FC1ADA"/>
    <w:rsid w:val="00FC1DEF"/>
    <w:rsid w:val="00FC298D"/>
    <w:rsid w:val="00FC2991"/>
    <w:rsid w:val="00FC4088"/>
    <w:rsid w:val="00FC4BC4"/>
    <w:rsid w:val="00FC58C7"/>
    <w:rsid w:val="00FC59C9"/>
    <w:rsid w:val="00FC5E3F"/>
    <w:rsid w:val="00FC5FDD"/>
    <w:rsid w:val="00FC60E3"/>
    <w:rsid w:val="00FC63A3"/>
    <w:rsid w:val="00FC66B2"/>
    <w:rsid w:val="00FC78D2"/>
    <w:rsid w:val="00FD027B"/>
    <w:rsid w:val="00FD0605"/>
    <w:rsid w:val="00FD089D"/>
    <w:rsid w:val="00FD1154"/>
    <w:rsid w:val="00FD1207"/>
    <w:rsid w:val="00FD165C"/>
    <w:rsid w:val="00FD2193"/>
    <w:rsid w:val="00FD2885"/>
    <w:rsid w:val="00FD2907"/>
    <w:rsid w:val="00FD2D3F"/>
    <w:rsid w:val="00FD4FAD"/>
    <w:rsid w:val="00FD509D"/>
    <w:rsid w:val="00FD534F"/>
    <w:rsid w:val="00FD649F"/>
    <w:rsid w:val="00FD6EE0"/>
    <w:rsid w:val="00FD72B7"/>
    <w:rsid w:val="00FE1130"/>
    <w:rsid w:val="00FE1A22"/>
    <w:rsid w:val="00FE2452"/>
    <w:rsid w:val="00FE27C3"/>
    <w:rsid w:val="00FE2C6B"/>
    <w:rsid w:val="00FE4B13"/>
    <w:rsid w:val="00FE7E5F"/>
    <w:rsid w:val="00FF0100"/>
    <w:rsid w:val="00FF0D8F"/>
    <w:rsid w:val="00FF133B"/>
    <w:rsid w:val="00FF13D2"/>
    <w:rsid w:val="00FF1A1D"/>
    <w:rsid w:val="00FF2D8D"/>
    <w:rsid w:val="00FF376B"/>
    <w:rsid w:val="00FF3F69"/>
    <w:rsid w:val="00FF4592"/>
    <w:rsid w:val="00FF4F2D"/>
    <w:rsid w:val="00FF60DA"/>
    <w:rsid w:val="00FF613C"/>
    <w:rsid w:val="00FF67D9"/>
    <w:rsid w:val="00FF6878"/>
    <w:rsid w:val="00FF6A91"/>
    <w:rsid w:val="00FF6DC4"/>
    <w:rsid w:val="00FF7362"/>
    <w:rsid w:val="00FF76CE"/>
    <w:rsid w:val="012ECC9F"/>
    <w:rsid w:val="01D6F8A1"/>
    <w:rsid w:val="01E78F80"/>
    <w:rsid w:val="0207D0CD"/>
    <w:rsid w:val="02C831CA"/>
    <w:rsid w:val="02D2EBA0"/>
    <w:rsid w:val="039B88CF"/>
    <w:rsid w:val="04142DB6"/>
    <w:rsid w:val="052727D9"/>
    <w:rsid w:val="05B22E05"/>
    <w:rsid w:val="05B6F619"/>
    <w:rsid w:val="068EE4B7"/>
    <w:rsid w:val="06DC30F8"/>
    <w:rsid w:val="06F189A6"/>
    <w:rsid w:val="07A23D9B"/>
    <w:rsid w:val="07D00667"/>
    <w:rsid w:val="07E6EA92"/>
    <w:rsid w:val="07E98411"/>
    <w:rsid w:val="08055515"/>
    <w:rsid w:val="087F2422"/>
    <w:rsid w:val="08B464B6"/>
    <w:rsid w:val="099371A9"/>
    <w:rsid w:val="0995DF35"/>
    <w:rsid w:val="09EA3697"/>
    <w:rsid w:val="0A453941"/>
    <w:rsid w:val="0A5A0FF0"/>
    <w:rsid w:val="0A8C9376"/>
    <w:rsid w:val="0AA21596"/>
    <w:rsid w:val="0AD88264"/>
    <w:rsid w:val="0B2F284E"/>
    <w:rsid w:val="0B68E10F"/>
    <w:rsid w:val="0BACDAF8"/>
    <w:rsid w:val="0C0E0E5A"/>
    <w:rsid w:val="0C3AC2DE"/>
    <w:rsid w:val="0C7D55C1"/>
    <w:rsid w:val="0D6167DF"/>
    <w:rsid w:val="0D743C1E"/>
    <w:rsid w:val="0D96294A"/>
    <w:rsid w:val="0DD2AACC"/>
    <w:rsid w:val="0ED0556F"/>
    <w:rsid w:val="0F33BD5D"/>
    <w:rsid w:val="0F4366B9"/>
    <w:rsid w:val="103B2EF3"/>
    <w:rsid w:val="107B5768"/>
    <w:rsid w:val="10F5C96A"/>
    <w:rsid w:val="110F2F94"/>
    <w:rsid w:val="11B7F541"/>
    <w:rsid w:val="11DA5A89"/>
    <w:rsid w:val="12535B6C"/>
    <w:rsid w:val="12E47281"/>
    <w:rsid w:val="1362EC15"/>
    <w:rsid w:val="1373DB1A"/>
    <w:rsid w:val="141B5C77"/>
    <w:rsid w:val="14C6E7E2"/>
    <w:rsid w:val="14DF9982"/>
    <w:rsid w:val="1507D070"/>
    <w:rsid w:val="15263E17"/>
    <w:rsid w:val="1536C6F2"/>
    <w:rsid w:val="155EF644"/>
    <w:rsid w:val="15D82A61"/>
    <w:rsid w:val="15DD8456"/>
    <w:rsid w:val="15FC69F0"/>
    <w:rsid w:val="1875B627"/>
    <w:rsid w:val="1887E61A"/>
    <w:rsid w:val="18C09584"/>
    <w:rsid w:val="193C8456"/>
    <w:rsid w:val="1977DFB1"/>
    <w:rsid w:val="1A52A595"/>
    <w:rsid w:val="1ABB97C4"/>
    <w:rsid w:val="1B288CD7"/>
    <w:rsid w:val="1B3C76B4"/>
    <w:rsid w:val="1B52A5CC"/>
    <w:rsid w:val="1B96D164"/>
    <w:rsid w:val="1CB79573"/>
    <w:rsid w:val="1CE86EBD"/>
    <w:rsid w:val="1E02B015"/>
    <w:rsid w:val="1E39ED20"/>
    <w:rsid w:val="1EC46114"/>
    <w:rsid w:val="1F70020E"/>
    <w:rsid w:val="20609B03"/>
    <w:rsid w:val="239A313E"/>
    <w:rsid w:val="23B2A8CD"/>
    <w:rsid w:val="23CFF62A"/>
    <w:rsid w:val="247A81C3"/>
    <w:rsid w:val="25470279"/>
    <w:rsid w:val="25D18003"/>
    <w:rsid w:val="25E4A19F"/>
    <w:rsid w:val="2691DA7D"/>
    <w:rsid w:val="2731FB9E"/>
    <w:rsid w:val="2736E3FF"/>
    <w:rsid w:val="2794D349"/>
    <w:rsid w:val="280964E5"/>
    <w:rsid w:val="28386701"/>
    <w:rsid w:val="286EF1B3"/>
    <w:rsid w:val="294965F8"/>
    <w:rsid w:val="29EC4ACE"/>
    <w:rsid w:val="29F0459F"/>
    <w:rsid w:val="2A0F6461"/>
    <w:rsid w:val="2A74B908"/>
    <w:rsid w:val="2AEF6CF7"/>
    <w:rsid w:val="2B6DB299"/>
    <w:rsid w:val="2B6E9490"/>
    <w:rsid w:val="2E3BF58B"/>
    <w:rsid w:val="30064AB7"/>
    <w:rsid w:val="302B1697"/>
    <w:rsid w:val="3056770A"/>
    <w:rsid w:val="3085234A"/>
    <w:rsid w:val="309620AC"/>
    <w:rsid w:val="30A00846"/>
    <w:rsid w:val="310D3D17"/>
    <w:rsid w:val="312F3A1C"/>
    <w:rsid w:val="3146CE63"/>
    <w:rsid w:val="315EFD5A"/>
    <w:rsid w:val="3171BCC8"/>
    <w:rsid w:val="318FC13B"/>
    <w:rsid w:val="31C1DE48"/>
    <w:rsid w:val="3202911D"/>
    <w:rsid w:val="3220F94A"/>
    <w:rsid w:val="32719255"/>
    <w:rsid w:val="331E5255"/>
    <w:rsid w:val="33988098"/>
    <w:rsid w:val="33E0EEBE"/>
    <w:rsid w:val="34D8CF47"/>
    <w:rsid w:val="352EC763"/>
    <w:rsid w:val="3534411A"/>
    <w:rsid w:val="35977F7A"/>
    <w:rsid w:val="35A68A0E"/>
    <w:rsid w:val="35A7E698"/>
    <w:rsid w:val="35C819CC"/>
    <w:rsid w:val="367AF889"/>
    <w:rsid w:val="36E77089"/>
    <w:rsid w:val="374BCD78"/>
    <w:rsid w:val="3782699F"/>
    <w:rsid w:val="37A9861B"/>
    <w:rsid w:val="3885E160"/>
    <w:rsid w:val="38F4EEF8"/>
    <w:rsid w:val="39E770B5"/>
    <w:rsid w:val="3A146589"/>
    <w:rsid w:val="3A261220"/>
    <w:rsid w:val="3A9B9EE6"/>
    <w:rsid w:val="3ACCA539"/>
    <w:rsid w:val="3B61B582"/>
    <w:rsid w:val="3BE8210F"/>
    <w:rsid w:val="3C39863C"/>
    <w:rsid w:val="3C730782"/>
    <w:rsid w:val="3F9D619A"/>
    <w:rsid w:val="40738F1D"/>
    <w:rsid w:val="408772DA"/>
    <w:rsid w:val="40E84DD6"/>
    <w:rsid w:val="4269CACD"/>
    <w:rsid w:val="428707FE"/>
    <w:rsid w:val="429B0B48"/>
    <w:rsid w:val="42E3649D"/>
    <w:rsid w:val="42EC549C"/>
    <w:rsid w:val="435BEB47"/>
    <w:rsid w:val="435E26D4"/>
    <w:rsid w:val="43AADEA0"/>
    <w:rsid w:val="44363A12"/>
    <w:rsid w:val="44816BA5"/>
    <w:rsid w:val="4498F342"/>
    <w:rsid w:val="44F0F968"/>
    <w:rsid w:val="45BB579C"/>
    <w:rsid w:val="45BE7F4C"/>
    <w:rsid w:val="462A823B"/>
    <w:rsid w:val="466EAAD5"/>
    <w:rsid w:val="46ABBFF8"/>
    <w:rsid w:val="46D8D97D"/>
    <w:rsid w:val="46F714ED"/>
    <w:rsid w:val="4719B62D"/>
    <w:rsid w:val="47966615"/>
    <w:rsid w:val="47D37967"/>
    <w:rsid w:val="48176FB3"/>
    <w:rsid w:val="4823148D"/>
    <w:rsid w:val="48349A4C"/>
    <w:rsid w:val="486C850E"/>
    <w:rsid w:val="487286A8"/>
    <w:rsid w:val="48DB224F"/>
    <w:rsid w:val="49AE41C7"/>
    <w:rsid w:val="4BFE2BF0"/>
    <w:rsid w:val="4C4344B5"/>
    <w:rsid w:val="4C62AE4E"/>
    <w:rsid w:val="4C72B0F6"/>
    <w:rsid w:val="4CCEC834"/>
    <w:rsid w:val="4D3F8E5F"/>
    <w:rsid w:val="4D5D40F7"/>
    <w:rsid w:val="4D9F1DF0"/>
    <w:rsid w:val="4DAD3D17"/>
    <w:rsid w:val="4DB1B712"/>
    <w:rsid w:val="4E7F9CFD"/>
    <w:rsid w:val="4EA4007D"/>
    <w:rsid w:val="4F3AFAD0"/>
    <w:rsid w:val="4FBF5B8E"/>
    <w:rsid w:val="4FD5F098"/>
    <w:rsid w:val="4FE86774"/>
    <w:rsid w:val="50289ECD"/>
    <w:rsid w:val="512DC0FC"/>
    <w:rsid w:val="51CC4871"/>
    <w:rsid w:val="528AD1CC"/>
    <w:rsid w:val="52E2F72D"/>
    <w:rsid w:val="5302443A"/>
    <w:rsid w:val="53217B35"/>
    <w:rsid w:val="537DC13E"/>
    <w:rsid w:val="53A62C86"/>
    <w:rsid w:val="5450FF71"/>
    <w:rsid w:val="5496B8E0"/>
    <w:rsid w:val="54B1F39E"/>
    <w:rsid w:val="55C00DDE"/>
    <w:rsid w:val="55CB2433"/>
    <w:rsid w:val="5600112C"/>
    <w:rsid w:val="563E8A1F"/>
    <w:rsid w:val="5647C80A"/>
    <w:rsid w:val="571E2A0C"/>
    <w:rsid w:val="576071F8"/>
    <w:rsid w:val="57683B9C"/>
    <w:rsid w:val="57B97349"/>
    <w:rsid w:val="5836A914"/>
    <w:rsid w:val="599712D9"/>
    <w:rsid w:val="5A181CF0"/>
    <w:rsid w:val="5A4677E1"/>
    <w:rsid w:val="5A60E20B"/>
    <w:rsid w:val="5B90C55B"/>
    <w:rsid w:val="5B9D7116"/>
    <w:rsid w:val="5BA43918"/>
    <w:rsid w:val="5BC098E0"/>
    <w:rsid w:val="5BF7D813"/>
    <w:rsid w:val="5C99C6EE"/>
    <w:rsid w:val="5CAB5B16"/>
    <w:rsid w:val="5CAF6262"/>
    <w:rsid w:val="5CE7B41E"/>
    <w:rsid w:val="5D8C7EC9"/>
    <w:rsid w:val="5D980BF7"/>
    <w:rsid w:val="5E09044C"/>
    <w:rsid w:val="5E0C926F"/>
    <w:rsid w:val="5E21BD3A"/>
    <w:rsid w:val="5E72FFE4"/>
    <w:rsid w:val="5ED95605"/>
    <w:rsid w:val="5F06A6C2"/>
    <w:rsid w:val="5F090BDB"/>
    <w:rsid w:val="603A8C21"/>
    <w:rsid w:val="6047B4AD"/>
    <w:rsid w:val="611BFD7A"/>
    <w:rsid w:val="612F002D"/>
    <w:rsid w:val="61BF95AB"/>
    <w:rsid w:val="61D9ED2F"/>
    <w:rsid w:val="622535D5"/>
    <w:rsid w:val="62717154"/>
    <w:rsid w:val="62CDAF32"/>
    <w:rsid w:val="6309906D"/>
    <w:rsid w:val="6327F565"/>
    <w:rsid w:val="6377BDCC"/>
    <w:rsid w:val="6452E1F1"/>
    <w:rsid w:val="6475AB37"/>
    <w:rsid w:val="647DB128"/>
    <w:rsid w:val="64BF6B91"/>
    <w:rsid w:val="64DCF427"/>
    <w:rsid w:val="64F649A1"/>
    <w:rsid w:val="651B98C7"/>
    <w:rsid w:val="6554BBD5"/>
    <w:rsid w:val="6682B6CB"/>
    <w:rsid w:val="67008E73"/>
    <w:rsid w:val="670FFAC4"/>
    <w:rsid w:val="677393EA"/>
    <w:rsid w:val="679BE0C3"/>
    <w:rsid w:val="67B76358"/>
    <w:rsid w:val="6818397D"/>
    <w:rsid w:val="68BB1E16"/>
    <w:rsid w:val="699FAF62"/>
    <w:rsid w:val="6A25198F"/>
    <w:rsid w:val="6A74418E"/>
    <w:rsid w:val="6A7636EC"/>
    <w:rsid w:val="6AB113AD"/>
    <w:rsid w:val="6AC7DBDD"/>
    <w:rsid w:val="6AFBC495"/>
    <w:rsid w:val="6B58BCD3"/>
    <w:rsid w:val="6B7B7CFF"/>
    <w:rsid w:val="6BC0F460"/>
    <w:rsid w:val="6CEF56E6"/>
    <w:rsid w:val="6DC9BDE9"/>
    <w:rsid w:val="6E4B7DB3"/>
    <w:rsid w:val="6E965732"/>
    <w:rsid w:val="6F224D7E"/>
    <w:rsid w:val="6F9FADF5"/>
    <w:rsid w:val="7042D9B0"/>
    <w:rsid w:val="709C3970"/>
    <w:rsid w:val="709EC023"/>
    <w:rsid w:val="714856AF"/>
    <w:rsid w:val="718B7414"/>
    <w:rsid w:val="71AF087C"/>
    <w:rsid w:val="7228D16F"/>
    <w:rsid w:val="72794A35"/>
    <w:rsid w:val="72B569D6"/>
    <w:rsid w:val="72B693E1"/>
    <w:rsid w:val="73125CC4"/>
    <w:rsid w:val="73348A15"/>
    <w:rsid w:val="7364C9F1"/>
    <w:rsid w:val="7385BCB2"/>
    <w:rsid w:val="73C59DC8"/>
    <w:rsid w:val="740B307C"/>
    <w:rsid w:val="743CBEED"/>
    <w:rsid w:val="74566A72"/>
    <w:rsid w:val="74EDCC9B"/>
    <w:rsid w:val="75084173"/>
    <w:rsid w:val="751B318B"/>
    <w:rsid w:val="764B80DE"/>
    <w:rsid w:val="76534DCF"/>
    <w:rsid w:val="767E832C"/>
    <w:rsid w:val="770ABA74"/>
    <w:rsid w:val="77BDB742"/>
    <w:rsid w:val="788B19A4"/>
    <w:rsid w:val="78CC6073"/>
    <w:rsid w:val="7931D817"/>
    <w:rsid w:val="79E81649"/>
    <w:rsid w:val="7A029245"/>
    <w:rsid w:val="7A14D945"/>
    <w:rsid w:val="7ADD4CA7"/>
    <w:rsid w:val="7ADDF74E"/>
    <w:rsid w:val="7B5C7C83"/>
    <w:rsid w:val="7BF27540"/>
    <w:rsid w:val="7C219858"/>
    <w:rsid w:val="7CD41345"/>
    <w:rsid w:val="7D14FC51"/>
    <w:rsid w:val="7D516A45"/>
    <w:rsid w:val="7DE6BC74"/>
    <w:rsid w:val="7E5DA305"/>
    <w:rsid w:val="7E77A004"/>
    <w:rsid w:val="7E867127"/>
    <w:rsid w:val="7E8F27D0"/>
    <w:rsid w:val="7EE1F2E4"/>
    <w:rsid w:val="7EFF216F"/>
    <w:rsid w:val="7F20E629"/>
    <w:rsid w:val="7F604CD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66589"/>
  <w15:docId w15:val="{01D242AB-7920-4906-ADE7-C5ABDCFD4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color w:val="000000" w:themeColor="text1"/>
        <w:sz w:val="22"/>
        <w:szCs w:val="22"/>
        <w:lang w:val="en-AU"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5" w:unhideWhenUsed="1" w:qFormat="1"/>
    <w:lsdException w:name="annotation text" w:semiHidden="1" w:unhideWhenUsed="1"/>
    <w:lsdException w:name="header" w:semiHidden="1" w:uiPriority="9"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 w:qFormat="1"/>
    <w:lsdException w:name="List Bullet 3" w:uiPriority="1" w:qFormat="1"/>
    <w:lsdException w:name="List Bullet 4" w:semiHidden="1" w:unhideWhenUsed="1"/>
    <w:lsdException w:name="List Bullet 5" w:semiHidden="1" w:unhideWhenUsed="1"/>
    <w:lsdException w:name="List Number 2" w:semiHidden="1" w:uiPriority="1" w:unhideWhenUsed="1" w:qFormat="1"/>
    <w:lsdException w:name="List Number 3" w:semiHidden="1" w:uiPriority="1" w:unhideWhenUsed="1" w:qFormat="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iPriority="0"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7"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8"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5"/>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C25"/>
    <w:pPr>
      <w:widowControl w:val="0"/>
      <w:spacing w:before="160" w:after="160" w:line="360" w:lineRule="atLeast"/>
    </w:pPr>
    <w:rPr>
      <w:rFonts w:ascii="Montserrat" w:hAnsi="Montserrat" w:cs="Poppins"/>
      <w:sz w:val="24"/>
      <w:szCs w:val="24"/>
    </w:rPr>
  </w:style>
  <w:style w:type="paragraph" w:styleId="Heading1">
    <w:name w:val="heading 1"/>
    <w:basedOn w:val="Normal"/>
    <w:next w:val="Normal"/>
    <w:link w:val="Heading1Char"/>
    <w:autoRedefine/>
    <w:uiPriority w:val="1"/>
    <w:qFormat/>
    <w:rsid w:val="00FD1154"/>
    <w:pPr>
      <w:keepNext/>
      <w:widowControl/>
      <w:spacing w:before="0" w:after="100" w:line="520" w:lineRule="atLeast"/>
      <w:jc w:val="both"/>
      <w:outlineLvl w:val="0"/>
    </w:pPr>
    <w:rPr>
      <w:rFonts w:eastAsiaTheme="majorEastAsia" w:cstheme="majorBidi"/>
      <w:b/>
      <w:color w:val="65328F" w:themeColor="accent1"/>
      <w:sz w:val="44"/>
      <w:szCs w:val="32"/>
    </w:rPr>
  </w:style>
  <w:style w:type="paragraph" w:styleId="Heading2">
    <w:name w:val="heading 2"/>
    <w:basedOn w:val="Normal"/>
    <w:next w:val="Normal"/>
    <w:link w:val="Heading2Char"/>
    <w:autoRedefine/>
    <w:uiPriority w:val="1"/>
    <w:qFormat/>
    <w:rsid w:val="006F22A6"/>
    <w:pPr>
      <w:keepNext/>
      <w:widowControl/>
      <w:spacing w:before="100" w:after="100" w:line="360" w:lineRule="auto"/>
      <w:jc w:val="both"/>
      <w:outlineLvl w:val="1"/>
    </w:pPr>
    <w:rPr>
      <w:rFonts w:eastAsiaTheme="majorEastAsia" w:cstheme="majorBidi"/>
      <w:b/>
      <w:color w:val="65328F" w:themeColor="accent1"/>
      <w:sz w:val="36"/>
      <w:szCs w:val="36"/>
    </w:rPr>
  </w:style>
  <w:style w:type="paragraph" w:styleId="Heading3">
    <w:name w:val="heading 3"/>
    <w:basedOn w:val="Normal"/>
    <w:next w:val="Normal"/>
    <w:link w:val="Heading3Char"/>
    <w:uiPriority w:val="1"/>
    <w:qFormat/>
    <w:rsid w:val="00114BFB"/>
    <w:pPr>
      <w:keepNext/>
      <w:keepLines/>
      <w:spacing w:before="100" w:after="100" w:line="440" w:lineRule="atLeast"/>
      <w:outlineLvl w:val="2"/>
    </w:pPr>
    <w:rPr>
      <w:rFonts w:eastAsiaTheme="majorEastAsia" w:cstheme="majorBidi"/>
      <w:b/>
      <w:color w:val="65328F" w:themeColor="accent1"/>
      <w:sz w:val="32"/>
    </w:rPr>
  </w:style>
  <w:style w:type="paragraph" w:styleId="Heading4">
    <w:name w:val="heading 4"/>
    <w:basedOn w:val="Normal"/>
    <w:next w:val="Normal"/>
    <w:link w:val="Heading4Char"/>
    <w:autoRedefine/>
    <w:uiPriority w:val="1"/>
    <w:qFormat/>
    <w:rsid w:val="006F22A6"/>
    <w:pPr>
      <w:keepNext/>
      <w:widowControl/>
      <w:spacing w:before="100" w:after="100" w:line="360" w:lineRule="auto"/>
      <w:outlineLvl w:val="3"/>
    </w:pPr>
    <w:rPr>
      <w:rFonts w:eastAsiaTheme="majorEastAsia" w:cstheme="majorBidi"/>
      <w:b/>
      <w:iCs/>
      <w:color w:val="65328F" w:themeColor="accent1"/>
      <w:sz w:val="28"/>
    </w:rPr>
  </w:style>
  <w:style w:type="paragraph" w:styleId="Heading5">
    <w:name w:val="heading 5"/>
    <w:basedOn w:val="Normal"/>
    <w:next w:val="Normal"/>
    <w:link w:val="Heading5Char"/>
    <w:uiPriority w:val="1"/>
    <w:qFormat/>
    <w:rsid w:val="00114BFB"/>
    <w:pPr>
      <w:keepNext/>
      <w:keepLines/>
      <w:spacing w:before="100" w:after="100"/>
      <w:outlineLvl w:val="4"/>
    </w:pPr>
    <w:rPr>
      <w:rFonts w:eastAsiaTheme="majorEastAsia" w:cstheme="majorBidi"/>
      <w:b/>
      <w:color w:val="65328F" w:themeColor="accent1"/>
    </w:rPr>
  </w:style>
  <w:style w:type="paragraph" w:styleId="Heading6">
    <w:name w:val="heading 6"/>
    <w:basedOn w:val="Normal"/>
    <w:next w:val="Normal"/>
    <w:link w:val="Heading6Char"/>
    <w:uiPriority w:val="1"/>
    <w:semiHidden/>
    <w:qFormat/>
    <w:rsid w:val="00602D88"/>
    <w:pPr>
      <w:keepNext/>
      <w:keepLines/>
      <w:spacing w:before="100" w:after="100"/>
      <w:outlineLvl w:val="5"/>
    </w:pPr>
    <w:rPr>
      <w:rFonts w:asciiTheme="majorHAnsi" w:eastAsiaTheme="majorEastAsia" w:hAnsiTheme="majorHAnsi" w:cstheme="majorBidi"/>
      <w:b/>
      <w:color w:val="65328F" w:themeColor="accent1"/>
    </w:rPr>
  </w:style>
  <w:style w:type="paragraph" w:styleId="Heading7">
    <w:name w:val="heading 7"/>
    <w:basedOn w:val="Normal"/>
    <w:next w:val="Normal"/>
    <w:link w:val="Heading7Char"/>
    <w:uiPriority w:val="2"/>
    <w:semiHidden/>
    <w:qFormat/>
    <w:rsid w:val="00492B9D"/>
    <w:pPr>
      <w:keepNext/>
      <w:keepLines/>
      <w:spacing w:before="0" w:after="360" w:line="440" w:lineRule="atLeast"/>
      <w:outlineLvl w:val="6"/>
    </w:pPr>
    <w:rPr>
      <w:rFonts w:eastAsiaTheme="majorEastAsia" w:cstheme="majorBidi"/>
      <w:iCs/>
      <w:color w:val="FFFFFF" w:themeColor="background2"/>
      <w:sz w:val="60"/>
    </w:rPr>
  </w:style>
  <w:style w:type="paragraph" w:styleId="Heading8">
    <w:name w:val="heading 8"/>
    <w:basedOn w:val="Normal"/>
    <w:next w:val="Normal"/>
    <w:link w:val="Heading8Char"/>
    <w:uiPriority w:val="2"/>
    <w:semiHidden/>
    <w:qFormat/>
    <w:rsid w:val="00492B9D"/>
    <w:pPr>
      <w:keepNext/>
      <w:keepLines/>
      <w:spacing w:before="480" w:line="320" w:lineRule="atLeast"/>
      <w:outlineLvl w:val="7"/>
    </w:pPr>
    <w:rPr>
      <w:rFonts w:ascii="Roboto Medium" w:eastAsiaTheme="majorEastAsia" w:hAnsi="Roboto Medium" w:cstheme="majorBidi"/>
      <w:sz w:val="36"/>
      <w:szCs w:val="21"/>
    </w:rPr>
  </w:style>
  <w:style w:type="paragraph" w:styleId="Heading9">
    <w:name w:val="heading 9"/>
    <w:basedOn w:val="Normal"/>
    <w:next w:val="Normal"/>
    <w:link w:val="Heading9Char"/>
    <w:uiPriority w:val="2"/>
    <w:semiHidden/>
    <w:qFormat/>
    <w:rsid w:val="00492B9D"/>
    <w:pPr>
      <w:keepNext/>
      <w:keepLines/>
      <w:spacing w:before="360"/>
      <w:outlineLvl w:val="8"/>
    </w:pPr>
    <w:rPr>
      <w:rFonts w:asciiTheme="majorHAnsi" w:eastAsiaTheme="majorEastAsia" w:hAnsiTheme="majorHAnsi" w:cstheme="majorBidi"/>
      <w:iCs/>
      <w:color w:val="FFFFFF" w:themeColor="background2"/>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MA Table"/>
    <w:basedOn w:val="TableNormal"/>
    <w:uiPriority w:val="39"/>
    <w:rsid w:val="00914935"/>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rsid w:val="00D21629"/>
    <w:pPr>
      <w:spacing w:before="0" w:after="0"/>
    </w:pPr>
    <w:rPr>
      <w:rFonts w:cs="Arial"/>
      <w:lang w:val="en-US"/>
    </w:rPr>
  </w:style>
  <w:style w:type="paragraph" w:styleId="TOC1">
    <w:name w:val="toc 1"/>
    <w:basedOn w:val="Normal"/>
    <w:next w:val="Normal"/>
    <w:uiPriority w:val="39"/>
    <w:rsid w:val="0098396D"/>
    <w:pPr>
      <w:tabs>
        <w:tab w:val="right" w:leader="dot" w:pos="9866"/>
      </w:tabs>
      <w:ind w:left="737" w:hanging="737"/>
    </w:pPr>
    <w:rPr>
      <w:b/>
    </w:rPr>
  </w:style>
  <w:style w:type="paragraph" w:styleId="BodyTextIndent3">
    <w:name w:val="Body Text Indent 3"/>
    <w:basedOn w:val="Normal"/>
    <w:link w:val="BodyTextIndent3Char"/>
    <w:uiPriority w:val="99"/>
    <w:semiHidden/>
    <w:unhideWhenUsed/>
    <w:rsid w:val="00914935"/>
    <w:pPr>
      <w:ind w:left="283"/>
    </w:pPr>
    <w:rPr>
      <w:sz w:val="16"/>
      <w:szCs w:val="16"/>
    </w:rPr>
  </w:style>
  <w:style w:type="character" w:customStyle="1" w:styleId="BodyTextIndent3Char">
    <w:name w:val="Body Text Indent 3 Char"/>
    <w:basedOn w:val="DefaultParagraphFont"/>
    <w:link w:val="BodyTextIndent3"/>
    <w:uiPriority w:val="99"/>
    <w:semiHidden/>
    <w:rsid w:val="00914935"/>
    <w:rPr>
      <w:color w:val="404040" w:themeColor="text2"/>
      <w:sz w:val="16"/>
      <w:szCs w:val="16"/>
    </w:rPr>
  </w:style>
  <w:style w:type="numbering" w:styleId="111111">
    <w:name w:val="Outline List 2"/>
    <w:basedOn w:val="NoList"/>
    <w:uiPriority w:val="99"/>
    <w:semiHidden/>
    <w:unhideWhenUsed/>
    <w:rsid w:val="00914935"/>
    <w:pPr>
      <w:numPr>
        <w:numId w:val="2"/>
      </w:numPr>
    </w:pPr>
  </w:style>
  <w:style w:type="numbering" w:styleId="1ai">
    <w:name w:val="Outline List 1"/>
    <w:basedOn w:val="NoList"/>
    <w:uiPriority w:val="99"/>
    <w:semiHidden/>
    <w:unhideWhenUsed/>
    <w:rsid w:val="00914935"/>
    <w:pPr>
      <w:numPr>
        <w:numId w:val="1"/>
      </w:numPr>
    </w:pPr>
  </w:style>
  <w:style w:type="numbering" w:styleId="ArticleSection">
    <w:name w:val="Outline List 3"/>
    <w:basedOn w:val="NoList"/>
    <w:uiPriority w:val="99"/>
    <w:semiHidden/>
    <w:unhideWhenUsed/>
    <w:rsid w:val="00914935"/>
    <w:pPr>
      <w:numPr>
        <w:numId w:val="3"/>
      </w:numPr>
    </w:pPr>
  </w:style>
  <w:style w:type="paragraph" w:styleId="BalloonText">
    <w:name w:val="Balloon Text"/>
    <w:basedOn w:val="Normal"/>
    <w:link w:val="BalloonTextChar"/>
    <w:uiPriority w:val="99"/>
    <w:semiHidden/>
    <w:unhideWhenUsed/>
    <w:rsid w:val="00914935"/>
    <w:rPr>
      <w:rFonts w:ascii="Lucida Grande" w:hAnsi="Lucida Grande" w:cs="Lucida Grande"/>
    </w:rPr>
  </w:style>
  <w:style w:type="character" w:customStyle="1" w:styleId="BalloonTextChar">
    <w:name w:val="Balloon Text Char"/>
    <w:basedOn w:val="DefaultParagraphFont"/>
    <w:link w:val="BalloonText"/>
    <w:uiPriority w:val="99"/>
    <w:semiHidden/>
    <w:rsid w:val="00914935"/>
    <w:rPr>
      <w:rFonts w:ascii="Lucida Grande" w:hAnsi="Lucida Grande" w:cs="Lucida Grande"/>
      <w:color w:val="404040" w:themeColor="text2"/>
      <w:sz w:val="20"/>
    </w:rPr>
  </w:style>
  <w:style w:type="paragraph" w:styleId="Bibliography">
    <w:name w:val="Bibliography"/>
    <w:basedOn w:val="Normal"/>
    <w:next w:val="Normal"/>
    <w:uiPriority w:val="37"/>
    <w:semiHidden/>
    <w:rsid w:val="00914935"/>
  </w:style>
  <w:style w:type="paragraph" w:styleId="BodyText2">
    <w:name w:val="Body Text 2"/>
    <w:basedOn w:val="Normal"/>
    <w:link w:val="BodyText2Char"/>
    <w:uiPriority w:val="99"/>
    <w:semiHidden/>
    <w:unhideWhenUsed/>
    <w:rsid w:val="00914935"/>
    <w:pPr>
      <w:spacing w:line="480" w:lineRule="auto"/>
    </w:pPr>
  </w:style>
  <w:style w:type="character" w:customStyle="1" w:styleId="BodyText2Char">
    <w:name w:val="Body Text 2 Char"/>
    <w:basedOn w:val="DefaultParagraphFont"/>
    <w:link w:val="BodyText2"/>
    <w:uiPriority w:val="99"/>
    <w:semiHidden/>
    <w:rsid w:val="00914935"/>
    <w:rPr>
      <w:color w:val="404040" w:themeColor="text2"/>
      <w:sz w:val="20"/>
    </w:rPr>
  </w:style>
  <w:style w:type="paragraph" w:styleId="BodyText3">
    <w:name w:val="Body Text 3"/>
    <w:basedOn w:val="Normal"/>
    <w:link w:val="BodyText3Char"/>
    <w:uiPriority w:val="99"/>
    <w:semiHidden/>
    <w:unhideWhenUsed/>
    <w:rsid w:val="00914935"/>
    <w:rPr>
      <w:sz w:val="16"/>
      <w:szCs w:val="16"/>
    </w:rPr>
  </w:style>
  <w:style w:type="character" w:customStyle="1" w:styleId="BodyText3Char">
    <w:name w:val="Body Text 3 Char"/>
    <w:basedOn w:val="DefaultParagraphFont"/>
    <w:link w:val="BodyText3"/>
    <w:uiPriority w:val="99"/>
    <w:semiHidden/>
    <w:rsid w:val="00914935"/>
    <w:rPr>
      <w:color w:val="404040" w:themeColor="text2"/>
      <w:sz w:val="16"/>
      <w:szCs w:val="16"/>
    </w:rPr>
  </w:style>
  <w:style w:type="paragraph" w:styleId="BodyTextFirstIndent">
    <w:name w:val="Body Text First Indent"/>
    <w:basedOn w:val="Normal"/>
    <w:link w:val="BodyTextFirstIndentChar"/>
    <w:uiPriority w:val="99"/>
    <w:semiHidden/>
    <w:unhideWhenUsed/>
    <w:rsid w:val="00914935"/>
    <w:pPr>
      <w:ind w:firstLine="360"/>
    </w:pPr>
  </w:style>
  <w:style w:type="character" w:customStyle="1" w:styleId="BodyTextFirstIndentChar">
    <w:name w:val="Body Text First Indent Char"/>
    <w:basedOn w:val="DefaultParagraphFont"/>
    <w:link w:val="BodyTextFirstIndent"/>
    <w:uiPriority w:val="99"/>
    <w:semiHidden/>
    <w:rsid w:val="00914935"/>
    <w:rPr>
      <w:color w:val="404040" w:themeColor="text2"/>
      <w:sz w:val="20"/>
    </w:rPr>
  </w:style>
  <w:style w:type="paragraph" w:styleId="BodyTextIndent">
    <w:name w:val="Body Text Indent"/>
    <w:basedOn w:val="Normal"/>
    <w:link w:val="BodyTextIndentChar"/>
    <w:uiPriority w:val="99"/>
    <w:semiHidden/>
    <w:unhideWhenUsed/>
    <w:rsid w:val="00914935"/>
    <w:pPr>
      <w:ind w:left="283"/>
    </w:pPr>
  </w:style>
  <w:style w:type="character" w:customStyle="1" w:styleId="BodyTextIndentChar">
    <w:name w:val="Body Text Indent Char"/>
    <w:basedOn w:val="DefaultParagraphFont"/>
    <w:link w:val="BodyTextIndent"/>
    <w:uiPriority w:val="99"/>
    <w:semiHidden/>
    <w:rsid w:val="00914935"/>
    <w:rPr>
      <w:color w:val="404040" w:themeColor="text2"/>
      <w:sz w:val="20"/>
    </w:rPr>
  </w:style>
  <w:style w:type="paragraph" w:styleId="BodyTextFirstIndent2">
    <w:name w:val="Body Text First Indent 2"/>
    <w:basedOn w:val="BodyTextIndent"/>
    <w:link w:val="BodyTextFirstIndent2Char"/>
    <w:uiPriority w:val="99"/>
    <w:semiHidden/>
    <w:unhideWhenUsed/>
    <w:rsid w:val="00914935"/>
    <w:pPr>
      <w:ind w:left="360" w:firstLine="360"/>
    </w:pPr>
  </w:style>
  <w:style w:type="character" w:customStyle="1" w:styleId="BodyTextFirstIndent2Char">
    <w:name w:val="Body Text First Indent 2 Char"/>
    <w:basedOn w:val="BodyTextIndentChar"/>
    <w:link w:val="BodyTextFirstIndent2"/>
    <w:uiPriority w:val="99"/>
    <w:semiHidden/>
    <w:rsid w:val="00914935"/>
    <w:rPr>
      <w:color w:val="404040" w:themeColor="text2"/>
      <w:sz w:val="20"/>
    </w:rPr>
  </w:style>
  <w:style w:type="paragraph" w:styleId="BodyTextIndent2">
    <w:name w:val="Body Text Indent 2"/>
    <w:basedOn w:val="Normal"/>
    <w:link w:val="BodyTextIndent2Char"/>
    <w:uiPriority w:val="99"/>
    <w:semiHidden/>
    <w:unhideWhenUsed/>
    <w:rsid w:val="00914935"/>
    <w:pPr>
      <w:spacing w:line="480" w:lineRule="auto"/>
      <w:ind w:left="283"/>
    </w:pPr>
  </w:style>
  <w:style w:type="character" w:customStyle="1" w:styleId="BodyTextIndent2Char">
    <w:name w:val="Body Text Indent 2 Char"/>
    <w:basedOn w:val="DefaultParagraphFont"/>
    <w:link w:val="BodyTextIndent2"/>
    <w:uiPriority w:val="99"/>
    <w:semiHidden/>
    <w:rsid w:val="00914935"/>
    <w:rPr>
      <w:color w:val="404040" w:themeColor="text2"/>
      <w:sz w:val="20"/>
    </w:rPr>
  </w:style>
  <w:style w:type="character" w:styleId="BookTitle">
    <w:name w:val="Book Title"/>
    <w:basedOn w:val="DefaultParagraphFont"/>
    <w:uiPriority w:val="33"/>
    <w:semiHidden/>
    <w:rsid w:val="00914935"/>
    <w:rPr>
      <w:b/>
      <w:bCs/>
      <w:smallCaps/>
      <w:spacing w:val="5"/>
    </w:rPr>
  </w:style>
  <w:style w:type="paragraph" w:styleId="Caption">
    <w:name w:val="caption"/>
    <w:basedOn w:val="Normal"/>
    <w:next w:val="Normal"/>
    <w:uiPriority w:val="35"/>
    <w:qFormat/>
    <w:rsid w:val="009E71B6"/>
    <w:pPr>
      <w:widowControl/>
      <w:spacing w:before="240" w:after="120" w:line="280" w:lineRule="atLeast"/>
    </w:pPr>
    <w:rPr>
      <w:b/>
      <w:iCs/>
    </w:rPr>
  </w:style>
  <w:style w:type="paragraph" w:styleId="Closing">
    <w:name w:val="Closing"/>
    <w:basedOn w:val="Normal"/>
    <w:link w:val="ClosingChar"/>
    <w:uiPriority w:val="99"/>
    <w:semiHidden/>
    <w:unhideWhenUsed/>
    <w:rsid w:val="00914935"/>
    <w:pPr>
      <w:ind w:left="4252"/>
    </w:pPr>
  </w:style>
  <w:style w:type="character" w:customStyle="1" w:styleId="ClosingChar">
    <w:name w:val="Closing Char"/>
    <w:basedOn w:val="DefaultParagraphFont"/>
    <w:link w:val="Closing"/>
    <w:uiPriority w:val="99"/>
    <w:semiHidden/>
    <w:rsid w:val="00914935"/>
    <w:rPr>
      <w:color w:val="404040" w:themeColor="text2"/>
      <w:sz w:val="20"/>
    </w:rPr>
  </w:style>
  <w:style w:type="table" w:styleId="ColourfulGrid">
    <w:name w:val="Colorful Grid"/>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E0CFEE" w:themeFill="accent1" w:themeFillTint="33"/>
      <w:tcMar>
        <w:top w:w="57" w:type="dxa"/>
        <w:left w:w="57" w:type="dxa"/>
        <w:bottom w:w="57" w:type="dxa"/>
        <w:right w:w="57" w:type="dxa"/>
      </w:tcMar>
    </w:tcPr>
    <w:tblStylePr w:type="firstRow">
      <w:rPr>
        <w:rFonts w:asciiTheme="majorHAnsi" w:hAnsiTheme="majorHAnsi"/>
        <w:b/>
        <w:bCs/>
      </w:rPr>
      <w:tblPr/>
      <w:tcPr>
        <w:shd w:val="clear" w:color="auto" w:fill="C2A0DE" w:themeFill="accent1" w:themeFillTint="66"/>
      </w:tcPr>
    </w:tblStylePr>
    <w:tblStylePr w:type="lastRow">
      <w:rPr>
        <w:b/>
        <w:bCs/>
        <w:color w:val="000000" w:themeColor="text1"/>
      </w:rPr>
      <w:tblPr/>
      <w:tcPr>
        <w:shd w:val="clear" w:color="auto" w:fill="C2A0DE" w:themeFill="accent1" w:themeFillTint="66"/>
      </w:tcPr>
    </w:tblStylePr>
    <w:tblStylePr w:type="firstCol">
      <w:rPr>
        <w:color w:val="FFFFFF" w:themeColor="background1"/>
      </w:rPr>
      <w:tblPr/>
      <w:tcPr>
        <w:shd w:val="clear" w:color="auto" w:fill="4B256A" w:themeFill="accent1" w:themeFillShade="BF"/>
      </w:tcPr>
    </w:tblStylePr>
    <w:tblStylePr w:type="lastCol">
      <w:rPr>
        <w:color w:val="FFFFFF" w:themeColor="background1"/>
      </w:rPr>
      <w:tblPr/>
      <w:tcPr>
        <w:shd w:val="clear" w:color="auto" w:fill="4B256A" w:themeFill="accent1" w:themeFillShade="BF"/>
      </w:tcPr>
    </w:tblStylePr>
    <w:tblStylePr w:type="band1Vert">
      <w:tblPr/>
      <w:tcPr>
        <w:shd w:val="clear" w:color="auto" w:fill="B389D6" w:themeFill="accent1" w:themeFillTint="7F"/>
      </w:tcPr>
    </w:tblStylePr>
    <w:tblStylePr w:type="band1Horz">
      <w:tblPr/>
      <w:tcPr>
        <w:shd w:val="clear" w:color="auto" w:fill="B389D6" w:themeFill="accent1" w:themeFillTint="7F"/>
      </w:tcPr>
    </w:tblStylePr>
  </w:style>
  <w:style w:type="table" w:styleId="ColourfulGridAccent2">
    <w:name w:val="Colorful Grid Accent 2"/>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BD5CA" w:themeFill="accent2" w:themeFillTint="33"/>
      <w:tcMar>
        <w:top w:w="57" w:type="dxa"/>
        <w:left w:w="57" w:type="dxa"/>
        <w:bottom w:w="57" w:type="dxa"/>
        <w:right w:w="57" w:type="dxa"/>
      </w:tcMar>
    </w:tcPr>
    <w:tblStylePr w:type="firstRow">
      <w:rPr>
        <w:rFonts w:asciiTheme="majorHAnsi" w:hAnsiTheme="majorHAnsi"/>
        <w:b/>
        <w:bCs/>
      </w:rPr>
      <w:tblPr/>
      <w:tcPr>
        <w:shd w:val="clear" w:color="auto" w:fill="F8AC95" w:themeFill="accent2" w:themeFillTint="66"/>
      </w:tcPr>
    </w:tblStylePr>
    <w:tblStylePr w:type="lastRow">
      <w:rPr>
        <w:b/>
        <w:bCs/>
        <w:color w:val="000000" w:themeColor="text1"/>
      </w:rPr>
      <w:tblPr/>
      <w:tcPr>
        <w:shd w:val="clear" w:color="auto" w:fill="F8AC95" w:themeFill="accent2" w:themeFillTint="66"/>
      </w:tcPr>
    </w:tblStylePr>
    <w:tblStylePr w:type="firstCol">
      <w:rPr>
        <w:color w:val="FFFFFF" w:themeColor="background1"/>
      </w:rPr>
      <w:tblPr/>
      <w:tcPr>
        <w:shd w:val="clear" w:color="auto" w:fill="A12D0A" w:themeFill="accent2" w:themeFillShade="BF"/>
      </w:tcPr>
    </w:tblStylePr>
    <w:tblStylePr w:type="lastCol">
      <w:rPr>
        <w:color w:val="FFFFFF" w:themeColor="background1"/>
      </w:rPr>
      <w:tblPr/>
      <w:tcPr>
        <w:shd w:val="clear" w:color="auto" w:fill="A12D0A" w:themeFill="accent2" w:themeFillShade="BF"/>
      </w:tcPr>
    </w:tblStylePr>
    <w:tblStylePr w:type="band1Vert">
      <w:tblPr/>
      <w:tcPr>
        <w:shd w:val="clear" w:color="auto" w:fill="F6987B" w:themeFill="accent2" w:themeFillTint="7F"/>
      </w:tcPr>
    </w:tblStylePr>
    <w:tblStylePr w:type="band1Horz">
      <w:tblPr/>
      <w:tcPr>
        <w:shd w:val="clear" w:color="auto" w:fill="F6987B" w:themeFill="accent2" w:themeFillTint="7F"/>
      </w:tcPr>
    </w:tblStylePr>
  </w:style>
  <w:style w:type="table" w:styleId="ColourfulGridAccent3">
    <w:name w:val="Colorful Grid Accent 3"/>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E5E5E5" w:themeFill="accent3" w:themeFillTint="33"/>
      <w:tcMar>
        <w:top w:w="57" w:type="dxa"/>
        <w:left w:w="57" w:type="dxa"/>
        <w:bottom w:w="57" w:type="dxa"/>
        <w:right w:w="57" w:type="dxa"/>
      </w:tcMar>
    </w:tcPr>
    <w:tblStylePr w:type="firstRow">
      <w:rPr>
        <w:rFonts w:asciiTheme="majorHAnsi" w:hAnsiTheme="majorHAnsi"/>
        <w:b/>
        <w:bCs/>
      </w:rPr>
      <w:tblPr/>
      <w:tcPr>
        <w:shd w:val="clear" w:color="auto" w:fill="CBCBCB" w:themeFill="accent3" w:themeFillTint="66"/>
      </w:tcPr>
    </w:tblStylePr>
    <w:tblStylePr w:type="lastRow">
      <w:rPr>
        <w:b/>
        <w:bCs/>
        <w:color w:val="000000" w:themeColor="text1"/>
      </w:rPr>
      <w:tblPr/>
      <w:tcPr>
        <w:shd w:val="clear" w:color="auto" w:fill="CBCBCB" w:themeFill="accent3" w:themeFillTint="66"/>
      </w:tcPr>
    </w:tblStylePr>
    <w:tblStylePr w:type="firstCol">
      <w:rPr>
        <w:color w:val="FFFFFF" w:themeColor="background1"/>
      </w:rPr>
      <w:tblPr/>
      <w:tcPr>
        <w:shd w:val="clear" w:color="auto" w:fill="5F5F5F" w:themeFill="accent3" w:themeFillShade="BF"/>
      </w:tcPr>
    </w:tblStylePr>
    <w:tblStylePr w:type="lastCol">
      <w:rPr>
        <w:color w:val="FFFFFF" w:themeColor="background1"/>
      </w:rPr>
      <w:tblPr/>
      <w:tcPr>
        <w:shd w:val="clear" w:color="auto" w:fill="5F5F5F" w:themeFill="accent3" w:themeFillShade="BF"/>
      </w:tcPr>
    </w:tblStylePr>
    <w:tblStylePr w:type="band1Vert">
      <w:tblPr/>
      <w:tcPr>
        <w:shd w:val="clear" w:color="auto" w:fill="BFBFBF" w:themeFill="accent3" w:themeFillTint="7F"/>
      </w:tcPr>
    </w:tblStylePr>
    <w:tblStylePr w:type="band1Horz">
      <w:tblPr/>
      <w:tcPr>
        <w:shd w:val="clear" w:color="auto" w:fill="BFBFBF" w:themeFill="accent3" w:themeFillTint="7F"/>
      </w:tcPr>
    </w:tblStylePr>
  </w:style>
  <w:style w:type="table" w:styleId="ColourfulGridAccent4">
    <w:name w:val="Colorful Grid Accent 4"/>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D8D8D8" w:themeFill="accent4" w:themeFillTint="33"/>
      <w:tcMar>
        <w:top w:w="57" w:type="dxa"/>
        <w:left w:w="57" w:type="dxa"/>
        <w:bottom w:w="57" w:type="dxa"/>
        <w:right w:w="57" w:type="dxa"/>
      </w:tcMar>
    </w:tcPr>
    <w:tblStylePr w:type="firstRow">
      <w:rPr>
        <w:rFonts w:asciiTheme="majorHAnsi" w:hAnsiTheme="majorHAnsi"/>
        <w:b/>
        <w:bCs/>
      </w:rPr>
      <w:tblPr/>
      <w:tcPr>
        <w:shd w:val="clear" w:color="auto" w:fill="B2B2B2" w:themeFill="accent4" w:themeFillTint="66"/>
      </w:tcPr>
    </w:tblStylePr>
    <w:tblStylePr w:type="lastRow">
      <w:rPr>
        <w:b/>
        <w:bCs/>
        <w:color w:val="000000" w:themeColor="text1"/>
      </w:rPr>
      <w:tblPr/>
      <w:tcPr>
        <w:shd w:val="clear" w:color="auto" w:fill="B2B2B2" w:themeFill="accent4" w:themeFillTint="66"/>
      </w:tcPr>
    </w:tblStylePr>
    <w:tblStylePr w:type="firstCol">
      <w:rPr>
        <w:color w:val="FFFFFF" w:themeColor="background1"/>
      </w:rPr>
      <w:tblPr/>
      <w:tcPr>
        <w:shd w:val="clear" w:color="auto" w:fill="2F2F2F" w:themeFill="accent4" w:themeFillShade="BF"/>
      </w:tcPr>
    </w:tblStylePr>
    <w:tblStylePr w:type="lastCol">
      <w:rPr>
        <w:color w:val="FFFFFF" w:themeColor="background1"/>
      </w:rPr>
      <w:tblPr/>
      <w:tcPr>
        <w:shd w:val="clear" w:color="auto" w:fill="2F2F2F" w:themeFill="accent4" w:themeFillShade="BF"/>
      </w:tcPr>
    </w:tblStylePr>
    <w:tblStylePr w:type="band1Vert">
      <w:tblPr/>
      <w:tcPr>
        <w:shd w:val="clear" w:color="auto" w:fill="9F9F9F" w:themeFill="accent4" w:themeFillTint="7F"/>
      </w:tcPr>
    </w:tblStylePr>
    <w:tblStylePr w:type="band1Horz">
      <w:tblPr/>
      <w:tcPr>
        <w:shd w:val="clear" w:color="auto" w:fill="9F9F9F" w:themeFill="accent4" w:themeFillTint="7F"/>
      </w:tcPr>
    </w:tblStylePr>
  </w:style>
  <w:style w:type="table" w:styleId="ColourfulGridAccent5">
    <w:name w:val="Colorful Grid Accent 5"/>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2F2F2" w:themeFill="accent5" w:themeFillTint="33"/>
      <w:tcMar>
        <w:top w:w="57" w:type="dxa"/>
        <w:left w:w="57" w:type="dxa"/>
        <w:bottom w:w="57" w:type="dxa"/>
        <w:right w:w="57" w:type="dxa"/>
      </w:tcMar>
    </w:tcPr>
    <w:tblStylePr w:type="firstRow">
      <w:rPr>
        <w:rFonts w:asciiTheme="majorHAnsi" w:hAnsiTheme="majorHAnsi"/>
        <w:b/>
        <w:bCs/>
      </w:rPr>
      <w:tblPr/>
      <w:tcPr>
        <w:shd w:val="clear" w:color="auto" w:fill="E5E5E5" w:themeFill="accent5" w:themeFillTint="66"/>
      </w:tcPr>
    </w:tblStylePr>
    <w:tblStylePr w:type="lastRow">
      <w:rPr>
        <w:b/>
        <w:bCs/>
        <w:color w:val="000000" w:themeColor="text1"/>
      </w:rPr>
      <w:tblPr/>
      <w:tcPr>
        <w:shd w:val="clear" w:color="auto" w:fill="E5E5E5" w:themeFill="accent5" w:themeFillTint="66"/>
      </w:tcPr>
    </w:tblStylePr>
    <w:tblStylePr w:type="firstCol">
      <w:rPr>
        <w:color w:val="FFFFFF" w:themeColor="background1"/>
      </w:rPr>
      <w:tblPr/>
      <w:tcPr>
        <w:shd w:val="clear" w:color="auto" w:fill="8F8F8F" w:themeFill="accent5" w:themeFillShade="BF"/>
      </w:tcPr>
    </w:tblStylePr>
    <w:tblStylePr w:type="lastCol">
      <w:rPr>
        <w:color w:val="FFFFFF" w:themeColor="background1"/>
      </w:rPr>
      <w:tblPr/>
      <w:tcPr>
        <w:shd w:val="clear" w:color="auto" w:fill="8F8F8F" w:themeFill="accent5" w:themeFillShade="BF"/>
      </w:tcPr>
    </w:tblStylePr>
    <w:tblStylePr w:type="band1Vert">
      <w:tblPr/>
      <w:tcPr>
        <w:shd w:val="clear" w:color="auto" w:fill="DFDFDF" w:themeFill="accent5" w:themeFillTint="7F"/>
      </w:tcPr>
    </w:tblStylePr>
    <w:tblStylePr w:type="band1Horz">
      <w:tblPr/>
      <w:tcPr>
        <w:shd w:val="clear" w:color="auto" w:fill="DFDFDF" w:themeFill="accent5" w:themeFillTint="7F"/>
      </w:tcPr>
    </w:tblStylePr>
  </w:style>
  <w:style w:type="table" w:styleId="ColourfulGridAccent6">
    <w:name w:val="Colorful Grid Accent 6"/>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AFAFA" w:themeFill="accent6" w:themeFillTint="33"/>
      <w:tcMar>
        <w:top w:w="57" w:type="dxa"/>
        <w:left w:w="57" w:type="dxa"/>
        <w:bottom w:w="57" w:type="dxa"/>
        <w:right w:w="57" w:type="dxa"/>
      </w:tcMar>
    </w:tcPr>
    <w:tblStylePr w:type="firstRow">
      <w:rPr>
        <w:rFonts w:asciiTheme="majorHAnsi" w:hAnsiTheme="majorHAnsi"/>
        <w:b/>
        <w:bCs/>
      </w:rPr>
      <w:tblPr/>
      <w:tcPr>
        <w:shd w:val="clear" w:color="auto" w:fill="F5F5F5" w:themeFill="accent6" w:themeFillTint="66"/>
      </w:tcPr>
    </w:tblStylePr>
    <w:tblStylePr w:type="lastRow">
      <w:rPr>
        <w:b/>
        <w:bCs/>
        <w:color w:val="000000" w:themeColor="text1"/>
      </w:rPr>
      <w:tblPr/>
      <w:tcPr>
        <w:shd w:val="clear" w:color="auto" w:fill="F5F5F5" w:themeFill="accent6" w:themeFillTint="66"/>
      </w:tcPr>
    </w:tblStylePr>
    <w:tblStylePr w:type="firstCol">
      <w:rPr>
        <w:color w:val="FFFFFF" w:themeColor="background1"/>
      </w:rPr>
      <w:tblPr/>
      <w:tcPr>
        <w:shd w:val="clear" w:color="auto" w:fill="ACACAC" w:themeFill="accent6" w:themeFillShade="BF"/>
      </w:tcPr>
    </w:tblStylePr>
    <w:tblStylePr w:type="lastCol">
      <w:rPr>
        <w:color w:val="FFFFFF" w:themeColor="background1"/>
      </w:rPr>
      <w:tblPr/>
      <w:tcPr>
        <w:shd w:val="clear" w:color="auto" w:fill="ACACAC" w:themeFill="accent6" w:themeFillShade="BF"/>
      </w:tc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ColourfulList">
    <w:name w:val="Colorful List"/>
    <w:basedOn w:val="TableNormal"/>
    <w:uiPriority w:val="72"/>
    <w:semiHidden/>
    <w:unhideWhenUsed/>
    <w:rsid w:val="00914935"/>
    <w:rPr>
      <w:rFonts w:eastAsia="MS Mincho"/>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914935"/>
    <w:rPr>
      <w:rFonts w:eastAsia="MS Mincho"/>
      <w:lang w:val="en-GB" w:eastAsia="en-GB"/>
    </w:rPr>
    <w:tblPr>
      <w:tblStyleRowBandSize w:val="1"/>
      <w:tblStyleColBandSize w:val="1"/>
    </w:tblPr>
    <w:tcPr>
      <w:shd w:val="clear" w:color="auto" w:fill="F0E7F7"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C4EA" w:themeFill="accent1" w:themeFillTint="3F"/>
      </w:tcPr>
    </w:tblStylePr>
    <w:tblStylePr w:type="band1Horz">
      <w:tblPr/>
      <w:tcPr>
        <w:shd w:val="clear" w:color="auto" w:fill="E0CFEE" w:themeFill="accent1" w:themeFillTint="33"/>
      </w:tcPr>
    </w:tblStylePr>
  </w:style>
  <w:style w:type="table" w:styleId="ColourfulListAccent2">
    <w:name w:val="Colorful List Accent 2"/>
    <w:basedOn w:val="TableNormal"/>
    <w:uiPriority w:val="72"/>
    <w:semiHidden/>
    <w:unhideWhenUsed/>
    <w:rsid w:val="00914935"/>
    <w:rPr>
      <w:rFonts w:eastAsia="MS Mincho"/>
      <w:lang w:val="en-GB" w:eastAsia="en-GB"/>
    </w:rPr>
    <w:tblPr>
      <w:tblStyleRowBandSize w:val="1"/>
      <w:tblStyleColBandSize w:val="1"/>
    </w:tblPr>
    <w:tcPr>
      <w:shd w:val="clear" w:color="auto" w:fill="FDEAE5"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BBD" w:themeFill="accent2" w:themeFillTint="3F"/>
      </w:tcPr>
    </w:tblStylePr>
    <w:tblStylePr w:type="band1Horz">
      <w:tblPr/>
      <w:tcPr>
        <w:shd w:val="clear" w:color="auto" w:fill="FBD5CA" w:themeFill="accent2" w:themeFillTint="33"/>
      </w:tcPr>
    </w:tblStylePr>
  </w:style>
  <w:style w:type="table" w:styleId="ColourfulListAccent3">
    <w:name w:val="Colorful List Accent 3"/>
    <w:basedOn w:val="TableNormal"/>
    <w:uiPriority w:val="72"/>
    <w:semiHidden/>
    <w:unhideWhenUsed/>
    <w:rsid w:val="00914935"/>
    <w:rPr>
      <w:rFonts w:eastAsia="MS Mincho"/>
      <w:lang w:val="en-GB" w:eastAsia="en-GB"/>
    </w:rPr>
    <w:tblPr>
      <w:tblStyleRowBandSize w:val="1"/>
      <w:tblStyleColBandSize w:val="1"/>
    </w:tblPr>
    <w:tcPr>
      <w:shd w:val="clear" w:color="auto" w:fill="F2F2F2"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23232" w:themeFill="accent4" w:themeFillShade="CC"/>
      </w:tcPr>
    </w:tblStylePr>
    <w:tblStylePr w:type="lastRow">
      <w:rPr>
        <w:b/>
        <w:bCs/>
        <w:color w:val="32323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3" w:themeFillTint="3F"/>
      </w:tcPr>
    </w:tblStylePr>
    <w:tblStylePr w:type="band1Horz">
      <w:tblPr/>
      <w:tcPr>
        <w:shd w:val="clear" w:color="auto" w:fill="E5E5E5" w:themeFill="accent3" w:themeFillTint="33"/>
      </w:tcPr>
    </w:tblStylePr>
  </w:style>
  <w:style w:type="table" w:styleId="ColourfulListAccent4">
    <w:name w:val="Colorful List Accent 4"/>
    <w:basedOn w:val="TableNormal"/>
    <w:uiPriority w:val="72"/>
    <w:semiHidden/>
    <w:unhideWhenUsed/>
    <w:rsid w:val="00914935"/>
    <w:rPr>
      <w:rFonts w:eastAsia="MS Mincho"/>
      <w:lang w:val="en-GB" w:eastAsia="en-GB"/>
    </w:rPr>
    <w:tblPr>
      <w:tblStyleRowBandSize w:val="1"/>
      <w:tblStyleColBandSize w:val="1"/>
    </w:tblPr>
    <w:tcPr>
      <w:shd w:val="clear" w:color="auto" w:fill="ECECEC"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56565" w:themeFill="accent3" w:themeFillShade="CC"/>
      </w:tcPr>
    </w:tblStylePr>
    <w:tblStylePr w:type="lastRow">
      <w:rPr>
        <w:b/>
        <w:bCs/>
        <w:color w:val="65656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F" w:themeFill="accent4" w:themeFillTint="3F"/>
      </w:tcPr>
    </w:tblStylePr>
    <w:tblStylePr w:type="band1Horz">
      <w:tblPr/>
      <w:tcPr>
        <w:shd w:val="clear" w:color="auto" w:fill="D8D8D8" w:themeFill="accent4" w:themeFillTint="33"/>
      </w:tcPr>
    </w:tblStylePr>
  </w:style>
  <w:style w:type="table" w:styleId="ColourfulListAccent5">
    <w:name w:val="Colorful List Accent 5"/>
    <w:basedOn w:val="TableNormal"/>
    <w:uiPriority w:val="72"/>
    <w:semiHidden/>
    <w:unhideWhenUsed/>
    <w:rsid w:val="00914935"/>
    <w:rPr>
      <w:rFonts w:eastAsia="MS Mincho"/>
      <w:lang w:val="en-GB" w:eastAsia="en-GB"/>
    </w:rPr>
    <w:tblPr>
      <w:tblStyleRowBandSize w:val="1"/>
      <w:tblStyleColBandSize w:val="1"/>
    </w:tblPr>
    <w:tcPr>
      <w:shd w:val="clear" w:color="auto" w:fill="F8F8F8"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B8B8B8" w:themeFill="accent6" w:themeFillShade="CC"/>
      </w:tcPr>
    </w:tblStylePr>
    <w:tblStylePr w:type="lastRow">
      <w:rPr>
        <w:b/>
        <w:bCs/>
        <w:color w:val="B8B8B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5" w:themeFillTint="3F"/>
      </w:tcPr>
    </w:tblStylePr>
    <w:tblStylePr w:type="band1Horz">
      <w:tblPr/>
      <w:tcPr>
        <w:shd w:val="clear" w:color="auto" w:fill="F2F2F2" w:themeFill="accent5" w:themeFillTint="33"/>
      </w:tcPr>
    </w:tblStylePr>
  </w:style>
  <w:style w:type="table" w:styleId="ColourfulListAccent6">
    <w:name w:val="Colorful List Accent 6"/>
    <w:basedOn w:val="TableNormal"/>
    <w:uiPriority w:val="72"/>
    <w:semiHidden/>
    <w:unhideWhenUsed/>
    <w:rsid w:val="00914935"/>
    <w:rPr>
      <w:rFonts w:eastAsia="MS Mincho"/>
      <w:lang w:val="en-GB" w:eastAsia="en-GB"/>
    </w:rPr>
    <w:tblPr>
      <w:tblStyleRowBandSize w:val="1"/>
      <w:tblStyleColBandSize w:val="1"/>
    </w:tblPr>
    <w:tcPr>
      <w:shd w:val="clear" w:color="auto" w:fill="FCFCF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99999" w:themeFill="accent5" w:themeFillShade="CC"/>
      </w:tcPr>
    </w:tblStylePr>
    <w:tblStylePr w:type="lastRow">
      <w:rPr>
        <w:b/>
        <w:bCs/>
        <w:color w:val="99999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8F8" w:themeFill="accent6" w:themeFillTint="3F"/>
      </w:tcPr>
    </w:tblStylePr>
    <w:tblStylePr w:type="band1Horz">
      <w:tblPr/>
      <w:tcPr>
        <w:shd w:val="clear" w:color="auto" w:fill="FAFAFA" w:themeFill="accent6" w:themeFillTint="33"/>
      </w:tcPr>
    </w:tblStylePr>
  </w:style>
  <w:style w:type="table" w:styleId="ColourfulShading">
    <w:name w:val="Colorful Shading"/>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65328F" w:themeColor="accent1"/>
        <w:bottom w:val="single" w:sz="4" w:space="0" w:color="65328F" w:themeColor="accent1"/>
        <w:right w:val="single" w:sz="4" w:space="0" w:color="65328F" w:themeColor="accent1"/>
        <w:insideH w:val="single" w:sz="4" w:space="0" w:color="FFFFFF" w:themeColor="background1"/>
        <w:insideV w:val="single" w:sz="4" w:space="0" w:color="FFFFFF" w:themeColor="background1"/>
      </w:tblBorders>
    </w:tblPr>
    <w:tcPr>
      <w:shd w:val="clear" w:color="auto" w:fill="F0E7F7"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1E55" w:themeFill="accent1" w:themeFillShade="99"/>
      </w:tcPr>
    </w:tblStylePr>
    <w:tblStylePr w:type="firstCol">
      <w:rPr>
        <w:color w:val="FFFFFF" w:themeColor="background1"/>
      </w:rPr>
      <w:tblPr/>
      <w:tcPr>
        <w:tcBorders>
          <w:top w:val="nil"/>
          <w:left w:val="nil"/>
          <w:bottom w:val="nil"/>
          <w:right w:val="nil"/>
          <w:insideH w:val="single" w:sz="4" w:space="0" w:color="3C1E55" w:themeColor="accent1" w:themeShade="99"/>
          <w:insideV w:val="nil"/>
        </w:tcBorders>
        <w:shd w:val="clear" w:color="auto" w:fill="3C1E5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1E55" w:themeFill="accent1" w:themeFillShade="99"/>
      </w:tcPr>
    </w:tblStylePr>
    <w:tblStylePr w:type="band1Vert">
      <w:tblPr/>
      <w:tcPr>
        <w:shd w:val="clear" w:color="auto" w:fill="C2A0DE" w:themeFill="accent1" w:themeFillTint="66"/>
      </w:tcPr>
    </w:tblStylePr>
    <w:tblStylePr w:type="band1Horz">
      <w:tblPr/>
      <w:tcPr>
        <w:shd w:val="clear" w:color="auto" w:fill="B389D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D83D0E" w:themeColor="accent2"/>
        <w:bottom w:val="single" w:sz="4" w:space="0" w:color="D83D0E" w:themeColor="accent2"/>
        <w:right w:val="single" w:sz="4" w:space="0" w:color="D83D0E" w:themeColor="accent2"/>
        <w:insideH w:val="single" w:sz="4" w:space="0" w:color="FFFFFF" w:themeColor="background1"/>
        <w:insideV w:val="single" w:sz="4" w:space="0" w:color="FFFFFF" w:themeColor="background1"/>
      </w:tblBorders>
    </w:tblPr>
    <w:tcPr>
      <w:shd w:val="clear" w:color="auto" w:fill="FDEAE5"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2408" w:themeFill="accent2" w:themeFillShade="99"/>
      </w:tcPr>
    </w:tblStylePr>
    <w:tblStylePr w:type="firstCol">
      <w:rPr>
        <w:color w:val="FFFFFF" w:themeColor="background1"/>
      </w:rPr>
      <w:tblPr/>
      <w:tcPr>
        <w:tcBorders>
          <w:top w:val="nil"/>
          <w:left w:val="nil"/>
          <w:bottom w:val="nil"/>
          <w:right w:val="nil"/>
          <w:insideH w:val="single" w:sz="4" w:space="0" w:color="812408" w:themeColor="accent2" w:themeShade="99"/>
          <w:insideV w:val="nil"/>
        </w:tcBorders>
        <w:shd w:val="clear" w:color="auto" w:fill="81240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12408" w:themeFill="accent2" w:themeFillShade="99"/>
      </w:tcPr>
    </w:tblStylePr>
    <w:tblStylePr w:type="band1Vert">
      <w:tblPr/>
      <w:tcPr>
        <w:shd w:val="clear" w:color="auto" w:fill="F8AC95" w:themeFill="accent2" w:themeFillTint="66"/>
      </w:tcPr>
    </w:tblStylePr>
    <w:tblStylePr w:type="band1Horz">
      <w:tblPr/>
      <w:tcPr>
        <w:shd w:val="clear" w:color="auto" w:fill="F6987B"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914935"/>
    <w:rPr>
      <w:rFonts w:eastAsia="MS Mincho"/>
      <w:lang w:val="en-GB" w:eastAsia="en-GB"/>
    </w:rPr>
    <w:tblPr>
      <w:tblStyleRowBandSize w:val="1"/>
      <w:tblStyleColBandSize w:val="1"/>
      <w:tblBorders>
        <w:top w:val="single" w:sz="24" w:space="0" w:color="3F3F3F" w:themeColor="accent4"/>
        <w:left w:val="single" w:sz="4" w:space="0" w:color="7F7F7F" w:themeColor="accent3"/>
        <w:bottom w:val="single" w:sz="4" w:space="0" w:color="7F7F7F" w:themeColor="accent3"/>
        <w:right w:val="single" w:sz="4" w:space="0" w:color="7F7F7F" w:themeColor="accent3"/>
        <w:insideH w:val="single" w:sz="4" w:space="0" w:color="FFFFFF" w:themeColor="background1"/>
        <w:insideV w:val="single" w:sz="4" w:space="0" w:color="FFFFFF" w:themeColor="background1"/>
      </w:tblBorders>
    </w:tblPr>
    <w:tcPr>
      <w:shd w:val="clear" w:color="auto" w:fill="F2F2F2"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3F3F3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3" w:themeFillShade="99"/>
      </w:tcPr>
    </w:tblStylePr>
    <w:tblStylePr w:type="firstCol">
      <w:rPr>
        <w:color w:val="FFFFFF" w:themeColor="background1"/>
      </w:rPr>
      <w:tblPr/>
      <w:tcPr>
        <w:tcBorders>
          <w:top w:val="nil"/>
          <w:left w:val="nil"/>
          <w:bottom w:val="nil"/>
          <w:right w:val="nil"/>
          <w:insideH w:val="single" w:sz="4" w:space="0" w:color="4C4C4C" w:themeColor="accent3" w:themeShade="99"/>
          <w:insideV w:val="nil"/>
        </w:tcBorders>
        <w:shd w:val="clear" w:color="auto" w:fill="4C4C4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3" w:themeFillShade="99"/>
      </w:tcPr>
    </w:tblStylePr>
    <w:tblStylePr w:type="band1Vert">
      <w:tblPr/>
      <w:tcPr>
        <w:shd w:val="clear" w:color="auto" w:fill="CBCBCB" w:themeFill="accent3" w:themeFillTint="66"/>
      </w:tcPr>
    </w:tblStylePr>
    <w:tblStylePr w:type="band1Horz">
      <w:tblPr/>
      <w:tcPr>
        <w:shd w:val="clear" w:color="auto" w:fill="BFBFBF" w:themeFill="accent3" w:themeFillTint="7F"/>
      </w:tcPr>
    </w:tblStylePr>
  </w:style>
  <w:style w:type="table" w:styleId="ColourfulShadingAccent4">
    <w:name w:val="Colorful Shading Accent 4"/>
    <w:basedOn w:val="TableNormal"/>
    <w:uiPriority w:val="71"/>
    <w:semiHidden/>
    <w:unhideWhenUsed/>
    <w:rsid w:val="00914935"/>
    <w:rPr>
      <w:rFonts w:eastAsia="MS Mincho"/>
      <w:lang w:val="en-GB" w:eastAsia="en-GB"/>
    </w:rPr>
    <w:tblPr>
      <w:tblStyleRowBandSize w:val="1"/>
      <w:tblStyleColBandSize w:val="1"/>
      <w:tblBorders>
        <w:top w:val="single" w:sz="24" w:space="0" w:color="7F7F7F" w:themeColor="accent3"/>
        <w:left w:val="single" w:sz="4" w:space="0" w:color="3F3F3F" w:themeColor="accent4"/>
        <w:bottom w:val="single" w:sz="4" w:space="0" w:color="3F3F3F" w:themeColor="accent4"/>
        <w:right w:val="single" w:sz="4" w:space="0" w:color="3F3F3F" w:themeColor="accent4"/>
        <w:insideH w:val="single" w:sz="4" w:space="0" w:color="FFFFFF" w:themeColor="background1"/>
        <w:insideV w:val="single" w:sz="4" w:space="0" w:color="FFFFFF" w:themeColor="background1"/>
      </w:tblBorders>
    </w:tblPr>
    <w:tcPr>
      <w:shd w:val="clear" w:color="auto" w:fill="ECECEC"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7F7F7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2525" w:themeFill="accent4" w:themeFillShade="99"/>
      </w:tcPr>
    </w:tblStylePr>
    <w:tblStylePr w:type="firstCol">
      <w:rPr>
        <w:color w:val="FFFFFF" w:themeColor="background1"/>
      </w:rPr>
      <w:tblPr/>
      <w:tcPr>
        <w:tcBorders>
          <w:top w:val="nil"/>
          <w:left w:val="nil"/>
          <w:bottom w:val="nil"/>
          <w:right w:val="nil"/>
          <w:insideH w:val="single" w:sz="4" w:space="0" w:color="252525" w:themeColor="accent4" w:themeShade="99"/>
          <w:insideV w:val="nil"/>
        </w:tcBorders>
        <w:shd w:val="clear" w:color="auto" w:fill="25252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52525" w:themeFill="accent4" w:themeFillShade="99"/>
      </w:tcPr>
    </w:tblStylePr>
    <w:tblStylePr w:type="band1Vert">
      <w:tblPr/>
      <w:tcPr>
        <w:shd w:val="clear" w:color="auto" w:fill="B2B2B2" w:themeFill="accent4" w:themeFillTint="66"/>
      </w:tcPr>
    </w:tblStylePr>
    <w:tblStylePr w:type="band1Horz">
      <w:tblPr/>
      <w:tcPr>
        <w:shd w:val="clear" w:color="auto" w:fill="9F9F9F"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914935"/>
    <w:rPr>
      <w:rFonts w:eastAsia="MS Mincho"/>
      <w:lang w:val="en-GB" w:eastAsia="en-GB"/>
    </w:rPr>
    <w:tblPr>
      <w:tblStyleRowBandSize w:val="1"/>
      <w:tblStyleColBandSize w:val="1"/>
      <w:tblBorders>
        <w:top w:val="single" w:sz="24" w:space="0" w:color="E6E6E6" w:themeColor="accent6"/>
        <w:left w:val="single" w:sz="4" w:space="0" w:color="C0C0C0" w:themeColor="accent5"/>
        <w:bottom w:val="single" w:sz="4" w:space="0" w:color="C0C0C0" w:themeColor="accent5"/>
        <w:right w:val="single" w:sz="4" w:space="0" w:color="C0C0C0" w:themeColor="accent5"/>
        <w:insideH w:val="single" w:sz="4" w:space="0" w:color="FFFFFF" w:themeColor="background1"/>
        <w:insideV w:val="single" w:sz="4" w:space="0" w:color="FFFFFF" w:themeColor="background1"/>
      </w:tblBorders>
    </w:tblPr>
    <w:tcPr>
      <w:shd w:val="clear" w:color="auto" w:fill="F8F8F8"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E6E6E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373" w:themeFill="accent5" w:themeFillShade="99"/>
      </w:tcPr>
    </w:tblStylePr>
    <w:tblStylePr w:type="firstCol">
      <w:rPr>
        <w:color w:val="FFFFFF" w:themeColor="background1"/>
      </w:rPr>
      <w:tblPr/>
      <w:tcPr>
        <w:tcBorders>
          <w:top w:val="nil"/>
          <w:left w:val="nil"/>
          <w:bottom w:val="nil"/>
          <w:right w:val="nil"/>
          <w:insideH w:val="single" w:sz="4" w:space="0" w:color="737373" w:themeColor="accent5" w:themeShade="99"/>
          <w:insideV w:val="nil"/>
        </w:tcBorders>
        <w:shd w:val="clear" w:color="auto" w:fill="73737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373" w:themeFill="accent5" w:themeFillShade="99"/>
      </w:tcPr>
    </w:tblStylePr>
    <w:tblStylePr w:type="band1Vert">
      <w:tblPr/>
      <w:tcPr>
        <w:shd w:val="clear" w:color="auto" w:fill="E5E5E5" w:themeFill="accent5" w:themeFillTint="66"/>
      </w:tcPr>
    </w:tblStylePr>
    <w:tblStylePr w:type="band1Horz">
      <w:tblPr/>
      <w:tcPr>
        <w:shd w:val="clear" w:color="auto" w:fill="DFDFD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914935"/>
    <w:rPr>
      <w:rFonts w:eastAsia="MS Mincho"/>
      <w:lang w:val="en-GB" w:eastAsia="en-GB"/>
    </w:rPr>
    <w:tblPr>
      <w:tblStyleRowBandSize w:val="1"/>
      <w:tblStyleColBandSize w:val="1"/>
      <w:tblBorders>
        <w:top w:val="single" w:sz="24" w:space="0" w:color="C0C0C0" w:themeColor="accent5"/>
        <w:left w:val="single" w:sz="4" w:space="0" w:color="E6E6E6" w:themeColor="accent6"/>
        <w:bottom w:val="single" w:sz="4" w:space="0" w:color="E6E6E6" w:themeColor="accent6"/>
        <w:right w:val="single" w:sz="4" w:space="0" w:color="E6E6E6" w:themeColor="accent6"/>
        <w:insideH w:val="single" w:sz="4" w:space="0" w:color="FFFFFF" w:themeColor="background1"/>
        <w:insideV w:val="single" w:sz="4" w:space="0" w:color="FFFFFF" w:themeColor="background1"/>
      </w:tblBorders>
    </w:tblPr>
    <w:tcPr>
      <w:shd w:val="clear" w:color="auto" w:fill="FCFCF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C0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8A8A" w:themeFill="accent6" w:themeFillShade="99"/>
      </w:tcPr>
    </w:tblStylePr>
    <w:tblStylePr w:type="firstCol">
      <w:rPr>
        <w:color w:val="FFFFFF" w:themeColor="background1"/>
      </w:rPr>
      <w:tblPr/>
      <w:tcPr>
        <w:tcBorders>
          <w:top w:val="nil"/>
          <w:left w:val="nil"/>
          <w:bottom w:val="nil"/>
          <w:right w:val="nil"/>
          <w:insideH w:val="single" w:sz="4" w:space="0" w:color="8A8A8A" w:themeColor="accent6" w:themeShade="99"/>
          <w:insideV w:val="nil"/>
        </w:tcBorders>
        <w:shd w:val="clear" w:color="auto" w:fill="8A8A8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A8A8A" w:themeFill="accent6" w:themeFillShade="99"/>
      </w:tcPr>
    </w:tblStylePr>
    <w:tblStylePr w:type="band1Vert">
      <w:tblPr/>
      <w:tcPr>
        <w:shd w:val="clear" w:color="auto" w:fill="F5F5F5" w:themeFill="accent6" w:themeFillTint="66"/>
      </w:tcPr>
    </w:tblStylePr>
    <w:tblStylePr w:type="band1Horz">
      <w:tblPr/>
      <w:tcPr>
        <w:shd w:val="clear" w:color="auto" w:fill="F2F2F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914935"/>
    <w:rPr>
      <w:sz w:val="16"/>
      <w:szCs w:val="16"/>
    </w:rPr>
  </w:style>
  <w:style w:type="paragraph" w:styleId="CommentText">
    <w:name w:val="annotation text"/>
    <w:basedOn w:val="Normal"/>
    <w:link w:val="CommentTextChar"/>
    <w:uiPriority w:val="99"/>
    <w:unhideWhenUsed/>
    <w:rsid w:val="00914935"/>
  </w:style>
  <w:style w:type="character" w:customStyle="1" w:styleId="CommentTextChar">
    <w:name w:val="Comment Text Char"/>
    <w:basedOn w:val="DefaultParagraphFont"/>
    <w:link w:val="CommentText"/>
    <w:uiPriority w:val="99"/>
    <w:rsid w:val="00914935"/>
    <w:rPr>
      <w:color w:val="404040" w:themeColor="text2"/>
      <w:sz w:val="20"/>
    </w:rPr>
  </w:style>
  <w:style w:type="paragraph" w:styleId="CommentSubject">
    <w:name w:val="annotation subject"/>
    <w:basedOn w:val="CommentText"/>
    <w:next w:val="CommentText"/>
    <w:link w:val="CommentSubjectChar"/>
    <w:uiPriority w:val="99"/>
    <w:semiHidden/>
    <w:unhideWhenUsed/>
    <w:rsid w:val="00914935"/>
    <w:rPr>
      <w:b/>
      <w:bCs/>
    </w:rPr>
  </w:style>
  <w:style w:type="character" w:customStyle="1" w:styleId="CommentSubjectChar">
    <w:name w:val="Comment Subject Char"/>
    <w:basedOn w:val="CommentTextChar"/>
    <w:link w:val="CommentSubject"/>
    <w:uiPriority w:val="99"/>
    <w:semiHidden/>
    <w:rsid w:val="00914935"/>
    <w:rPr>
      <w:b/>
      <w:bCs/>
      <w:color w:val="404040" w:themeColor="text2"/>
      <w:sz w:val="20"/>
    </w:rPr>
  </w:style>
  <w:style w:type="table" w:styleId="DarkList">
    <w:name w:val="Dark List"/>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65328F"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194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B256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B256A" w:themeFill="accent1" w:themeFillShade="BF"/>
      </w:tcPr>
    </w:tblStylePr>
    <w:tblStylePr w:type="band1Vert">
      <w:tblPr/>
      <w:tcPr>
        <w:tcBorders>
          <w:top w:val="nil"/>
          <w:left w:val="nil"/>
          <w:bottom w:val="nil"/>
          <w:right w:val="nil"/>
          <w:insideH w:val="nil"/>
          <w:insideV w:val="nil"/>
        </w:tcBorders>
        <w:shd w:val="clear" w:color="auto" w:fill="4B256A" w:themeFill="accent1" w:themeFillShade="BF"/>
      </w:tcPr>
    </w:tblStylePr>
    <w:tblStylePr w:type="band1Horz">
      <w:tblPr/>
      <w:tcPr>
        <w:tcBorders>
          <w:top w:val="nil"/>
          <w:left w:val="nil"/>
          <w:bottom w:val="nil"/>
          <w:right w:val="nil"/>
          <w:insideH w:val="nil"/>
          <w:insideV w:val="nil"/>
        </w:tcBorders>
        <w:shd w:val="clear" w:color="auto" w:fill="4B256A" w:themeFill="accent1" w:themeFillShade="BF"/>
      </w:tcPr>
    </w:tblStylePr>
  </w:style>
  <w:style w:type="table" w:styleId="DarkList-Accent2">
    <w:name w:val="Dark List Accent 2"/>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D83D0E"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1E0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12D0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12D0A" w:themeFill="accent2" w:themeFillShade="BF"/>
      </w:tcPr>
    </w:tblStylePr>
    <w:tblStylePr w:type="band1Vert">
      <w:tblPr/>
      <w:tcPr>
        <w:tcBorders>
          <w:top w:val="nil"/>
          <w:left w:val="nil"/>
          <w:bottom w:val="nil"/>
          <w:right w:val="nil"/>
          <w:insideH w:val="nil"/>
          <w:insideV w:val="nil"/>
        </w:tcBorders>
        <w:shd w:val="clear" w:color="auto" w:fill="A12D0A" w:themeFill="accent2" w:themeFillShade="BF"/>
      </w:tcPr>
    </w:tblStylePr>
    <w:tblStylePr w:type="band1Horz">
      <w:tblPr/>
      <w:tcPr>
        <w:tcBorders>
          <w:top w:val="nil"/>
          <w:left w:val="nil"/>
          <w:bottom w:val="nil"/>
          <w:right w:val="nil"/>
          <w:insideH w:val="nil"/>
          <w:insideV w:val="nil"/>
        </w:tcBorders>
        <w:shd w:val="clear" w:color="auto" w:fill="A12D0A" w:themeFill="accent2" w:themeFillShade="BF"/>
      </w:tcPr>
    </w:tblStylePr>
  </w:style>
  <w:style w:type="table" w:styleId="DarkList-Accent3">
    <w:name w:val="Dark List Accent 3"/>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7F7F7F"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3" w:themeFillShade="BF"/>
      </w:tcPr>
    </w:tblStylePr>
    <w:tblStylePr w:type="band1Vert">
      <w:tblPr/>
      <w:tcPr>
        <w:tcBorders>
          <w:top w:val="nil"/>
          <w:left w:val="nil"/>
          <w:bottom w:val="nil"/>
          <w:right w:val="nil"/>
          <w:insideH w:val="nil"/>
          <w:insideV w:val="nil"/>
        </w:tcBorders>
        <w:shd w:val="clear" w:color="auto" w:fill="5F5F5F" w:themeFill="accent3" w:themeFillShade="BF"/>
      </w:tcPr>
    </w:tblStylePr>
    <w:tblStylePr w:type="band1Horz">
      <w:tblPr/>
      <w:tcPr>
        <w:tcBorders>
          <w:top w:val="nil"/>
          <w:left w:val="nil"/>
          <w:bottom w:val="nil"/>
          <w:right w:val="nil"/>
          <w:insideH w:val="nil"/>
          <w:insideV w:val="nil"/>
        </w:tcBorders>
        <w:shd w:val="clear" w:color="auto" w:fill="5F5F5F" w:themeFill="accent3" w:themeFillShade="BF"/>
      </w:tcPr>
    </w:tblStylePr>
  </w:style>
  <w:style w:type="table" w:styleId="DarkList-Accent4">
    <w:name w:val="Dark List Accent 4"/>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3F3F3F"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1F1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F2F2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F2F2F" w:themeFill="accent4" w:themeFillShade="BF"/>
      </w:tcPr>
    </w:tblStylePr>
    <w:tblStylePr w:type="band1Vert">
      <w:tblPr/>
      <w:tcPr>
        <w:tcBorders>
          <w:top w:val="nil"/>
          <w:left w:val="nil"/>
          <w:bottom w:val="nil"/>
          <w:right w:val="nil"/>
          <w:insideH w:val="nil"/>
          <w:insideV w:val="nil"/>
        </w:tcBorders>
        <w:shd w:val="clear" w:color="auto" w:fill="2F2F2F" w:themeFill="accent4" w:themeFillShade="BF"/>
      </w:tcPr>
    </w:tblStylePr>
    <w:tblStylePr w:type="band1Horz">
      <w:tblPr/>
      <w:tcPr>
        <w:tcBorders>
          <w:top w:val="nil"/>
          <w:left w:val="nil"/>
          <w:bottom w:val="nil"/>
          <w:right w:val="nil"/>
          <w:insideH w:val="nil"/>
          <w:insideV w:val="nil"/>
        </w:tcBorders>
        <w:shd w:val="clear" w:color="auto" w:fill="2F2F2F" w:themeFill="accent4" w:themeFillShade="BF"/>
      </w:tcPr>
    </w:tblStylePr>
  </w:style>
  <w:style w:type="table" w:styleId="DarkList-Accent5">
    <w:name w:val="Dark List Accent 5"/>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C0C0C0"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5" w:themeFillShade="BF"/>
      </w:tcPr>
    </w:tblStylePr>
    <w:tblStylePr w:type="band1Vert">
      <w:tblPr/>
      <w:tcPr>
        <w:tcBorders>
          <w:top w:val="nil"/>
          <w:left w:val="nil"/>
          <w:bottom w:val="nil"/>
          <w:right w:val="nil"/>
          <w:insideH w:val="nil"/>
          <w:insideV w:val="nil"/>
        </w:tcBorders>
        <w:shd w:val="clear" w:color="auto" w:fill="8F8F8F" w:themeFill="accent5" w:themeFillShade="BF"/>
      </w:tcPr>
    </w:tblStylePr>
    <w:tblStylePr w:type="band1Horz">
      <w:tblPr/>
      <w:tcPr>
        <w:tcBorders>
          <w:top w:val="nil"/>
          <w:left w:val="nil"/>
          <w:bottom w:val="nil"/>
          <w:right w:val="nil"/>
          <w:insideH w:val="nil"/>
          <w:insideV w:val="nil"/>
        </w:tcBorders>
        <w:shd w:val="clear" w:color="auto" w:fill="8F8F8F" w:themeFill="accent5" w:themeFillShade="BF"/>
      </w:tcPr>
    </w:tblStylePr>
  </w:style>
  <w:style w:type="table" w:styleId="DarkList-Accent6">
    <w:name w:val="Dark List Accent 6"/>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E6E6E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727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CACA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CACAC" w:themeFill="accent6" w:themeFillShade="BF"/>
      </w:tcPr>
    </w:tblStylePr>
    <w:tblStylePr w:type="band1Vert">
      <w:tblPr/>
      <w:tcPr>
        <w:tcBorders>
          <w:top w:val="nil"/>
          <w:left w:val="nil"/>
          <w:bottom w:val="nil"/>
          <w:right w:val="nil"/>
          <w:insideH w:val="nil"/>
          <w:insideV w:val="nil"/>
        </w:tcBorders>
        <w:shd w:val="clear" w:color="auto" w:fill="ACACAC" w:themeFill="accent6" w:themeFillShade="BF"/>
      </w:tcPr>
    </w:tblStylePr>
    <w:tblStylePr w:type="band1Horz">
      <w:tblPr/>
      <w:tcPr>
        <w:tcBorders>
          <w:top w:val="nil"/>
          <w:left w:val="nil"/>
          <w:bottom w:val="nil"/>
          <w:right w:val="nil"/>
          <w:insideH w:val="nil"/>
          <w:insideV w:val="nil"/>
        </w:tcBorders>
        <w:shd w:val="clear" w:color="auto" w:fill="ACACAC" w:themeFill="accent6" w:themeFillShade="BF"/>
      </w:tcPr>
    </w:tblStylePr>
  </w:style>
  <w:style w:type="paragraph" w:styleId="DocumentMap">
    <w:name w:val="Document Map"/>
    <w:basedOn w:val="Normal"/>
    <w:link w:val="DocumentMapChar"/>
    <w:uiPriority w:val="99"/>
    <w:semiHidden/>
    <w:unhideWhenUsed/>
    <w:rsid w:val="0091493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14935"/>
    <w:rPr>
      <w:rFonts w:ascii="Segoe UI" w:hAnsi="Segoe UI" w:cs="Segoe UI"/>
      <w:color w:val="404040" w:themeColor="text2"/>
      <w:sz w:val="16"/>
      <w:szCs w:val="16"/>
    </w:rPr>
  </w:style>
  <w:style w:type="paragraph" w:styleId="EmailSignature">
    <w:name w:val="E-mail Signature"/>
    <w:basedOn w:val="Normal"/>
    <w:link w:val="EmailSignatureChar"/>
    <w:uiPriority w:val="99"/>
    <w:semiHidden/>
    <w:unhideWhenUsed/>
    <w:rsid w:val="00914935"/>
  </w:style>
  <w:style w:type="character" w:customStyle="1" w:styleId="EmailSignatureChar">
    <w:name w:val="Email Signature Char"/>
    <w:basedOn w:val="DefaultParagraphFont"/>
    <w:link w:val="EmailSignature"/>
    <w:uiPriority w:val="99"/>
    <w:semiHidden/>
    <w:rsid w:val="00914935"/>
    <w:rPr>
      <w:color w:val="404040" w:themeColor="text2"/>
      <w:sz w:val="20"/>
    </w:rPr>
  </w:style>
  <w:style w:type="character" w:styleId="Emphasis">
    <w:name w:val="Emphasis"/>
    <w:basedOn w:val="DefaultParagraphFont"/>
    <w:uiPriority w:val="20"/>
    <w:qFormat/>
    <w:rsid w:val="00914935"/>
    <w:rPr>
      <w:i/>
      <w:iCs/>
    </w:rPr>
  </w:style>
  <w:style w:type="character" w:styleId="EndnoteReference">
    <w:name w:val="endnote reference"/>
    <w:basedOn w:val="DefaultParagraphFont"/>
    <w:uiPriority w:val="99"/>
    <w:semiHidden/>
    <w:unhideWhenUsed/>
    <w:rsid w:val="00914935"/>
    <w:rPr>
      <w:vertAlign w:val="superscript"/>
    </w:rPr>
  </w:style>
  <w:style w:type="paragraph" w:styleId="EndnoteText">
    <w:name w:val="endnote text"/>
    <w:basedOn w:val="Normal"/>
    <w:link w:val="EndnoteTextChar"/>
    <w:uiPriority w:val="99"/>
    <w:semiHidden/>
    <w:unhideWhenUsed/>
    <w:rsid w:val="00914935"/>
  </w:style>
  <w:style w:type="character" w:customStyle="1" w:styleId="EndnoteTextChar">
    <w:name w:val="Endnote Text Char"/>
    <w:basedOn w:val="DefaultParagraphFont"/>
    <w:link w:val="EndnoteText"/>
    <w:uiPriority w:val="99"/>
    <w:semiHidden/>
    <w:rsid w:val="00914935"/>
    <w:rPr>
      <w:color w:val="404040" w:themeColor="text2"/>
      <w:sz w:val="20"/>
    </w:rPr>
  </w:style>
  <w:style w:type="paragraph" w:styleId="EnvelopeAddress">
    <w:name w:val="envelope address"/>
    <w:basedOn w:val="Normal"/>
    <w:uiPriority w:val="99"/>
    <w:semiHidden/>
    <w:unhideWhenUsed/>
    <w:rsid w:val="00914935"/>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914935"/>
    <w:rPr>
      <w:rFonts w:asciiTheme="majorHAnsi" w:eastAsiaTheme="majorEastAsia" w:hAnsiTheme="majorHAnsi" w:cstheme="majorBidi"/>
    </w:rPr>
  </w:style>
  <w:style w:type="character" w:styleId="FollowedHyperlink">
    <w:name w:val="FollowedHyperlink"/>
    <w:basedOn w:val="DefaultParagraphFont"/>
    <w:uiPriority w:val="60"/>
    <w:rsid w:val="00914935"/>
    <w:rPr>
      <w:rFonts w:asciiTheme="minorHAnsi" w:hAnsiTheme="minorHAnsi"/>
      <w:b/>
      <w:i w:val="0"/>
      <w:color w:val="404040" w:themeColor="text2"/>
      <w:sz w:val="22"/>
      <w:u w:val="single"/>
    </w:rPr>
  </w:style>
  <w:style w:type="paragraph" w:styleId="Footer">
    <w:name w:val="footer"/>
    <w:basedOn w:val="Normal"/>
    <w:link w:val="FooterChar"/>
    <w:autoRedefine/>
    <w:uiPriority w:val="37"/>
    <w:qFormat/>
    <w:rsid w:val="00086909"/>
    <w:pPr>
      <w:spacing w:before="0" w:after="0" w:line="240" w:lineRule="atLeast"/>
    </w:pPr>
    <w:rPr>
      <w:color w:val="65328F" w:themeColor="accent1"/>
      <w:sz w:val="18"/>
    </w:rPr>
  </w:style>
  <w:style w:type="character" w:customStyle="1" w:styleId="FooterChar">
    <w:name w:val="Footer Char"/>
    <w:basedOn w:val="DefaultParagraphFont"/>
    <w:link w:val="Footer"/>
    <w:uiPriority w:val="37"/>
    <w:rsid w:val="00086909"/>
    <w:rPr>
      <w:rFonts w:ascii="Montserrat" w:hAnsi="Montserrat"/>
      <w:color w:val="65328F" w:themeColor="accent1"/>
      <w:sz w:val="18"/>
    </w:rPr>
  </w:style>
  <w:style w:type="paragraph" w:styleId="Header">
    <w:name w:val="header"/>
    <w:next w:val="Normal"/>
    <w:link w:val="HeaderChar"/>
    <w:uiPriority w:val="9"/>
    <w:rsid w:val="00914935"/>
    <w:pPr>
      <w:spacing w:line="240" w:lineRule="atLeast"/>
    </w:pPr>
    <w:rPr>
      <w:rFonts w:cs="Source Sans Pro Light"/>
      <w:sz w:val="20"/>
    </w:rPr>
  </w:style>
  <w:style w:type="character" w:customStyle="1" w:styleId="HeaderChar">
    <w:name w:val="Header Char"/>
    <w:basedOn w:val="DefaultParagraphFont"/>
    <w:link w:val="Header"/>
    <w:uiPriority w:val="9"/>
    <w:rsid w:val="00914935"/>
    <w:rPr>
      <w:rFonts w:cs="Source Sans Pro Light"/>
      <w:sz w:val="20"/>
    </w:rPr>
  </w:style>
  <w:style w:type="character" w:styleId="HTMLAcronym">
    <w:name w:val="HTML Acronym"/>
    <w:basedOn w:val="DefaultParagraphFont"/>
    <w:uiPriority w:val="99"/>
    <w:semiHidden/>
    <w:unhideWhenUsed/>
    <w:rsid w:val="00914935"/>
  </w:style>
  <w:style w:type="paragraph" w:styleId="HTMLAddress">
    <w:name w:val="HTML Address"/>
    <w:basedOn w:val="Normal"/>
    <w:link w:val="HTMLAddressChar"/>
    <w:uiPriority w:val="99"/>
    <w:semiHidden/>
    <w:unhideWhenUsed/>
    <w:rsid w:val="00914935"/>
    <w:rPr>
      <w:i/>
      <w:iCs/>
    </w:rPr>
  </w:style>
  <w:style w:type="character" w:customStyle="1" w:styleId="HTMLAddressChar">
    <w:name w:val="HTML Address Char"/>
    <w:basedOn w:val="DefaultParagraphFont"/>
    <w:link w:val="HTMLAddress"/>
    <w:uiPriority w:val="99"/>
    <w:semiHidden/>
    <w:rsid w:val="00914935"/>
    <w:rPr>
      <w:i/>
      <w:iCs/>
      <w:color w:val="404040" w:themeColor="text2"/>
      <w:sz w:val="20"/>
    </w:rPr>
  </w:style>
  <w:style w:type="character" w:styleId="HTMLCite">
    <w:name w:val="HTML Cite"/>
    <w:basedOn w:val="DefaultParagraphFont"/>
    <w:uiPriority w:val="99"/>
    <w:semiHidden/>
    <w:unhideWhenUsed/>
    <w:rsid w:val="00914935"/>
    <w:rPr>
      <w:i/>
      <w:iCs/>
    </w:rPr>
  </w:style>
  <w:style w:type="character" w:styleId="HTMLCode">
    <w:name w:val="HTML Code"/>
    <w:basedOn w:val="DefaultParagraphFont"/>
    <w:uiPriority w:val="99"/>
    <w:semiHidden/>
    <w:unhideWhenUsed/>
    <w:rsid w:val="00914935"/>
    <w:rPr>
      <w:rFonts w:ascii="Consolas" w:hAnsi="Consolas" w:cs="Consolas"/>
      <w:sz w:val="20"/>
      <w:szCs w:val="20"/>
    </w:rPr>
  </w:style>
  <w:style w:type="character" w:styleId="HTMLDefinition">
    <w:name w:val="HTML Definition"/>
    <w:basedOn w:val="DefaultParagraphFont"/>
    <w:uiPriority w:val="99"/>
    <w:semiHidden/>
    <w:unhideWhenUsed/>
    <w:rsid w:val="00914935"/>
    <w:rPr>
      <w:i/>
      <w:iCs/>
    </w:rPr>
  </w:style>
  <w:style w:type="character" w:styleId="HTMLKeyboard">
    <w:name w:val="HTML Keyboard"/>
    <w:basedOn w:val="DefaultParagraphFont"/>
    <w:uiPriority w:val="99"/>
    <w:semiHidden/>
    <w:unhideWhenUsed/>
    <w:rsid w:val="00914935"/>
    <w:rPr>
      <w:rFonts w:ascii="Consolas" w:hAnsi="Consolas" w:cs="Consolas"/>
      <w:sz w:val="20"/>
      <w:szCs w:val="20"/>
    </w:rPr>
  </w:style>
  <w:style w:type="paragraph" w:styleId="HTMLPreformatted">
    <w:name w:val="HTML Preformatted"/>
    <w:basedOn w:val="Normal"/>
    <w:link w:val="HTMLPreformattedChar"/>
    <w:uiPriority w:val="99"/>
    <w:semiHidden/>
    <w:unhideWhenUsed/>
    <w:rsid w:val="00914935"/>
    <w:rPr>
      <w:rFonts w:ascii="Consolas" w:hAnsi="Consolas" w:cs="Consolas"/>
    </w:rPr>
  </w:style>
  <w:style w:type="character" w:customStyle="1" w:styleId="HTMLPreformattedChar">
    <w:name w:val="HTML Preformatted Char"/>
    <w:basedOn w:val="DefaultParagraphFont"/>
    <w:link w:val="HTMLPreformatted"/>
    <w:uiPriority w:val="99"/>
    <w:semiHidden/>
    <w:rsid w:val="00914935"/>
    <w:rPr>
      <w:rFonts w:ascii="Consolas" w:hAnsi="Consolas" w:cs="Consolas"/>
      <w:color w:val="404040" w:themeColor="text2"/>
      <w:sz w:val="20"/>
    </w:rPr>
  </w:style>
  <w:style w:type="character" w:styleId="HTMLSample">
    <w:name w:val="HTML Sample"/>
    <w:basedOn w:val="DefaultParagraphFont"/>
    <w:uiPriority w:val="99"/>
    <w:semiHidden/>
    <w:unhideWhenUsed/>
    <w:rsid w:val="00914935"/>
    <w:rPr>
      <w:rFonts w:ascii="Consolas" w:hAnsi="Consolas" w:cs="Consolas"/>
      <w:sz w:val="24"/>
      <w:szCs w:val="24"/>
    </w:rPr>
  </w:style>
  <w:style w:type="character" w:styleId="HTMLTypewriter">
    <w:name w:val="HTML Typewriter"/>
    <w:basedOn w:val="DefaultParagraphFont"/>
    <w:uiPriority w:val="99"/>
    <w:semiHidden/>
    <w:unhideWhenUsed/>
    <w:rsid w:val="00914935"/>
    <w:rPr>
      <w:rFonts w:ascii="Consolas" w:hAnsi="Consolas" w:cs="Consolas"/>
      <w:sz w:val="20"/>
      <w:szCs w:val="20"/>
    </w:rPr>
  </w:style>
  <w:style w:type="character" w:styleId="HTMLVariable">
    <w:name w:val="HTML Variable"/>
    <w:basedOn w:val="DefaultParagraphFont"/>
    <w:uiPriority w:val="99"/>
    <w:semiHidden/>
    <w:unhideWhenUsed/>
    <w:rsid w:val="00914935"/>
    <w:rPr>
      <w:i/>
      <w:iCs/>
    </w:rPr>
  </w:style>
  <w:style w:type="character" w:styleId="Hyperlink">
    <w:name w:val="Hyperlink"/>
    <w:basedOn w:val="DefaultParagraphFont"/>
    <w:uiPriority w:val="99"/>
    <w:rsid w:val="00927FA1"/>
    <w:rPr>
      <w:rFonts w:asciiTheme="minorHAnsi" w:hAnsiTheme="minorHAnsi"/>
      <w:color w:val="65328F" w:themeColor="accent1"/>
      <w:sz w:val="20"/>
      <w:u w:val="none"/>
    </w:rPr>
  </w:style>
  <w:style w:type="paragraph" w:styleId="Index1">
    <w:name w:val="index 1"/>
    <w:basedOn w:val="Normal"/>
    <w:next w:val="Normal"/>
    <w:autoRedefine/>
    <w:uiPriority w:val="99"/>
    <w:semiHidden/>
    <w:unhideWhenUsed/>
    <w:rsid w:val="00914935"/>
    <w:pPr>
      <w:ind w:left="240" w:hanging="240"/>
    </w:pPr>
  </w:style>
  <w:style w:type="paragraph" w:styleId="Index2">
    <w:name w:val="index 2"/>
    <w:basedOn w:val="Normal"/>
    <w:next w:val="Normal"/>
    <w:autoRedefine/>
    <w:uiPriority w:val="99"/>
    <w:semiHidden/>
    <w:unhideWhenUsed/>
    <w:rsid w:val="00914935"/>
    <w:pPr>
      <w:ind w:left="480" w:hanging="240"/>
    </w:pPr>
  </w:style>
  <w:style w:type="paragraph" w:styleId="Index3">
    <w:name w:val="index 3"/>
    <w:basedOn w:val="Normal"/>
    <w:next w:val="Normal"/>
    <w:autoRedefine/>
    <w:uiPriority w:val="99"/>
    <w:semiHidden/>
    <w:unhideWhenUsed/>
    <w:rsid w:val="00914935"/>
    <w:pPr>
      <w:ind w:left="720" w:hanging="240"/>
    </w:pPr>
  </w:style>
  <w:style w:type="paragraph" w:styleId="Index4">
    <w:name w:val="index 4"/>
    <w:basedOn w:val="Normal"/>
    <w:next w:val="Normal"/>
    <w:autoRedefine/>
    <w:uiPriority w:val="99"/>
    <w:semiHidden/>
    <w:unhideWhenUsed/>
    <w:rsid w:val="00914935"/>
    <w:pPr>
      <w:ind w:left="960" w:hanging="240"/>
    </w:pPr>
  </w:style>
  <w:style w:type="paragraph" w:styleId="Index5">
    <w:name w:val="index 5"/>
    <w:basedOn w:val="Normal"/>
    <w:next w:val="Normal"/>
    <w:autoRedefine/>
    <w:uiPriority w:val="99"/>
    <w:semiHidden/>
    <w:unhideWhenUsed/>
    <w:rsid w:val="00914935"/>
    <w:pPr>
      <w:ind w:left="1200" w:hanging="240"/>
    </w:pPr>
  </w:style>
  <w:style w:type="paragraph" w:styleId="Index6">
    <w:name w:val="index 6"/>
    <w:basedOn w:val="Normal"/>
    <w:next w:val="Normal"/>
    <w:autoRedefine/>
    <w:uiPriority w:val="99"/>
    <w:semiHidden/>
    <w:unhideWhenUsed/>
    <w:rsid w:val="00914935"/>
    <w:pPr>
      <w:ind w:left="1440" w:hanging="240"/>
    </w:pPr>
  </w:style>
  <w:style w:type="paragraph" w:styleId="Index7">
    <w:name w:val="index 7"/>
    <w:basedOn w:val="Normal"/>
    <w:next w:val="Normal"/>
    <w:autoRedefine/>
    <w:uiPriority w:val="99"/>
    <w:semiHidden/>
    <w:unhideWhenUsed/>
    <w:rsid w:val="00914935"/>
    <w:pPr>
      <w:ind w:left="1680" w:hanging="240"/>
    </w:pPr>
  </w:style>
  <w:style w:type="paragraph" w:styleId="Index8">
    <w:name w:val="index 8"/>
    <w:basedOn w:val="Normal"/>
    <w:next w:val="Normal"/>
    <w:autoRedefine/>
    <w:uiPriority w:val="99"/>
    <w:semiHidden/>
    <w:unhideWhenUsed/>
    <w:rsid w:val="00914935"/>
    <w:pPr>
      <w:ind w:left="1920" w:hanging="240"/>
    </w:pPr>
  </w:style>
  <w:style w:type="paragraph" w:styleId="Index9">
    <w:name w:val="index 9"/>
    <w:basedOn w:val="Normal"/>
    <w:next w:val="Normal"/>
    <w:autoRedefine/>
    <w:uiPriority w:val="99"/>
    <w:semiHidden/>
    <w:unhideWhenUsed/>
    <w:rsid w:val="00914935"/>
    <w:pPr>
      <w:ind w:left="2160" w:hanging="240"/>
    </w:pPr>
  </w:style>
  <w:style w:type="paragraph" w:styleId="IndexHeading">
    <w:name w:val="index heading"/>
    <w:basedOn w:val="Normal"/>
    <w:next w:val="Index1"/>
    <w:uiPriority w:val="99"/>
    <w:semiHidden/>
    <w:unhideWhenUsed/>
    <w:rsid w:val="00914935"/>
    <w:rPr>
      <w:rFonts w:asciiTheme="majorHAnsi" w:eastAsiaTheme="majorEastAsia" w:hAnsiTheme="majorHAnsi" w:cstheme="majorBidi"/>
      <w:b/>
      <w:bCs/>
    </w:rPr>
  </w:style>
  <w:style w:type="character" w:styleId="IntenseEmphasis">
    <w:name w:val="Intense Emphasis"/>
    <w:basedOn w:val="DefaultParagraphFont"/>
    <w:uiPriority w:val="21"/>
    <w:semiHidden/>
    <w:rsid w:val="00914935"/>
    <w:rPr>
      <w:b/>
      <w:bCs/>
      <w:i/>
      <w:iCs/>
      <w:color w:val="65328F" w:themeColor="accent1"/>
    </w:rPr>
  </w:style>
  <w:style w:type="paragraph" w:styleId="IntenseQuote">
    <w:name w:val="Intense Quote"/>
    <w:basedOn w:val="Normal"/>
    <w:next w:val="Normal"/>
    <w:link w:val="IntenseQuoteChar"/>
    <w:uiPriority w:val="30"/>
    <w:semiHidden/>
    <w:rsid w:val="00914935"/>
    <w:pPr>
      <w:pBdr>
        <w:bottom w:val="single" w:sz="4" w:space="4" w:color="65328F" w:themeColor="accent1"/>
      </w:pBdr>
      <w:spacing w:before="200" w:after="280"/>
      <w:ind w:left="936" w:right="936"/>
    </w:pPr>
    <w:rPr>
      <w:b/>
      <w:bCs/>
      <w:i/>
      <w:iCs/>
      <w:color w:val="65328F" w:themeColor="accent1"/>
    </w:rPr>
  </w:style>
  <w:style w:type="character" w:customStyle="1" w:styleId="IntenseQuoteChar">
    <w:name w:val="Intense Quote Char"/>
    <w:basedOn w:val="DefaultParagraphFont"/>
    <w:link w:val="IntenseQuote"/>
    <w:uiPriority w:val="30"/>
    <w:semiHidden/>
    <w:rsid w:val="00914935"/>
    <w:rPr>
      <w:b/>
      <w:bCs/>
      <w:i/>
      <w:iCs/>
      <w:color w:val="65328F" w:themeColor="accent1"/>
      <w:sz w:val="20"/>
    </w:rPr>
  </w:style>
  <w:style w:type="character" w:styleId="IntenseReference">
    <w:name w:val="Intense Reference"/>
    <w:basedOn w:val="DefaultParagraphFont"/>
    <w:uiPriority w:val="32"/>
    <w:semiHidden/>
    <w:rsid w:val="00914935"/>
    <w:rPr>
      <w:b/>
      <w:bCs/>
      <w:smallCaps/>
      <w:color w:val="D83D0E" w:themeColor="accent2"/>
      <w:spacing w:val="5"/>
      <w:u w:val="single"/>
    </w:rPr>
  </w:style>
  <w:style w:type="table" w:styleId="LightGrid">
    <w:name w:val="Light Grid"/>
    <w:basedOn w:val="TableNormal"/>
    <w:uiPriority w:val="62"/>
    <w:semiHidden/>
    <w:unhideWhenUsed/>
    <w:rsid w:val="00914935"/>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14935"/>
    <w:rPr>
      <w:rFonts w:eastAsia="MS Mincho"/>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insideH w:val="single" w:sz="8" w:space="0" w:color="65328F" w:themeColor="accent1"/>
        <w:insideV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65328F" w:themeColor="accent1"/>
          <w:left w:val="single" w:sz="8" w:space="0" w:color="65328F" w:themeColor="accent1"/>
          <w:bottom w:val="single" w:sz="18" w:space="0" w:color="65328F" w:themeColor="accent1"/>
          <w:right w:val="single" w:sz="8" w:space="0" w:color="65328F" w:themeColor="accent1"/>
          <w:insideH w:val="nil"/>
          <w:insideV w:val="single" w:sz="8" w:space="0" w:color="65328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5328F" w:themeColor="accent1"/>
          <w:left w:val="single" w:sz="8" w:space="0" w:color="65328F" w:themeColor="accent1"/>
          <w:bottom w:val="single" w:sz="8" w:space="0" w:color="65328F" w:themeColor="accent1"/>
          <w:right w:val="single" w:sz="8" w:space="0" w:color="65328F" w:themeColor="accent1"/>
          <w:insideH w:val="nil"/>
          <w:insideV w:val="single" w:sz="8" w:space="0" w:color="65328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tblStylePr w:type="band1Vert">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shd w:val="clear" w:color="auto" w:fill="D9C4EA" w:themeFill="accent1" w:themeFillTint="3F"/>
      </w:tcPr>
    </w:tblStylePr>
    <w:tblStylePr w:type="band1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insideV w:val="single" w:sz="8" w:space="0" w:color="65328F" w:themeColor="accent1"/>
        </w:tcBorders>
        <w:shd w:val="clear" w:color="auto" w:fill="D9C4EA" w:themeFill="accent1" w:themeFillTint="3F"/>
      </w:tcPr>
    </w:tblStylePr>
    <w:tblStylePr w:type="band2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insideV w:val="single" w:sz="8" w:space="0" w:color="65328F" w:themeColor="accent1"/>
        </w:tcBorders>
      </w:tcPr>
    </w:tblStylePr>
  </w:style>
  <w:style w:type="table" w:styleId="LightGrid-Accent2">
    <w:name w:val="Light Grid Accent 2"/>
    <w:basedOn w:val="TableNormal"/>
    <w:uiPriority w:val="62"/>
    <w:semiHidden/>
    <w:unhideWhenUsed/>
    <w:rsid w:val="00914935"/>
    <w:rPr>
      <w:rFonts w:eastAsia="MS Mincho"/>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insideH w:val="single" w:sz="8" w:space="0" w:color="D83D0E" w:themeColor="accent2"/>
        <w:insideV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D83D0E" w:themeColor="accent2"/>
          <w:left w:val="single" w:sz="8" w:space="0" w:color="D83D0E" w:themeColor="accent2"/>
          <w:bottom w:val="single" w:sz="18" w:space="0" w:color="D83D0E" w:themeColor="accent2"/>
          <w:right w:val="single" w:sz="8" w:space="0" w:color="D83D0E" w:themeColor="accent2"/>
          <w:insideH w:val="nil"/>
          <w:insideV w:val="single" w:sz="8" w:space="0" w:color="D83D0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3D0E" w:themeColor="accent2"/>
          <w:left w:val="single" w:sz="8" w:space="0" w:color="D83D0E" w:themeColor="accent2"/>
          <w:bottom w:val="single" w:sz="8" w:space="0" w:color="D83D0E" w:themeColor="accent2"/>
          <w:right w:val="single" w:sz="8" w:space="0" w:color="D83D0E" w:themeColor="accent2"/>
          <w:insideH w:val="nil"/>
          <w:insideV w:val="single" w:sz="8" w:space="0" w:color="D83D0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tblStylePr w:type="band1Vert">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shd w:val="clear" w:color="auto" w:fill="FACBBD" w:themeFill="accent2" w:themeFillTint="3F"/>
      </w:tcPr>
    </w:tblStylePr>
    <w:tblStylePr w:type="band1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insideV w:val="single" w:sz="8" w:space="0" w:color="D83D0E" w:themeColor="accent2"/>
        </w:tcBorders>
        <w:shd w:val="clear" w:color="auto" w:fill="FACBBD" w:themeFill="accent2" w:themeFillTint="3F"/>
      </w:tcPr>
    </w:tblStylePr>
    <w:tblStylePr w:type="band2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insideV w:val="single" w:sz="8" w:space="0" w:color="D83D0E" w:themeColor="accent2"/>
        </w:tcBorders>
      </w:tcPr>
    </w:tblStylePr>
  </w:style>
  <w:style w:type="table" w:styleId="LightGrid-Accent3">
    <w:name w:val="Light Grid Accent 3"/>
    <w:basedOn w:val="TableNormal"/>
    <w:uiPriority w:val="62"/>
    <w:semiHidden/>
    <w:unhideWhenUsed/>
    <w:rsid w:val="00914935"/>
    <w:rPr>
      <w:rFonts w:eastAsia="MS Mincho"/>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insideH w:val="single" w:sz="8" w:space="0" w:color="7F7F7F" w:themeColor="accent3"/>
        <w:insideV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7F7F7F" w:themeColor="accent3"/>
          <w:left w:val="single" w:sz="8" w:space="0" w:color="7F7F7F" w:themeColor="accent3"/>
          <w:bottom w:val="single" w:sz="18" w:space="0" w:color="7F7F7F" w:themeColor="accent3"/>
          <w:right w:val="single" w:sz="8" w:space="0" w:color="7F7F7F" w:themeColor="accent3"/>
          <w:insideH w:val="nil"/>
          <w:insideV w:val="single" w:sz="8" w:space="0" w:color="7F7F7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7F7F" w:themeColor="accent3"/>
          <w:left w:val="single" w:sz="8" w:space="0" w:color="7F7F7F" w:themeColor="accent3"/>
          <w:bottom w:val="single" w:sz="8" w:space="0" w:color="7F7F7F" w:themeColor="accent3"/>
          <w:right w:val="single" w:sz="8" w:space="0" w:color="7F7F7F" w:themeColor="accent3"/>
          <w:insideH w:val="nil"/>
          <w:insideV w:val="single" w:sz="8" w:space="0" w:color="7F7F7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tblStylePr w:type="band1Vert">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shd w:val="clear" w:color="auto" w:fill="DFDFDF" w:themeFill="accent3" w:themeFillTint="3F"/>
      </w:tcPr>
    </w:tblStylePr>
    <w:tblStylePr w:type="band1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insideV w:val="single" w:sz="8" w:space="0" w:color="7F7F7F" w:themeColor="accent3"/>
        </w:tcBorders>
        <w:shd w:val="clear" w:color="auto" w:fill="DFDFDF" w:themeFill="accent3" w:themeFillTint="3F"/>
      </w:tcPr>
    </w:tblStylePr>
    <w:tblStylePr w:type="band2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insideV w:val="single" w:sz="8" w:space="0" w:color="7F7F7F" w:themeColor="accent3"/>
        </w:tcBorders>
      </w:tcPr>
    </w:tblStylePr>
  </w:style>
  <w:style w:type="table" w:styleId="LightGrid-Accent4">
    <w:name w:val="Light Grid Accent 4"/>
    <w:basedOn w:val="TableNormal"/>
    <w:uiPriority w:val="62"/>
    <w:semiHidden/>
    <w:unhideWhenUsed/>
    <w:rsid w:val="00914935"/>
    <w:rPr>
      <w:rFonts w:eastAsia="MS Mincho"/>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insideH w:val="single" w:sz="8" w:space="0" w:color="3F3F3F" w:themeColor="accent4"/>
        <w:insideV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3F3F3F" w:themeColor="accent4"/>
          <w:left w:val="single" w:sz="8" w:space="0" w:color="3F3F3F" w:themeColor="accent4"/>
          <w:bottom w:val="single" w:sz="18" w:space="0" w:color="3F3F3F" w:themeColor="accent4"/>
          <w:right w:val="single" w:sz="8" w:space="0" w:color="3F3F3F" w:themeColor="accent4"/>
          <w:insideH w:val="nil"/>
          <w:insideV w:val="single" w:sz="8" w:space="0" w:color="3F3F3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F3F3F" w:themeColor="accent4"/>
          <w:left w:val="single" w:sz="8" w:space="0" w:color="3F3F3F" w:themeColor="accent4"/>
          <w:bottom w:val="single" w:sz="8" w:space="0" w:color="3F3F3F" w:themeColor="accent4"/>
          <w:right w:val="single" w:sz="8" w:space="0" w:color="3F3F3F" w:themeColor="accent4"/>
          <w:insideH w:val="nil"/>
          <w:insideV w:val="single" w:sz="8" w:space="0" w:color="3F3F3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tblStylePr w:type="band1Vert">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shd w:val="clear" w:color="auto" w:fill="CFCFCF" w:themeFill="accent4" w:themeFillTint="3F"/>
      </w:tcPr>
    </w:tblStylePr>
    <w:tblStylePr w:type="band1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insideV w:val="single" w:sz="8" w:space="0" w:color="3F3F3F" w:themeColor="accent4"/>
        </w:tcBorders>
        <w:shd w:val="clear" w:color="auto" w:fill="CFCFCF" w:themeFill="accent4" w:themeFillTint="3F"/>
      </w:tcPr>
    </w:tblStylePr>
    <w:tblStylePr w:type="band2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insideV w:val="single" w:sz="8" w:space="0" w:color="3F3F3F" w:themeColor="accent4"/>
        </w:tcBorders>
      </w:tcPr>
    </w:tblStylePr>
  </w:style>
  <w:style w:type="table" w:styleId="LightGrid-Accent5">
    <w:name w:val="Light Grid Accent 5"/>
    <w:basedOn w:val="TableNormal"/>
    <w:uiPriority w:val="62"/>
    <w:semiHidden/>
    <w:unhideWhenUsed/>
    <w:rsid w:val="00914935"/>
    <w:rPr>
      <w:rFonts w:eastAsia="MS Mincho"/>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insideH w:val="single" w:sz="8" w:space="0" w:color="C0C0C0" w:themeColor="accent5"/>
        <w:insideV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C0C0" w:themeColor="accent5"/>
          <w:left w:val="single" w:sz="8" w:space="0" w:color="C0C0C0" w:themeColor="accent5"/>
          <w:bottom w:val="single" w:sz="18" w:space="0" w:color="C0C0C0" w:themeColor="accent5"/>
          <w:right w:val="single" w:sz="8" w:space="0" w:color="C0C0C0" w:themeColor="accent5"/>
          <w:insideH w:val="nil"/>
          <w:insideV w:val="single" w:sz="8" w:space="0" w:color="C0C0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C0C0" w:themeColor="accent5"/>
          <w:left w:val="single" w:sz="8" w:space="0" w:color="C0C0C0" w:themeColor="accent5"/>
          <w:bottom w:val="single" w:sz="8" w:space="0" w:color="C0C0C0" w:themeColor="accent5"/>
          <w:right w:val="single" w:sz="8" w:space="0" w:color="C0C0C0" w:themeColor="accent5"/>
          <w:insideH w:val="nil"/>
          <w:insideV w:val="single" w:sz="8" w:space="0" w:color="C0C0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tblStylePr w:type="band1Vert">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shd w:val="clear" w:color="auto" w:fill="EFEFEF" w:themeFill="accent5" w:themeFillTint="3F"/>
      </w:tcPr>
    </w:tblStylePr>
    <w:tblStylePr w:type="band1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insideV w:val="single" w:sz="8" w:space="0" w:color="C0C0C0" w:themeColor="accent5"/>
        </w:tcBorders>
        <w:shd w:val="clear" w:color="auto" w:fill="EFEFEF" w:themeFill="accent5" w:themeFillTint="3F"/>
      </w:tcPr>
    </w:tblStylePr>
    <w:tblStylePr w:type="band2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insideV w:val="single" w:sz="8" w:space="0" w:color="C0C0C0" w:themeColor="accent5"/>
        </w:tcBorders>
      </w:tcPr>
    </w:tblStylePr>
  </w:style>
  <w:style w:type="table" w:styleId="LightGrid-Accent6">
    <w:name w:val="Light Grid Accent 6"/>
    <w:basedOn w:val="TableNormal"/>
    <w:uiPriority w:val="62"/>
    <w:semiHidden/>
    <w:unhideWhenUsed/>
    <w:rsid w:val="00914935"/>
    <w:rPr>
      <w:rFonts w:eastAsia="MS Mincho"/>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insideH w:val="single" w:sz="8" w:space="0" w:color="E6E6E6" w:themeColor="accent6"/>
        <w:insideV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E6E6E6" w:themeColor="accent6"/>
          <w:left w:val="single" w:sz="8" w:space="0" w:color="E6E6E6" w:themeColor="accent6"/>
          <w:bottom w:val="single" w:sz="18" w:space="0" w:color="E6E6E6" w:themeColor="accent6"/>
          <w:right w:val="single" w:sz="8" w:space="0" w:color="E6E6E6" w:themeColor="accent6"/>
          <w:insideH w:val="nil"/>
          <w:insideV w:val="single" w:sz="8" w:space="0" w:color="E6E6E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E6E6" w:themeColor="accent6"/>
          <w:left w:val="single" w:sz="8" w:space="0" w:color="E6E6E6" w:themeColor="accent6"/>
          <w:bottom w:val="single" w:sz="8" w:space="0" w:color="E6E6E6" w:themeColor="accent6"/>
          <w:right w:val="single" w:sz="8" w:space="0" w:color="E6E6E6" w:themeColor="accent6"/>
          <w:insideH w:val="nil"/>
          <w:insideV w:val="single" w:sz="8" w:space="0" w:color="E6E6E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tblStylePr w:type="band1Vert">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shd w:val="clear" w:color="auto" w:fill="F8F8F8" w:themeFill="accent6" w:themeFillTint="3F"/>
      </w:tcPr>
    </w:tblStylePr>
    <w:tblStylePr w:type="band1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insideV w:val="single" w:sz="8" w:space="0" w:color="E6E6E6" w:themeColor="accent6"/>
        </w:tcBorders>
        <w:shd w:val="clear" w:color="auto" w:fill="F8F8F8" w:themeFill="accent6" w:themeFillTint="3F"/>
      </w:tcPr>
    </w:tblStylePr>
    <w:tblStylePr w:type="band2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insideV w:val="single" w:sz="8" w:space="0" w:color="E6E6E6" w:themeColor="accent6"/>
        </w:tcBorders>
      </w:tcPr>
    </w:tblStylePr>
  </w:style>
  <w:style w:type="table" w:styleId="LightList">
    <w:name w:val="Light List"/>
    <w:basedOn w:val="TableNormal"/>
    <w:uiPriority w:val="61"/>
    <w:semiHidden/>
    <w:unhideWhenUsed/>
    <w:rsid w:val="00914935"/>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14935"/>
    <w:rPr>
      <w:rFonts w:eastAsia="MS Mincho"/>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65328F" w:themeFill="accent1"/>
      </w:tcPr>
    </w:tblStylePr>
    <w:tblStylePr w:type="lastRow">
      <w:pPr>
        <w:spacing w:before="0" w:after="0" w:line="240" w:lineRule="auto"/>
      </w:pPr>
      <w:rPr>
        <w:b/>
        <w:bCs/>
      </w:rPr>
      <w:tblPr/>
      <w:tcPr>
        <w:tcBorders>
          <w:top w:val="double" w:sz="6" w:space="0" w:color="65328F" w:themeColor="accent1"/>
          <w:left w:val="single" w:sz="8" w:space="0" w:color="65328F" w:themeColor="accent1"/>
          <w:bottom w:val="single" w:sz="8" w:space="0" w:color="65328F" w:themeColor="accent1"/>
          <w:right w:val="single" w:sz="8" w:space="0" w:color="65328F" w:themeColor="accent1"/>
        </w:tcBorders>
      </w:tcPr>
    </w:tblStylePr>
    <w:tblStylePr w:type="firstCol">
      <w:rPr>
        <w:b/>
        <w:bCs/>
      </w:rPr>
    </w:tblStylePr>
    <w:tblStylePr w:type="lastCol">
      <w:rPr>
        <w:b/>
        <w:bCs/>
      </w:rPr>
    </w:tblStylePr>
    <w:tblStylePr w:type="band1Vert">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tblStylePr w:type="band1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style>
  <w:style w:type="table" w:styleId="LightList-Accent2">
    <w:name w:val="Light List Accent 2"/>
    <w:basedOn w:val="TableNormal"/>
    <w:uiPriority w:val="61"/>
    <w:semiHidden/>
    <w:unhideWhenUsed/>
    <w:rsid w:val="00914935"/>
    <w:rPr>
      <w:rFonts w:eastAsia="MS Mincho"/>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D83D0E" w:themeFill="accent2"/>
      </w:tcPr>
    </w:tblStylePr>
    <w:tblStylePr w:type="lastRow">
      <w:pPr>
        <w:spacing w:before="0" w:after="0" w:line="240" w:lineRule="auto"/>
      </w:pPr>
      <w:rPr>
        <w:b/>
        <w:bCs/>
      </w:rPr>
      <w:tblPr/>
      <w:tcPr>
        <w:tcBorders>
          <w:top w:val="double" w:sz="6" w:space="0" w:color="D83D0E" w:themeColor="accent2"/>
          <w:left w:val="single" w:sz="8" w:space="0" w:color="D83D0E" w:themeColor="accent2"/>
          <w:bottom w:val="single" w:sz="8" w:space="0" w:color="D83D0E" w:themeColor="accent2"/>
          <w:right w:val="single" w:sz="8" w:space="0" w:color="D83D0E" w:themeColor="accent2"/>
        </w:tcBorders>
      </w:tcPr>
    </w:tblStylePr>
    <w:tblStylePr w:type="firstCol">
      <w:rPr>
        <w:b/>
        <w:bCs/>
      </w:rPr>
    </w:tblStylePr>
    <w:tblStylePr w:type="lastCol">
      <w:rPr>
        <w:b/>
        <w:bCs/>
      </w:rPr>
    </w:tblStylePr>
    <w:tblStylePr w:type="band1Vert">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tblStylePr w:type="band1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style>
  <w:style w:type="table" w:styleId="LightList-Accent3">
    <w:name w:val="Light List Accent 3"/>
    <w:basedOn w:val="TableNormal"/>
    <w:uiPriority w:val="61"/>
    <w:semiHidden/>
    <w:unhideWhenUsed/>
    <w:rsid w:val="00914935"/>
    <w:rPr>
      <w:rFonts w:eastAsia="MS Mincho"/>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7F7F7F" w:themeFill="accent3"/>
      </w:tcPr>
    </w:tblStylePr>
    <w:tblStylePr w:type="lastRow">
      <w:pPr>
        <w:spacing w:before="0" w:after="0" w:line="240" w:lineRule="auto"/>
      </w:pPr>
      <w:rPr>
        <w:b/>
        <w:bCs/>
      </w:rPr>
      <w:tblPr/>
      <w:tcPr>
        <w:tcBorders>
          <w:top w:val="double" w:sz="6" w:space="0" w:color="7F7F7F" w:themeColor="accent3"/>
          <w:left w:val="single" w:sz="8" w:space="0" w:color="7F7F7F" w:themeColor="accent3"/>
          <w:bottom w:val="single" w:sz="8" w:space="0" w:color="7F7F7F" w:themeColor="accent3"/>
          <w:right w:val="single" w:sz="8" w:space="0" w:color="7F7F7F" w:themeColor="accent3"/>
        </w:tcBorders>
      </w:tcPr>
    </w:tblStylePr>
    <w:tblStylePr w:type="firstCol">
      <w:rPr>
        <w:b/>
        <w:bCs/>
      </w:rPr>
    </w:tblStylePr>
    <w:tblStylePr w:type="lastCol">
      <w:rPr>
        <w:b/>
        <w:bCs/>
      </w:rPr>
    </w:tblStylePr>
    <w:tblStylePr w:type="band1Vert">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tblStylePr w:type="band1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style>
  <w:style w:type="table" w:styleId="LightList-Accent4">
    <w:name w:val="Light List Accent 4"/>
    <w:basedOn w:val="TableNormal"/>
    <w:uiPriority w:val="61"/>
    <w:semiHidden/>
    <w:unhideWhenUsed/>
    <w:rsid w:val="00914935"/>
    <w:rPr>
      <w:rFonts w:eastAsia="MS Mincho"/>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3F3F3F" w:themeFill="accent4"/>
      </w:tcPr>
    </w:tblStylePr>
    <w:tblStylePr w:type="lastRow">
      <w:pPr>
        <w:spacing w:before="0" w:after="0" w:line="240" w:lineRule="auto"/>
      </w:pPr>
      <w:rPr>
        <w:b/>
        <w:bCs/>
      </w:rPr>
      <w:tblPr/>
      <w:tcPr>
        <w:tcBorders>
          <w:top w:val="double" w:sz="6" w:space="0" w:color="3F3F3F" w:themeColor="accent4"/>
          <w:left w:val="single" w:sz="8" w:space="0" w:color="3F3F3F" w:themeColor="accent4"/>
          <w:bottom w:val="single" w:sz="8" w:space="0" w:color="3F3F3F" w:themeColor="accent4"/>
          <w:right w:val="single" w:sz="8" w:space="0" w:color="3F3F3F" w:themeColor="accent4"/>
        </w:tcBorders>
      </w:tcPr>
    </w:tblStylePr>
    <w:tblStylePr w:type="firstCol">
      <w:rPr>
        <w:b/>
        <w:bCs/>
      </w:rPr>
    </w:tblStylePr>
    <w:tblStylePr w:type="lastCol">
      <w:rPr>
        <w:b/>
        <w:bCs/>
      </w:rPr>
    </w:tblStylePr>
    <w:tblStylePr w:type="band1Vert">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tblStylePr w:type="band1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style>
  <w:style w:type="table" w:styleId="LightList-Accent5">
    <w:name w:val="Light List Accent 5"/>
    <w:basedOn w:val="TableNormal"/>
    <w:uiPriority w:val="61"/>
    <w:semiHidden/>
    <w:unhideWhenUsed/>
    <w:rsid w:val="00914935"/>
    <w:rPr>
      <w:rFonts w:eastAsia="MS Mincho"/>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C0C0" w:themeFill="accent5"/>
      </w:tcPr>
    </w:tblStylePr>
    <w:tblStylePr w:type="lastRow">
      <w:pPr>
        <w:spacing w:before="0" w:after="0" w:line="240" w:lineRule="auto"/>
      </w:pPr>
      <w:rPr>
        <w:b/>
        <w:bCs/>
      </w:rPr>
      <w:tblPr/>
      <w:tcPr>
        <w:tcBorders>
          <w:top w:val="double" w:sz="6" w:space="0" w:color="C0C0C0" w:themeColor="accent5"/>
          <w:left w:val="single" w:sz="8" w:space="0" w:color="C0C0C0" w:themeColor="accent5"/>
          <w:bottom w:val="single" w:sz="8" w:space="0" w:color="C0C0C0" w:themeColor="accent5"/>
          <w:right w:val="single" w:sz="8" w:space="0" w:color="C0C0C0" w:themeColor="accent5"/>
        </w:tcBorders>
      </w:tcPr>
    </w:tblStylePr>
    <w:tblStylePr w:type="firstCol">
      <w:rPr>
        <w:b/>
        <w:bCs/>
      </w:rPr>
    </w:tblStylePr>
    <w:tblStylePr w:type="lastCol">
      <w:rPr>
        <w:b/>
        <w:bCs/>
      </w:rPr>
    </w:tblStylePr>
    <w:tblStylePr w:type="band1Vert">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tblStylePr w:type="band1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style>
  <w:style w:type="table" w:styleId="LightList-Accent6">
    <w:name w:val="Light List Accent 6"/>
    <w:basedOn w:val="TableNormal"/>
    <w:uiPriority w:val="61"/>
    <w:semiHidden/>
    <w:unhideWhenUsed/>
    <w:rsid w:val="00914935"/>
    <w:rPr>
      <w:rFonts w:eastAsia="MS Mincho"/>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E6E6E6" w:themeFill="accent6"/>
      </w:tcPr>
    </w:tblStylePr>
    <w:tblStylePr w:type="lastRow">
      <w:pPr>
        <w:spacing w:before="0" w:after="0" w:line="240" w:lineRule="auto"/>
      </w:pPr>
      <w:rPr>
        <w:b/>
        <w:bCs/>
      </w:rPr>
      <w:tblPr/>
      <w:tcPr>
        <w:tcBorders>
          <w:top w:val="double" w:sz="6" w:space="0" w:color="E6E6E6" w:themeColor="accent6"/>
          <w:left w:val="single" w:sz="8" w:space="0" w:color="E6E6E6" w:themeColor="accent6"/>
          <w:bottom w:val="single" w:sz="8" w:space="0" w:color="E6E6E6" w:themeColor="accent6"/>
          <w:right w:val="single" w:sz="8" w:space="0" w:color="E6E6E6" w:themeColor="accent6"/>
        </w:tcBorders>
      </w:tcPr>
    </w:tblStylePr>
    <w:tblStylePr w:type="firstCol">
      <w:rPr>
        <w:b/>
        <w:bCs/>
      </w:rPr>
    </w:tblStylePr>
    <w:tblStylePr w:type="lastCol">
      <w:rPr>
        <w:b/>
        <w:bCs/>
      </w:rPr>
    </w:tblStylePr>
    <w:tblStylePr w:type="band1Vert">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tblStylePr w:type="band1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style>
  <w:style w:type="table" w:styleId="LightShading">
    <w:name w:val="Light Shading"/>
    <w:basedOn w:val="TableNormal"/>
    <w:uiPriority w:val="60"/>
    <w:semiHidden/>
    <w:unhideWhenUsed/>
    <w:rsid w:val="00914935"/>
    <w:rPr>
      <w:rFonts w:eastAsia="MS Mincho"/>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14935"/>
    <w:rPr>
      <w:rFonts w:eastAsia="MS Mincho"/>
      <w:color w:val="4B256A" w:themeColor="accent1" w:themeShade="BF"/>
      <w:lang w:val="en-GB" w:eastAsia="en-GB"/>
    </w:rPr>
    <w:tblPr>
      <w:tblStyleRowBandSize w:val="1"/>
      <w:tblStyleColBandSize w:val="1"/>
      <w:tblBorders>
        <w:top w:val="single" w:sz="8" w:space="0" w:color="65328F" w:themeColor="accent1"/>
        <w:bottom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65328F" w:themeColor="accent1"/>
          <w:left w:val="nil"/>
          <w:bottom w:val="single" w:sz="8" w:space="0" w:color="65328F" w:themeColor="accent1"/>
          <w:right w:val="nil"/>
          <w:insideH w:val="nil"/>
          <w:insideV w:val="nil"/>
        </w:tcBorders>
      </w:tcPr>
    </w:tblStylePr>
    <w:tblStylePr w:type="lastRow">
      <w:pPr>
        <w:spacing w:before="0" w:after="0" w:line="240" w:lineRule="auto"/>
      </w:pPr>
      <w:rPr>
        <w:b/>
        <w:bCs/>
      </w:rPr>
      <w:tblPr/>
      <w:tcPr>
        <w:tcBorders>
          <w:top w:val="single" w:sz="8" w:space="0" w:color="65328F" w:themeColor="accent1"/>
          <w:left w:val="nil"/>
          <w:bottom w:val="single" w:sz="8" w:space="0" w:color="65328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4EA" w:themeFill="accent1" w:themeFillTint="3F"/>
      </w:tcPr>
    </w:tblStylePr>
    <w:tblStylePr w:type="band1Horz">
      <w:tblPr/>
      <w:tcPr>
        <w:tcBorders>
          <w:left w:val="nil"/>
          <w:right w:val="nil"/>
          <w:insideH w:val="nil"/>
          <w:insideV w:val="nil"/>
        </w:tcBorders>
        <w:shd w:val="clear" w:color="auto" w:fill="D9C4EA" w:themeFill="accent1" w:themeFillTint="3F"/>
      </w:tcPr>
    </w:tblStylePr>
  </w:style>
  <w:style w:type="table" w:styleId="LightShading-Accent2">
    <w:name w:val="Light Shading Accent 2"/>
    <w:basedOn w:val="TableNormal"/>
    <w:uiPriority w:val="60"/>
    <w:semiHidden/>
    <w:unhideWhenUsed/>
    <w:rsid w:val="00914935"/>
    <w:rPr>
      <w:rFonts w:eastAsia="MS Mincho"/>
      <w:color w:val="A12D0A" w:themeColor="accent2" w:themeShade="BF"/>
      <w:lang w:val="en-GB" w:eastAsia="en-GB"/>
    </w:rPr>
    <w:tblPr>
      <w:tblStyleRowBandSize w:val="1"/>
      <w:tblStyleColBandSize w:val="1"/>
      <w:tblBorders>
        <w:top w:val="single" w:sz="8" w:space="0" w:color="D83D0E" w:themeColor="accent2"/>
        <w:bottom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D83D0E" w:themeColor="accent2"/>
          <w:left w:val="nil"/>
          <w:bottom w:val="single" w:sz="8" w:space="0" w:color="D83D0E" w:themeColor="accent2"/>
          <w:right w:val="nil"/>
          <w:insideH w:val="nil"/>
          <w:insideV w:val="nil"/>
        </w:tcBorders>
      </w:tcPr>
    </w:tblStylePr>
    <w:tblStylePr w:type="lastRow">
      <w:pPr>
        <w:spacing w:before="0" w:after="0" w:line="240" w:lineRule="auto"/>
      </w:pPr>
      <w:rPr>
        <w:b/>
        <w:bCs/>
      </w:rPr>
      <w:tblPr/>
      <w:tcPr>
        <w:tcBorders>
          <w:top w:val="single" w:sz="8" w:space="0" w:color="D83D0E" w:themeColor="accent2"/>
          <w:left w:val="nil"/>
          <w:bottom w:val="single" w:sz="8" w:space="0" w:color="D83D0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BBD" w:themeFill="accent2" w:themeFillTint="3F"/>
      </w:tcPr>
    </w:tblStylePr>
    <w:tblStylePr w:type="band1Horz">
      <w:tblPr/>
      <w:tcPr>
        <w:tcBorders>
          <w:left w:val="nil"/>
          <w:right w:val="nil"/>
          <w:insideH w:val="nil"/>
          <w:insideV w:val="nil"/>
        </w:tcBorders>
        <w:shd w:val="clear" w:color="auto" w:fill="FACBBD" w:themeFill="accent2" w:themeFillTint="3F"/>
      </w:tcPr>
    </w:tblStylePr>
  </w:style>
  <w:style w:type="table" w:styleId="LightShading-Accent3">
    <w:name w:val="Light Shading Accent 3"/>
    <w:basedOn w:val="TableNormal"/>
    <w:uiPriority w:val="60"/>
    <w:semiHidden/>
    <w:unhideWhenUsed/>
    <w:rsid w:val="00914935"/>
    <w:rPr>
      <w:rFonts w:eastAsia="MS Mincho"/>
      <w:color w:val="5F5F5F" w:themeColor="accent3" w:themeShade="BF"/>
      <w:lang w:val="en-GB" w:eastAsia="en-GB"/>
    </w:rPr>
    <w:tblPr>
      <w:tblStyleRowBandSize w:val="1"/>
      <w:tblStyleColBandSize w:val="1"/>
      <w:tblBorders>
        <w:top w:val="single" w:sz="8" w:space="0" w:color="7F7F7F" w:themeColor="accent3"/>
        <w:bottom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7F7F7F" w:themeColor="accent3"/>
          <w:left w:val="nil"/>
          <w:bottom w:val="single" w:sz="8" w:space="0" w:color="7F7F7F" w:themeColor="accent3"/>
          <w:right w:val="nil"/>
          <w:insideH w:val="nil"/>
          <w:insideV w:val="nil"/>
        </w:tcBorders>
      </w:tcPr>
    </w:tblStylePr>
    <w:tblStylePr w:type="lastRow">
      <w:pPr>
        <w:spacing w:before="0" w:after="0" w:line="240" w:lineRule="auto"/>
      </w:pPr>
      <w:rPr>
        <w:b/>
        <w:bCs/>
      </w:rPr>
      <w:tblPr/>
      <w:tcPr>
        <w:tcBorders>
          <w:top w:val="single" w:sz="8" w:space="0" w:color="7F7F7F" w:themeColor="accent3"/>
          <w:left w:val="nil"/>
          <w:bottom w:val="single" w:sz="8" w:space="0" w:color="7F7F7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3" w:themeFillTint="3F"/>
      </w:tcPr>
    </w:tblStylePr>
    <w:tblStylePr w:type="band1Horz">
      <w:tblPr/>
      <w:tcPr>
        <w:tcBorders>
          <w:left w:val="nil"/>
          <w:right w:val="nil"/>
          <w:insideH w:val="nil"/>
          <w:insideV w:val="nil"/>
        </w:tcBorders>
        <w:shd w:val="clear" w:color="auto" w:fill="DFDFDF" w:themeFill="accent3" w:themeFillTint="3F"/>
      </w:tcPr>
    </w:tblStylePr>
  </w:style>
  <w:style w:type="table" w:styleId="LightShading-Accent4">
    <w:name w:val="Light Shading Accent 4"/>
    <w:basedOn w:val="TableNormal"/>
    <w:uiPriority w:val="60"/>
    <w:semiHidden/>
    <w:unhideWhenUsed/>
    <w:rsid w:val="00914935"/>
    <w:rPr>
      <w:rFonts w:eastAsia="MS Mincho"/>
      <w:color w:val="2F2F2F" w:themeColor="accent4" w:themeShade="BF"/>
      <w:lang w:val="en-GB" w:eastAsia="en-GB"/>
    </w:rPr>
    <w:tblPr>
      <w:tblStyleRowBandSize w:val="1"/>
      <w:tblStyleColBandSize w:val="1"/>
      <w:tblBorders>
        <w:top w:val="single" w:sz="8" w:space="0" w:color="3F3F3F" w:themeColor="accent4"/>
        <w:bottom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3F3F3F" w:themeColor="accent4"/>
          <w:left w:val="nil"/>
          <w:bottom w:val="single" w:sz="8" w:space="0" w:color="3F3F3F" w:themeColor="accent4"/>
          <w:right w:val="nil"/>
          <w:insideH w:val="nil"/>
          <w:insideV w:val="nil"/>
        </w:tcBorders>
      </w:tcPr>
    </w:tblStylePr>
    <w:tblStylePr w:type="lastRow">
      <w:pPr>
        <w:spacing w:before="0" w:after="0" w:line="240" w:lineRule="auto"/>
      </w:pPr>
      <w:rPr>
        <w:b/>
        <w:bCs/>
      </w:rPr>
      <w:tblPr/>
      <w:tcPr>
        <w:tcBorders>
          <w:top w:val="single" w:sz="8" w:space="0" w:color="3F3F3F" w:themeColor="accent4"/>
          <w:left w:val="nil"/>
          <w:bottom w:val="single" w:sz="8" w:space="0" w:color="3F3F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F" w:themeFill="accent4" w:themeFillTint="3F"/>
      </w:tcPr>
    </w:tblStylePr>
    <w:tblStylePr w:type="band1Horz">
      <w:tblPr/>
      <w:tcPr>
        <w:tcBorders>
          <w:left w:val="nil"/>
          <w:right w:val="nil"/>
          <w:insideH w:val="nil"/>
          <w:insideV w:val="nil"/>
        </w:tcBorders>
        <w:shd w:val="clear" w:color="auto" w:fill="CFCFCF" w:themeFill="accent4" w:themeFillTint="3F"/>
      </w:tcPr>
    </w:tblStylePr>
  </w:style>
  <w:style w:type="table" w:styleId="LightShading-Accent5">
    <w:name w:val="Light Shading Accent 5"/>
    <w:basedOn w:val="TableNormal"/>
    <w:uiPriority w:val="60"/>
    <w:semiHidden/>
    <w:unhideWhenUsed/>
    <w:rsid w:val="00914935"/>
    <w:rPr>
      <w:rFonts w:eastAsia="MS Mincho"/>
      <w:color w:val="8F8F8F" w:themeColor="accent5" w:themeShade="BF"/>
      <w:lang w:val="en-GB" w:eastAsia="en-GB"/>
    </w:rPr>
    <w:tblPr>
      <w:tblStyleRowBandSize w:val="1"/>
      <w:tblStyleColBandSize w:val="1"/>
      <w:tblBorders>
        <w:top w:val="single" w:sz="8" w:space="0" w:color="C0C0C0" w:themeColor="accent5"/>
        <w:bottom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C0C0" w:themeColor="accent5"/>
          <w:left w:val="nil"/>
          <w:bottom w:val="single" w:sz="8" w:space="0" w:color="C0C0C0" w:themeColor="accent5"/>
          <w:right w:val="nil"/>
          <w:insideH w:val="nil"/>
          <w:insideV w:val="nil"/>
        </w:tcBorders>
      </w:tcPr>
    </w:tblStylePr>
    <w:tblStylePr w:type="lastRow">
      <w:pPr>
        <w:spacing w:before="0" w:after="0" w:line="240" w:lineRule="auto"/>
      </w:pPr>
      <w:rPr>
        <w:b/>
        <w:bCs/>
      </w:rPr>
      <w:tblPr/>
      <w:tcPr>
        <w:tcBorders>
          <w:top w:val="single" w:sz="8" w:space="0" w:color="C0C0C0" w:themeColor="accent5"/>
          <w:left w:val="nil"/>
          <w:bottom w:val="single" w:sz="8" w:space="0" w:color="C0C0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5" w:themeFillTint="3F"/>
      </w:tcPr>
    </w:tblStylePr>
    <w:tblStylePr w:type="band1Horz">
      <w:tblPr/>
      <w:tcPr>
        <w:tcBorders>
          <w:left w:val="nil"/>
          <w:right w:val="nil"/>
          <w:insideH w:val="nil"/>
          <w:insideV w:val="nil"/>
        </w:tcBorders>
        <w:shd w:val="clear" w:color="auto" w:fill="EFEFEF" w:themeFill="accent5" w:themeFillTint="3F"/>
      </w:tcPr>
    </w:tblStylePr>
  </w:style>
  <w:style w:type="table" w:styleId="LightShading-Accent6">
    <w:name w:val="Light Shading Accent 6"/>
    <w:basedOn w:val="TableNormal"/>
    <w:uiPriority w:val="60"/>
    <w:semiHidden/>
    <w:unhideWhenUsed/>
    <w:rsid w:val="00914935"/>
    <w:rPr>
      <w:rFonts w:eastAsia="MS Mincho"/>
      <w:color w:val="ACACAC" w:themeColor="accent6" w:themeShade="BF"/>
      <w:lang w:val="en-GB" w:eastAsia="en-GB"/>
    </w:rPr>
    <w:tblPr>
      <w:tblStyleRowBandSize w:val="1"/>
      <w:tblStyleColBandSize w:val="1"/>
      <w:tblBorders>
        <w:top w:val="single" w:sz="8" w:space="0" w:color="E6E6E6" w:themeColor="accent6"/>
        <w:bottom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E6E6E6" w:themeColor="accent6"/>
          <w:left w:val="nil"/>
          <w:bottom w:val="single" w:sz="8" w:space="0" w:color="E6E6E6" w:themeColor="accent6"/>
          <w:right w:val="nil"/>
          <w:insideH w:val="nil"/>
          <w:insideV w:val="nil"/>
        </w:tcBorders>
      </w:tcPr>
    </w:tblStylePr>
    <w:tblStylePr w:type="lastRow">
      <w:pPr>
        <w:spacing w:before="0" w:after="0" w:line="240" w:lineRule="auto"/>
      </w:pPr>
      <w:rPr>
        <w:b/>
        <w:bCs/>
      </w:rPr>
      <w:tblPr/>
      <w:tcPr>
        <w:tcBorders>
          <w:top w:val="single" w:sz="8" w:space="0" w:color="E6E6E6" w:themeColor="accent6"/>
          <w:left w:val="nil"/>
          <w:bottom w:val="single" w:sz="8" w:space="0" w:color="E6E6E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left w:val="nil"/>
          <w:right w:val="nil"/>
          <w:insideH w:val="nil"/>
          <w:insideV w:val="nil"/>
        </w:tcBorders>
        <w:shd w:val="clear" w:color="auto" w:fill="F8F8F8" w:themeFill="accent6" w:themeFillTint="3F"/>
      </w:tcPr>
    </w:tblStylePr>
  </w:style>
  <w:style w:type="character" w:styleId="LineNumber">
    <w:name w:val="line number"/>
    <w:basedOn w:val="DefaultParagraphFont"/>
    <w:uiPriority w:val="99"/>
    <w:semiHidden/>
    <w:unhideWhenUsed/>
    <w:rsid w:val="00914935"/>
  </w:style>
  <w:style w:type="paragraph" w:styleId="List">
    <w:name w:val="List"/>
    <w:basedOn w:val="Normal"/>
    <w:uiPriority w:val="99"/>
    <w:semiHidden/>
    <w:unhideWhenUsed/>
    <w:rsid w:val="00914935"/>
    <w:pPr>
      <w:ind w:left="283" w:hanging="283"/>
      <w:contextualSpacing/>
    </w:pPr>
  </w:style>
  <w:style w:type="paragraph" w:styleId="List2">
    <w:name w:val="List 2"/>
    <w:basedOn w:val="Normal"/>
    <w:uiPriority w:val="99"/>
    <w:semiHidden/>
    <w:unhideWhenUsed/>
    <w:rsid w:val="00914935"/>
    <w:pPr>
      <w:ind w:left="566" w:hanging="283"/>
      <w:contextualSpacing/>
    </w:pPr>
  </w:style>
  <w:style w:type="paragraph" w:styleId="List3">
    <w:name w:val="List 3"/>
    <w:basedOn w:val="Normal"/>
    <w:uiPriority w:val="99"/>
    <w:semiHidden/>
    <w:unhideWhenUsed/>
    <w:rsid w:val="00914935"/>
    <w:pPr>
      <w:ind w:left="849" w:hanging="283"/>
      <w:contextualSpacing/>
    </w:pPr>
  </w:style>
  <w:style w:type="paragraph" w:styleId="List4">
    <w:name w:val="List 4"/>
    <w:basedOn w:val="Normal"/>
    <w:uiPriority w:val="99"/>
    <w:semiHidden/>
    <w:unhideWhenUsed/>
    <w:rsid w:val="00914935"/>
    <w:pPr>
      <w:ind w:left="1132" w:hanging="283"/>
      <w:contextualSpacing/>
    </w:pPr>
  </w:style>
  <w:style w:type="paragraph" w:styleId="List5">
    <w:name w:val="List 5"/>
    <w:basedOn w:val="Normal"/>
    <w:uiPriority w:val="99"/>
    <w:semiHidden/>
    <w:unhideWhenUsed/>
    <w:rsid w:val="00914935"/>
    <w:pPr>
      <w:ind w:left="1415" w:hanging="283"/>
      <w:contextualSpacing/>
    </w:pPr>
  </w:style>
  <w:style w:type="paragraph" w:styleId="ListBullet4">
    <w:name w:val="List Bullet 4"/>
    <w:basedOn w:val="Normal"/>
    <w:uiPriority w:val="99"/>
    <w:semiHidden/>
    <w:unhideWhenUsed/>
    <w:rsid w:val="00914935"/>
    <w:pPr>
      <w:numPr>
        <w:numId w:val="17"/>
      </w:numPr>
      <w:contextualSpacing/>
    </w:pPr>
  </w:style>
  <w:style w:type="paragraph" w:styleId="ListBullet5">
    <w:name w:val="List Bullet 5"/>
    <w:basedOn w:val="Normal"/>
    <w:uiPriority w:val="99"/>
    <w:semiHidden/>
    <w:unhideWhenUsed/>
    <w:rsid w:val="00914935"/>
    <w:pPr>
      <w:numPr>
        <w:numId w:val="18"/>
      </w:numPr>
      <w:contextualSpacing/>
    </w:pPr>
  </w:style>
  <w:style w:type="paragraph" w:styleId="ListContinue2">
    <w:name w:val="List Continue 2"/>
    <w:basedOn w:val="Normal"/>
    <w:uiPriority w:val="99"/>
    <w:semiHidden/>
    <w:unhideWhenUsed/>
    <w:rsid w:val="00914935"/>
    <w:pPr>
      <w:ind w:left="566"/>
      <w:contextualSpacing/>
    </w:pPr>
  </w:style>
  <w:style w:type="paragraph" w:styleId="ListContinue3">
    <w:name w:val="List Continue 3"/>
    <w:basedOn w:val="Normal"/>
    <w:uiPriority w:val="99"/>
    <w:semiHidden/>
    <w:unhideWhenUsed/>
    <w:rsid w:val="00914935"/>
    <w:pPr>
      <w:ind w:left="849"/>
      <w:contextualSpacing/>
    </w:pPr>
  </w:style>
  <w:style w:type="paragraph" w:styleId="ListContinue4">
    <w:name w:val="List Continue 4"/>
    <w:basedOn w:val="Normal"/>
    <w:uiPriority w:val="99"/>
    <w:semiHidden/>
    <w:unhideWhenUsed/>
    <w:rsid w:val="00914935"/>
    <w:pPr>
      <w:ind w:left="1132"/>
      <w:contextualSpacing/>
    </w:pPr>
  </w:style>
  <w:style w:type="paragraph" w:styleId="ListContinue5">
    <w:name w:val="List Continue 5"/>
    <w:basedOn w:val="Normal"/>
    <w:uiPriority w:val="99"/>
    <w:semiHidden/>
    <w:unhideWhenUsed/>
    <w:rsid w:val="00914935"/>
    <w:pPr>
      <w:ind w:left="1415"/>
      <w:contextualSpacing/>
    </w:pPr>
  </w:style>
  <w:style w:type="paragraph" w:styleId="ListNumber">
    <w:name w:val="List Number"/>
    <w:basedOn w:val="Normal"/>
    <w:uiPriority w:val="1"/>
    <w:qFormat/>
    <w:rsid w:val="009E71B6"/>
    <w:pPr>
      <w:widowControl/>
      <w:numPr>
        <w:numId w:val="32"/>
      </w:numPr>
      <w:spacing w:before="120" w:after="120"/>
    </w:pPr>
    <w:rPr>
      <w:szCs w:val="20"/>
    </w:rPr>
  </w:style>
  <w:style w:type="paragraph" w:styleId="ListNumber2">
    <w:name w:val="List Number 2"/>
    <w:basedOn w:val="Normal"/>
    <w:uiPriority w:val="1"/>
    <w:qFormat/>
    <w:rsid w:val="009E71B6"/>
    <w:pPr>
      <w:widowControl/>
      <w:numPr>
        <w:ilvl w:val="1"/>
        <w:numId w:val="32"/>
      </w:numPr>
      <w:spacing w:before="120" w:after="120"/>
    </w:pPr>
    <w:rPr>
      <w:szCs w:val="20"/>
    </w:rPr>
  </w:style>
  <w:style w:type="paragraph" w:styleId="ListNumber3">
    <w:name w:val="List Number 3"/>
    <w:basedOn w:val="Normal"/>
    <w:uiPriority w:val="1"/>
    <w:qFormat/>
    <w:rsid w:val="009E71B6"/>
    <w:pPr>
      <w:widowControl/>
      <w:numPr>
        <w:ilvl w:val="2"/>
        <w:numId w:val="32"/>
      </w:numPr>
      <w:spacing w:before="120" w:after="120"/>
      <w:ind w:left="1020" w:hanging="340"/>
    </w:pPr>
    <w:rPr>
      <w:szCs w:val="20"/>
    </w:rPr>
  </w:style>
  <w:style w:type="paragraph" w:styleId="ListNumber4">
    <w:name w:val="List Number 4"/>
    <w:basedOn w:val="Normal"/>
    <w:uiPriority w:val="99"/>
    <w:semiHidden/>
    <w:unhideWhenUsed/>
    <w:rsid w:val="00914935"/>
    <w:pPr>
      <w:numPr>
        <w:numId w:val="19"/>
      </w:numPr>
      <w:contextualSpacing/>
    </w:pPr>
  </w:style>
  <w:style w:type="paragraph" w:styleId="ListNumber5">
    <w:name w:val="List Number 5"/>
    <w:basedOn w:val="Normal"/>
    <w:uiPriority w:val="99"/>
    <w:semiHidden/>
    <w:unhideWhenUsed/>
    <w:rsid w:val="00914935"/>
    <w:pPr>
      <w:numPr>
        <w:numId w:val="20"/>
      </w:numPr>
      <w:contextualSpacing/>
    </w:pPr>
  </w:style>
  <w:style w:type="paragraph" w:styleId="MacroText">
    <w:name w:val="macro"/>
    <w:link w:val="MacroTextChar"/>
    <w:uiPriority w:val="99"/>
    <w:semiHidden/>
    <w:unhideWhenUsed/>
    <w:rsid w:val="00914935"/>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US"/>
    </w:rPr>
  </w:style>
  <w:style w:type="character" w:customStyle="1" w:styleId="MacroTextChar">
    <w:name w:val="Macro Text Char"/>
    <w:basedOn w:val="DefaultParagraphFont"/>
    <w:link w:val="MacroText"/>
    <w:uiPriority w:val="99"/>
    <w:semiHidden/>
    <w:rsid w:val="00914935"/>
    <w:rPr>
      <w:rFonts w:ascii="Consolas" w:hAnsi="Consolas" w:cs="Consolas"/>
      <w:lang w:val="en-US"/>
    </w:rPr>
  </w:style>
  <w:style w:type="table" w:styleId="MediumGrid1">
    <w:name w:val="Medium Grid 1"/>
    <w:basedOn w:val="TableNormal"/>
    <w:uiPriority w:val="67"/>
    <w:semiHidden/>
    <w:unhideWhenUsed/>
    <w:rsid w:val="00914935"/>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14935"/>
    <w:rPr>
      <w:rFonts w:eastAsia="MS Mincho"/>
      <w:lang w:val="en-GB" w:eastAsia="en-GB"/>
    </w:rPr>
    <w:tblPr>
      <w:tblStyleRowBandSize w:val="1"/>
      <w:tblStyleColBandSize w:val="1"/>
      <w:tbl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single" w:sz="8" w:space="0" w:color="8D4EC1" w:themeColor="accent1" w:themeTint="BF"/>
        <w:insideV w:val="single" w:sz="8" w:space="0" w:color="8D4EC1" w:themeColor="accent1" w:themeTint="BF"/>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8D4EC1" w:themeColor="accent1" w:themeTint="BF"/>
        </w:tcBorders>
      </w:tcPr>
    </w:tblStylePr>
    <w:tblStylePr w:type="firstCol">
      <w:rPr>
        <w:b/>
        <w:bCs/>
      </w:rPr>
    </w:tblStylePr>
    <w:tblStylePr w:type="lastCol">
      <w:rPr>
        <w:b/>
        <w:bCs/>
      </w:rPr>
    </w:tblStylePr>
    <w:tblStylePr w:type="band1Vert">
      <w:tblPr/>
      <w:tcPr>
        <w:shd w:val="clear" w:color="auto" w:fill="B389D6" w:themeFill="accent1" w:themeFillTint="7F"/>
      </w:tcPr>
    </w:tblStylePr>
    <w:tblStylePr w:type="band1Horz">
      <w:tblPr/>
      <w:tcPr>
        <w:shd w:val="clear" w:color="auto" w:fill="B389D6" w:themeFill="accent1" w:themeFillTint="7F"/>
      </w:tcPr>
    </w:tblStylePr>
  </w:style>
  <w:style w:type="table" w:styleId="MediumGrid1-Accent2">
    <w:name w:val="Medium Grid 1 Accent 2"/>
    <w:basedOn w:val="TableNormal"/>
    <w:uiPriority w:val="67"/>
    <w:semiHidden/>
    <w:unhideWhenUsed/>
    <w:rsid w:val="00914935"/>
    <w:rPr>
      <w:rFonts w:eastAsia="MS Mincho"/>
      <w:lang w:val="en-GB" w:eastAsia="en-GB"/>
    </w:rPr>
    <w:tblPr>
      <w:tblStyleRowBandSize w:val="1"/>
      <w:tblStyleColBandSize w:val="1"/>
      <w:tbl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single" w:sz="8" w:space="0" w:color="F26439" w:themeColor="accent2" w:themeTint="BF"/>
        <w:insideV w:val="single" w:sz="8" w:space="0" w:color="F26439" w:themeColor="accent2" w:themeTint="BF"/>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26439" w:themeColor="accent2" w:themeTint="BF"/>
        </w:tcBorders>
      </w:tcPr>
    </w:tblStylePr>
    <w:tblStylePr w:type="firstCol">
      <w:rPr>
        <w:b/>
        <w:bCs/>
      </w:rPr>
    </w:tblStylePr>
    <w:tblStylePr w:type="lastCol">
      <w:rPr>
        <w:b/>
        <w:bCs/>
      </w:rPr>
    </w:tblStylePr>
    <w:tblStylePr w:type="band1Vert">
      <w:tblPr/>
      <w:tcPr>
        <w:shd w:val="clear" w:color="auto" w:fill="F6987B" w:themeFill="accent2" w:themeFillTint="7F"/>
      </w:tcPr>
    </w:tblStylePr>
    <w:tblStylePr w:type="band1Horz">
      <w:tblPr/>
      <w:tcPr>
        <w:shd w:val="clear" w:color="auto" w:fill="F6987B" w:themeFill="accent2" w:themeFillTint="7F"/>
      </w:tcPr>
    </w:tblStylePr>
  </w:style>
  <w:style w:type="table" w:styleId="MediumGrid1-Accent3">
    <w:name w:val="Medium Grid 1 Accent 3"/>
    <w:basedOn w:val="TableNormal"/>
    <w:uiPriority w:val="67"/>
    <w:semiHidden/>
    <w:unhideWhenUsed/>
    <w:rsid w:val="00914935"/>
    <w:rPr>
      <w:rFonts w:eastAsia="MS Mincho"/>
      <w:lang w:val="en-GB" w:eastAsia="en-GB"/>
    </w:rPr>
    <w:tblPr>
      <w:tblStyleRowBandSize w:val="1"/>
      <w:tblStyleColBandSize w:val="1"/>
      <w:tbl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single" w:sz="8" w:space="0" w:color="9F9F9F" w:themeColor="accent3" w:themeTint="BF"/>
        <w:insideV w:val="single" w:sz="8" w:space="0" w:color="9F9F9F" w:themeColor="accent3" w:themeTint="BF"/>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9F9F" w:themeColor="accent3" w:themeTint="BF"/>
        </w:tcBorders>
      </w:tcPr>
    </w:tblStylePr>
    <w:tblStylePr w:type="firstCol">
      <w:rPr>
        <w:b/>
        <w:bCs/>
      </w:rPr>
    </w:tblStylePr>
    <w:tblStylePr w:type="lastCol">
      <w:rPr>
        <w:b/>
        <w:bCs/>
      </w:rPr>
    </w:tblStylePr>
    <w:tblStylePr w:type="band1Vert">
      <w:tblPr/>
      <w:tcPr>
        <w:shd w:val="clear" w:color="auto" w:fill="BFBFBF" w:themeFill="accent3" w:themeFillTint="7F"/>
      </w:tcPr>
    </w:tblStylePr>
    <w:tblStylePr w:type="band1Horz">
      <w:tblPr/>
      <w:tcPr>
        <w:shd w:val="clear" w:color="auto" w:fill="BFBFBF" w:themeFill="accent3" w:themeFillTint="7F"/>
      </w:tcPr>
    </w:tblStylePr>
  </w:style>
  <w:style w:type="table" w:styleId="MediumGrid1-Accent4">
    <w:name w:val="Medium Grid 1 Accent 4"/>
    <w:basedOn w:val="TableNormal"/>
    <w:uiPriority w:val="67"/>
    <w:semiHidden/>
    <w:unhideWhenUsed/>
    <w:rsid w:val="00914935"/>
    <w:rPr>
      <w:rFonts w:eastAsia="MS Mincho"/>
      <w:lang w:val="en-GB" w:eastAsia="en-GB"/>
    </w:rPr>
    <w:tblPr>
      <w:tblStyleRowBandSize w:val="1"/>
      <w:tblStyleColBandSize w:val="1"/>
      <w:tbl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single" w:sz="8" w:space="0" w:color="6F6F6F" w:themeColor="accent4" w:themeTint="BF"/>
        <w:insideV w:val="single" w:sz="8" w:space="0" w:color="6F6F6F" w:themeColor="accent4" w:themeTint="BF"/>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6F6F6F" w:themeColor="accent4" w:themeTint="BF"/>
        </w:tcBorders>
      </w:tcPr>
    </w:tblStylePr>
    <w:tblStylePr w:type="firstCol">
      <w:rPr>
        <w:b/>
        <w:bCs/>
      </w:rPr>
    </w:tblStylePr>
    <w:tblStylePr w:type="lastCol">
      <w:rPr>
        <w:b/>
        <w:bCs/>
      </w:rPr>
    </w:tblStylePr>
    <w:tblStylePr w:type="band1Vert">
      <w:tblPr/>
      <w:tcPr>
        <w:shd w:val="clear" w:color="auto" w:fill="9F9F9F" w:themeFill="accent4" w:themeFillTint="7F"/>
      </w:tcPr>
    </w:tblStylePr>
    <w:tblStylePr w:type="band1Horz">
      <w:tblPr/>
      <w:tcPr>
        <w:shd w:val="clear" w:color="auto" w:fill="9F9F9F" w:themeFill="accent4" w:themeFillTint="7F"/>
      </w:tcPr>
    </w:tblStylePr>
  </w:style>
  <w:style w:type="table" w:styleId="MediumGrid1-Accent5">
    <w:name w:val="Medium Grid 1 Accent 5"/>
    <w:basedOn w:val="TableNormal"/>
    <w:uiPriority w:val="67"/>
    <w:semiHidden/>
    <w:unhideWhenUsed/>
    <w:rsid w:val="00914935"/>
    <w:rPr>
      <w:rFonts w:eastAsia="MS Mincho"/>
      <w:lang w:val="en-GB" w:eastAsia="en-GB"/>
    </w:rPr>
    <w:tblPr>
      <w:tblStyleRowBandSize w:val="1"/>
      <w:tblStyleColBandSize w:val="1"/>
      <w:tbl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single" w:sz="8" w:space="0" w:color="CFCFCF" w:themeColor="accent5" w:themeTint="BF"/>
        <w:insideV w:val="single" w:sz="8" w:space="0" w:color="CFCFCF" w:themeColor="accent5" w:themeTint="BF"/>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CFCF" w:themeColor="accent5" w:themeTint="BF"/>
        </w:tcBorders>
      </w:tcPr>
    </w:tblStylePr>
    <w:tblStylePr w:type="firstCol">
      <w:rPr>
        <w:b/>
        <w:bCs/>
      </w:rPr>
    </w:tblStylePr>
    <w:tblStylePr w:type="lastCol">
      <w:rPr>
        <w:b/>
        <w:bCs/>
      </w:rPr>
    </w:tblStylePr>
    <w:tblStylePr w:type="band1Vert">
      <w:tblPr/>
      <w:tcPr>
        <w:shd w:val="clear" w:color="auto" w:fill="DFDFDF" w:themeFill="accent5" w:themeFillTint="7F"/>
      </w:tcPr>
    </w:tblStylePr>
    <w:tblStylePr w:type="band1Horz">
      <w:tblPr/>
      <w:tcPr>
        <w:shd w:val="clear" w:color="auto" w:fill="DFDFDF" w:themeFill="accent5" w:themeFillTint="7F"/>
      </w:tcPr>
    </w:tblStylePr>
  </w:style>
  <w:style w:type="table" w:styleId="MediumGrid1-Accent6">
    <w:name w:val="Medium Grid 1 Accent 6"/>
    <w:basedOn w:val="TableNormal"/>
    <w:uiPriority w:val="67"/>
    <w:semiHidden/>
    <w:unhideWhenUsed/>
    <w:rsid w:val="00914935"/>
    <w:rPr>
      <w:rFonts w:eastAsia="MS Mincho"/>
      <w:lang w:val="en-GB" w:eastAsia="en-GB"/>
    </w:rPr>
    <w:tblPr>
      <w:tblStyleRowBandSize w:val="1"/>
      <w:tblStyleColBandSize w:val="1"/>
      <w:tbl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single" w:sz="8" w:space="0" w:color="ECECEC" w:themeColor="accent6" w:themeTint="BF"/>
        <w:insideV w:val="single" w:sz="8" w:space="0" w:color="ECECEC" w:themeColor="accent6" w:themeTint="BF"/>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ECECEC" w:themeColor="accent6" w:themeTint="BF"/>
        </w:tcBorders>
      </w:tcPr>
    </w:tblStylePr>
    <w:tblStylePr w:type="firstCol">
      <w:rPr>
        <w:b/>
        <w:bCs/>
      </w:rPr>
    </w:tblStylePr>
    <w:tblStylePr w:type="lastCol">
      <w:rPr>
        <w:b/>
        <w:bCs/>
      </w:r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MediumGrid2">
    <w:name w:val="Medium Grid 2"/>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insideH w:val="single" w:sz="8" w:space="0" w:color="65328F" w:themeColor="accent1"/>
        <w:insideV w:val="single" w:sz="8" w:space="0" w:color="65328F" w:themeColor="accent1"/>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rPr>
      <w:tblPr/>
      <w:tcPr>
        <w:shd w:val="clear" w:color="auto" w:fill="F0E7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CFEE" w:themeFill="accent1" w:themeFillTint="33"/>
      </w:tcPr>
    </w:tblStylePr>
    <w:tblStylePr w:type="band1Vert">
      <w:tblPr/>
      <w:tcPr>
        <w:shd w:val="clear" w:color="auto" w:fill="B389D6" w:themeFill="accent1" w:themeFillTint="7F"/>
      </w:tcPr>
    </w:tblStylePr>
    <w:tblStylePr w:type="band1Horz">
      <w:tblPr/>
      <w:tcPr>
        <w:tcBorders>
          <w:insideH w:val="single" w:sz="6" w:space="0" w:color="65328F" w:themeColor="accent1"/>
          <w:insideV w:val="single" w:sz="6" w:space="0" w:color="65328F" w:themeColor="accent1"/>
        </w:tcBorders>
        <w:shd w:val="clear" w:color="auto" w:fill="B389D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insideH w:val="single" w:sz="8" w:space="0" w:color="D83D0E" w:themeColor="accent2"/>
        <w:insideV w:val="single" w:sz="8" w:space="0" w:color="D83D0E" w:themeColor="accent2"/>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rPr>
      <w:tblPr/>
      <w:tcPr>
        <w:shd w:val="clear" w:color="auto" w:fill="FDEAE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5CA" w:themeFill="accent2" w:themeFillTint="33"/>
      </w:tcPr>
    </w:tblStylePr>
    <w:tblStylePr w:type="band1Vert">
      <w:tblPr/>
      <w:tcPr>
        <w:shd w:val="clear" w:color="auto" w:fill="F6987B" w:themeFill="accent2" w:themeFillTint="7F"/>
      </w:tcPr>
    </w:tblStylePr>
    <w:tblStylePr w:type="band1Horz">
      <w:tblPr/>
      <w:tcPr>
        <w:tcBorders>
          <w:insideH w:val="single" w:sz="6" w:space="0" w:color="D83D0E" w:themeColor="accent2"/>
          <w:insideV w:val="single" w:sz="6" w:space="0" w:color="D83D0E" w:themeColor="accent2"/>
        </w:tcBorders>
        <w:shd w:val="clear" w:color="auto" w:fill="F6987B"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insideH w:val="single" w:sz="8" w:space="0" w:color="7F7F7F" w:themeColor="accent3"/>
        <w:insideV w:val="single" w:sz="8" w:space="0" w:color="7F7F7F" w:themeColor="accent3"/>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rPr>
      <w:tblPr/>
      <w:tcPr>
        <w:shd w:val="clear" w:color="auto" w:fill="F2F2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3" w:themeFillTint="33"/>
      </w:tcPr>
    </w:tblStylePr>
    <w:tblStylePr w:type="band1Vert">
      <w:tblPr/>
      <w:tcPr>
        <w:shd w:val="clear" w:color="auto" w:fill="BFBFBF" w:themeFill="accent3" w:themeFillTint="7F"/>
      </w:tcPr>
    </w:tblStylePr>
    <w:tblStylePr w:type="band1Horz">
      <w:tblPr/>
      <w:tcPr>
        <w:tcBorders>
          <w:insideH w:val="single" w:sz="6" w:space="0" w:color="7F7F7F" w:themeColor="accent3"/>
          <w:insideV w:val="single" w:sz="6" w:space="0" w:color="7F7F7F" w:themeColor="accent3"/>
        </w:tcBorders>
        <w:shd w:val="clear" w:color="auto" w:fill="BFBFB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insideH w:val="single" w:sz="8" w:space="0" w:color="3F3F3F" w:themeColor="accent4"/>
        <w:insideV w:val="single" w:sz="8" w:space="0" w:color="3F3F3F" w:themeColor="accent4"/>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rPr>
      <w:tblPr/>
      <w:tcPr>
        <w:shd w:val="clear" w:color="auto" w:fill="ECECE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D8D8" w:themeFill="accent4" w:themeFillTint="33"/>
      </w:tcPr>
    </w:tblStylePr>
    <w:tblStylePr w:type="band1Vert">
      <w:tblPr/>
      <w:tcPr>
        <w:shd w:val="clear" w:color="auto" w:fill="9F9F9F" w:themeFill="accent4" w:themeFillTint="7F"/>
      </w:tcPr>
    </w:tblStylePr>
    <w:tblStylePr w:type="band1Horz">
      <w:tblPr/>
      <w:tcPr>
        <w:tcBorders>
          <w:insideH w:val="single" w:sz="6" w:space="0" w:color="3F3F3F" w:themeColor="accent4"/>
          <w:insideV w:val="single" w:sz="6" w:space="0" w:color="3F3F3F" w:themeColor="accent4"/>
        </w:tcBorders>
        <w:shd w:val="clear" w:color="auto" w:fill="9F9F9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insideH w:val="single" w:sz="8" w:space="0" w:color="C0C0C0" w:themeColor="accent5"/>
        <w:insideV w:val="single" w:sz="8" w:space="0" w:color="C0C0C0" w:themeColor="accent5"/>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rPr>
      <w:tblPr/>
      <w:tcPr>
        <w:shd w:val="clear" w:color="auto" w:fill="F8F8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5" w:themeFillTint="33"/>
      </w:tcPr>
    </w:tblStylePr>
    <w:tblStylePr w:type="band1Vert">
      <w:tblPr/>
      <w:tcPr>
        <w:shd w:val="clear" w:color="auto" w:fill="DFDFDF" w:themeFill="accent5" w:themeFillTint="7F"/>
      </w:tcPr>
    </w:tblStylePr>
    <w:tblStylePr w:type="band1Horz">
      <w:tblPr/>
      <w:tcPr>
        <w:tcBorders>
          <w:insideH w:val="single" w:sz="6" w:space="0" w:color="C0C0C0" w:themeColor="accent5"/>
          <w:insideV w:val="single" w:sz="6" w:space="0" w:color="C0C0C0" w:themeColor="accent5"/>
        </w:tcBorders>
        <w:shd w:val="clear" w:color="auto" w:fill="DFDF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insideH w:val="single" w:sz="8" w:space="0" w:color="E6E6E6" w:themeColor="accent6"/>
        <w:insideV w:val="single" w:sz="8" w:space="0" w:color="E6E6E6" w:themeColor="accent6"/>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rPr>
      <w:tblPr/>
      <w:tcPr>
        <w:shd w:val="clear" w:color="auto" w:fill="FCFC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AFA" w:themeFill="accent6" w:themeFillTint="33"/>
      </w:tcPr>
    </w:tblStylePr>
    <w:tblStylePr w:type="band1Vert">
      <w:tblPr/>
      <w:tcPr>
        <w:shd w:val="clear" w:color="auto" w:fill="F2F2F2" w:themeFill="accent6" w:themeFillTint="7F"/>
      </w:tcPr>
    </w:tblStylePr>
    <w:tblStylePr w:type="band1Horz">
      <w:tblPr/>
      <w:tcPr>
        <w:tcBorders>
          <w:insideH w:val="single" w:sz="6" w:space="0" w:color="E6E6E6" w:themeColor="accent6"/>
          <w:insideV w:val="single" w:sz="6" w:space="0" w:color="E6E6E6" w:themeColor="accent6"/>
        </w:tcBorders>
        <w:shd w:val="clear" w:color="auto" w:fill="F2F2F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5328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5328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5328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5328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89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89D6" w:themeFill="accent1" w:themeFillTint="7F"/>
      </w:tcPr>
    </w:tblStylePr>
  </w:style>
  <w:style w:type="table" w:styleId="MediumGrid3-Accent2">
    <w:name w:val="Medium Grid 3 Accent 2"/>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83D0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83D0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83D0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83D0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987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987B" w:themeFill="accent2" w:themeFillTint="7F"/>
      </w:tcPr>
    </w:tblStylePr>
  </w:style>
  <w:style w:type="table" w:styleId="MediumGrid3-Accent3">
    <w:name w:val="Medium Grid 3 Accent 3"/>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7F7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7F7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7F7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7F7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3" w:themeFillTint="7F"/>
      </w:tcPr>
    </w:tblStylePr>
  </w:style>
  <w:style w:type="table" w:styleId="MediumGrid3-Accent4">
    <w:name w:val="Medium Grid 3 Accent 4"/>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F3F3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F3F3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F3F3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F3F3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9F9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9F9F" w:themeFill="accent4" w:themeFillTint="7F"/>
      </w:tcPr>
    </w:tblStylePr>
  </w:style>
  <w:style w:type="table" w:styleId="MediumGrid3-Accent5">
    <w:name w:val="Medium Grid 3 Accent 5"/>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C0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C0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C0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C0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5" w:themeFillTint="7F"/>
      </w:tcPr>
    </w:tblStylePr>
  </w:style>
  <w:style w:type="table" w:styleId="MediumGrid3-Accent6">
    <w:name w:val="Medium Grid 3 Accent 6"/>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E6E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E6E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E6E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E6E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2F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2F2" w:themeFill="accent6" w:themeFillTint="7F"/>
      </w:tcPr>
    </w:tblStylePr>
  </w:style>
  <w:style w:type="table" w:styleId="MediumList1">
    <w:name w:val="Medium List 1"/>
    <w:basedOn w:val="TableNormal"/>
    <w:uiPriority w:val="65"/>
    <w:semiHidden/>
    <w:unhideWhenUsed/>
    <w:rsid w:val="00914935"/>
    <w:rPr>
      <w:rFonts w:eastAsia="MS Mincho"/>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0404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14935"/>
    <w:rPr>
      <w:rFonts w:eastAsia="MS Mincho"/>
      <w:lang w:val="en-GB" w:eastAsia="en-GB"/>
    </w:rPr>
    <w:tblPr>
      <w:tblStyleRowBandSize w:val="1"/>
      <w:tblStyleColBandSize w:val="1"/>
      <w:tblBorders>
        <w:top w:val="single" w:sz="8" w:space="0" w:color="65328F" w:themeColor="accent1"/>
        <w:bottom w:val="single" w:sz="8" w:space="0" w:color="65328F"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65328F" w:themeColor="accent1"/>
        </w:tcBorders>
      </w:tcPr>
    </w:tblStylePr>
    <w:tblStylePr w:type="lastRow">
      <w:rPr>
        <w:b/>
        <w:bCs/>
        <w:color w:val="404040" w:themeColor="text2"/>
      </w:rPr>
      <w:tblPr/>
      <w:tcPr>
        <w:tcBorders>
          <w:top w:val="single" w:sz="8" w:space="0" w:color="65328F" w:themeColor="accent1"/>
          <w:bottom w:val="single" w:sz="8" w:space="0" w:color="65328F" w:themeColor="accent1"/>
        </w:tcBorders>
      </w:tcPr>
    </w:tblStylePr>
    <w:tblStylePr w:type="firstCol">
      <w:rPr>
        <w:b/>
        <w:bCs/>
      </w:rPr>
    </w:tblStylePr>
    <w:tblStylePr w:type="lastCol">
      <w:rPr>
        <w:b/>
        <w:bCs/>
      </w:rPr>
      <w:tblPr/>
      <w:tcPr>
        <w:tcBorders>
          <w:top w:val="single" w:sz="8" w:space="0" w:color="65328F" w:themeColor="accent1"/>
          <w:bottom w:val="single" w:sz="8" w:space="0" w:color="65328F" w:themeColor="accent1"/>
        </w:tcBorders>
      </w:tcPr>
    </w:tblStylePr>
    <w:tblStylePr w:type="band1Vert">
      <w:tblPr/>
      <w:tcPr>
        <w:shd w:val="clear" w:color="auto" w:fill="D9C4EA" w:themeFill="accent1" w:themeFillTint="3F"/>
      </w:tcPr>
    </w:tblStylePr>
    <w:tblStylePr w:type="band1Horz">
      <w:tblPr/>
      <w:tcPr>
        <w:shd w:val="clear" w:color="auto" w:fill="D9C4EA" w:themeFill="accent1" w:themeFillTint="3F"/>
      </w:tcPr>
    </w:tblStylePr>
  </w:style>
  <w:style w:type="table" w:styleId="MediumList1-Accent2">
    <w:name w:val="Medium List 1 Accent 2"/>
    <w:basedOn w:val="TableNormal"/>
    <w:uiPriority w:val="65"/>
    <w:semiHidden/>
    <w:unhideWhenUsed/>
    <w:rsid w:val="00914935"/>
    <w:rPr>
      <w:rFonts w:eastAsia="MS Mincho"/>
      <w:lang w:val="en-GB" w:eastAsia="en-GB"/>
    </w:rPr>
    <w:tblPr>
      <w:tblStyleRowBandSize w:val="1"/>
      <w:tblStyleColBandSize w:val="1"/>
      <w:tblBorders>
        <w:top w:val="single" w:sz="8" w:space="0" w:color="D83D0E" w:themeColor="accent2"/>
        <w:bottom w:val="single" w:sz="8" w:space="0" w:color="D83D0E"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D83D0E" w:themeColor="accent2"/>
        </w:tcBorders>
      </w:tcPr>
    </w:tblStylePr>
    <w:tblStylePr w:type="lastRow">
      <w:rPr>
        <w:b/>
        <w:bCs/>
        <w:color w:val="404040" w:themeColor="text2"/>
      </w:rPr>
      <w:tblPr/>
      <w:tcPr>
        <w:tcBorders>
          <w:top w:val="single" w:sz="8" w:space="0" w:color="D83D0E" w:themeColor="accent2"/>
          <w:bottom w:val="single" w:sz="8" w:space="0" w:color="D83D0E" w:themeColor="accent2"/>
        </w:tcBorders>
      </w:tcPr>
    </w:tblStylePr>
    <w:tblStylePr w:type="firstCol">
      <w:rPr>
        <w:b/>
        <w:bCs/>
      </w:rPr>
    </w:tblStylePr>
    <w:tblStylePr w:type="lastCol">
      <w:rPr>
        <w:b/>
        <w:bCs/>
      </w:rPr>
      <w:tblPr/>
      <w:tcPr>
        <w:tcBorders>
          <w:top w:val="single" w:sz="8" w:space="0" w:color="D83D0E" w:themeColor="accent2"/>
          <w:bottom w:val="single" w:sz="8" w:space="0" w:color="D83D0E" w:themeColor="accent2"/>
        </w:tcBorders>
      </w:tcPr>
    </w:tblStylePr>
    <w:tblStylePr w:type="band1Vert">
      <w:tblPr/>
      <w:tcPr>
        <w:shd w:val="clear" w:color="auto" w:fill="FACBBD" w:themeFill="accent2" w:themeFillTint="3F"/>
      </w:tcPr>
    </w:tblStylePr>
    <w:tblStylePr w:type="band1Horz">
      <w:tblPr/>
      <w:tcPr>
        <w:shd w:val="clear" w:color="auto" w:fill="FACBBD" w:themeFill="accent2" w:themeFillTint="3F"/>
      </w:tcPr>
    </w:tblStylePr>
  </w:style>
  <w:style w:type="table" w:styleId="MediumList1-Accent3">
    <w:name w:val="Medium List 1 Accent 3"/>
    <w:basedOn w:val="TableNormal"/>
    <w:uiPriority w:val="65"/>
    <w:semiHidden/>
    <w:unhideWhenUsed/>
    <w:rsid w:val="00914935"/>
    <w:rPr>
      <w:rFonts w:eastAsia="MS Mincho"/>
      <w:lang w:val="en-GB" w:eastAsia="en-GB"/>
    </w:rPr>
    <w:tblPr>
      <w:tblStyleRowBandSize w:val="1"/>
      <w:tblStyleColBandSize w:val="1"/>
      <w:tblBorders>
        <w:top w:val="single" w:sz="8" w:space="0" w:color="7F7F7F" w:themeColor="accent3"/>
        <w:bottom w:val="single" w:sz="8" w:space="0" w:color="7F7F7F"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7F7F7F" w:themeColor="accent3"/>
        </w:tcBorders>
      </w:tcPr>
    </w:tblStylePr>
    <w:tblStylePr w:type="lastRow">
      <w:rPr>
        <w:b/>
        <w:bCs/>
        <w:color w:val="404040" w:themeColor="text2"/>
      </w:rPr>
      <w:tblPr/>
      <w:tcPr>
        <w:tcBorders>
          <w:top w:val="single" w:sz="8" w:space="0" w:color="7F7F7F" w:themeColor="accent3"/>
          <w:bottom w:val="single" w:sz="8" w:space="0" w:color="7F7F7F" w:themeColor="accent3"/>
        </w:tcBorders>
      </w:tcPr>
    </w:tblStylePr>
    <w:tblStylePr w:type="firstCol">
      <w:rPr>
        <w:b/>
        <w:bCs/>
      </w:rPr>
    </w:tblStylePr>
    <w:tblStylePr w:type="lastCol">
      <w:rPr>
        <w:b/>
        <w:bCs/>
      </w:rPr>
      <w:tblPr/>
      <w:tcPr>
        <w:tcBorders>
          <w:top w:val="single" w:sz="8" w:space="0" w:color="7F7F7F" w:themeColor="accent3"/>
          <w:bottom w:val="single" w:sz="8" w:space="0" w:color="7F7F7F" w:themeColor="accent3"/>
        </w:tcBorders>
      </w:tcPr>
    </w:tblStylePr>
    <w:tblStylePr w:type="band1Vert">
      <w:tblPr/>
      <w:tcPr>
        <w:shd w:val="clear" w:color="auto" w:fill="DFDFDF" w:themeFill="accent3" w:themeFillTint="3F"/>
      </w:tcPr>
    </w:tblStylePr>
    <w:tblStylePr w:type="band1Horz">
      <w:tblPr/>
      <w:tcPr>
        <w:shd w:val="clear" w:color="auto" w:fill="DFDFDF" w:themeFill="accent3" w:themeFillTint="3F"/>
      </w:tcPr>
    </w:tblStylePr>
  </w:style>
  <w:style w:type="table" w:styleId="MediumList1-Accent4">
    <w:name w:val="Medium List 1 Accent 4"/>
    <w:basedOn w:val="TableNormal"/>
    <w:uiPriority w:val="65"/>
    <w:semiHidden/>
    <w:unhideWhenUsed/>
    <w:rsid w:val="00914935"/>
    <w:rPr>
      <w:rFonts w:eastAsia="MS Mincho"/>
      <w:lang w:val="en-GB" w:eastAsia="en-GB"/>
    </w:rPr>
    <w:tblPr>
      <w:tblStyleRowBandSize w:val="1"/>
      <w:tblStyleColBandSize w:val="1"/>
      <w:tblBorders>
        <w:top w:val="single" w:sz="8" w:space="0" w:color="3F3F3F" w:themeColor="accent4"/>
        <w:bottom w:val="single" w:sz="8" w:space="0" w:color="3F3F3F"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3F3F3F" w:themeColor="accent4"/>
        </w:tcBorders>
      </w:tcPr>
    </w:tblStylePr>
    <w:tblStylePr w:type="lastRow">
      <w:rPr>
        <w:b/>
        <w:bCs/>
        <w:color w:val="404040" w:themeColor="text2"/>
      </w:rPr>
      <w:tblPr/>
      <w:tcPr>
        <w:tcBorders>
          <w:top w:val="single" w:sz="8" w:space="0" w:color="3F3F3F" w:themeColor="accent4"/>
          <w:bottom w:val="single" w:sz="8" w:space="0" w:color="3F3F3F" w:themeColor="accent4"/>
        </w:tcBorders>
      </w:tcPr>
    </w:tblStylePr>
    <w:tblStylePr w:type="firstCol">
      <w:rPr>
        <w:b/>
        <w:bCs/>
      </w:rPr>
    </w:tblStylePr>
    <w:tblStylePr w:type="lastCol">
      <w:rPr>
        <w:b/>
        <w:bCs/>
      </w:rPr>
      <w:tblPr/>
      <w:tcPr>
        <w:tcBorders>
          <w:top w:val="single" w:sz="8" w:space="0" w:color="3F3F3F" w:themeColor="accent4"/>
          <w:bottom w:val="single" w:sz="8" w:space="0" w:color="3F3F3F" w:themeColor="accent4"/>
        </w:tcBorders>
      </w:tcPr>
    </w:tblStylePr>
    <w:tblStylePr w:type="band1Vert">
      <w:tblPr/>
      <w:tcPr>
        <w:shd w:val="clear" w:color="auto" w:fill="CFCFCF" w:themeFill="accent4" w:themeFillTint="3F"/>
      </w:tcPr>
    </w:tblStylePr>
    <w:tblStylePr w:type="band1Horz">
      <w:tblPr/>
      <w:tcPr>
        <w:shd w:val="clear" w:color="auto" w:fill="CFCFCF" w:themeFill="accent4" w:themeFillTint="3F"/>
      </w:tcPr>
    </w:tblStylePr>
  </w:style>
  <w:style w:type="table" w:styleId="MediumList1-Accent5">
    <w:name w:val="Medium List 1 Accent 5"/>
    <w:basedOn w:val="TableNormal"/>
    <w:uiPriority w:val="65"/>
    <w:semiHidden/>
    <w:unhideWhenUsed/>
    <w:rsid w:val="00914935"/>
    <w:rPr>
      <w:rFonts w:eastAsia="MS Mincho"/>
      <w:lang w:val="en-GB" w:eastAsia="en-GB"/>
    </w:rPr>
    <w:tblPr>
      <w:tblStyleRowBandSize w:val="1"/>
      <w:tblStyleColBandSize w:val="1"/>
      <w:tblBorders>
        <w:top w:val="single" w:sz="8" w:space="0" w:color="C0C0C0" w:themeColor="accent5"/>
        <w:bottom w:val="single" w:sz="8" w:space="0" w:color="C0C0C0"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C0C0" w:themeColor="accent5"/>
        </w:tcBorders>
      </w:tcPr>
    </w:tblStylePr>
    <w:tblStylePr w:type="lastRow">
      <w:rPr>
        <w:b/>
        <w:bCs/>
        <w:color w:val="404040" w:themeColor="text2"/>
      </w:rPr>
      <w:tblPr/>
      <w:tcPr>
        <w:tcBorders>
          <w:top w:val="single" w:sz="8" w:space="0" w:color="C0C0C0" w:themeColor="accent5"/>
          <w:bottom w:val="single" w:sz="8" w:space="0" w:color="C0C0C0" w:themeColor="accent5"/>
        </w:tcBorders>
      </w:tcPr>
    </w:tblStylePr>
    <w:tblStylePr w:type="firstCol">
      <w:rPr>
        <w:b/>
        <w:bCs/>
      </w:rPr>
    </w:tblStylePr>
    <w:tblStylePr w:type="lastCol">
      <w:rPr>
        <w:b/>
        <w:bCs/>
      </w:rPr>
      <w:tblPr/>
      <w:tcPr>
        <w:tcBorders>
          <w:top w:val="single" w:sz="8" w:space="0" w:color="C0C0C0" w:themeColor="accent5"/>
          <w:bottom w:val="single" w:sz="8" w:space="0" w:color="C0C0C0" w:themeColor="accent5"/>
        </w:tcBorders>
      </w:tcPr>
    </w:tblStylePr>
    <w:tblStylePr w:type="band1Vert">
      <w:tblPr/>
      <w:tcPr>
        <w:shd w:val="clear" w:color="auto" w:fill="EFEFEF" w:themeFill="accent5" w:themeFillTint="3F"/>
      </w:tcPr>
    </w:tblStylePr>
    <w:tblStylePr w:type="band1Horz">
      <w:tblPr/>
      <w:tcPr>
        <w:shd w:val="clear" w:color="auto" w:fill="EFEFEF" w:themeFill="accent5" w:themeFillTint="3F"/>
      </w:tcPr>
    </w:tblStylePr>
  </w:style>
  <w:style w:type="table" w:styleId="MediumList1-Accent6">
    <w:name w:val="Medium List 1 Accent 6"/>
    <w:basedOn w:val="TableNormal"/>
    <w:uiPriority w:val="65"/>
    <w:semiHidden/>
    <w:unhideWhenUsed/>
    <w:rsid w:val="00914935"/>
    <w:rPr>
      <w:rFonts w:eastAsia="MS Mincho"/>
      <w:lang w:val="en-GB" w:eastAsia="en-GB"/>
    </w:rPr>
    <w:tblPr>
      <w:tblStyleRowBandSize w:val="1"/>
      <w:tblStyleColBandSize w:val="1"/>
      <w:tblBorders>
        <w:top w:val="single" w:sz="8" w:space="0" w:color="E6E6E6" w:themeColor="accent6"/>
        <w:bottom w:val="single" w:sz="8" w:space="0" w:color="E6E6E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E6E6E6" w:themeColor="accent6"/>
        </w:tcBorders>
      </w:tcPr>
    </w:tblStylePr>
    <w:tblStylePr w:type="lastRow">
      <w:rPr>
        <w:b/>
        <w:bCs/>
        <w:color w:val="404040" w:themeColor="text2"/>
      </w:rPr>
      <w:tblPr/>
      <w:tcPr>
        <w:tcBorders>
          <w:top w:val="single" w:sz="8" w:space="0" w:color="E6E6E6" w:themeColor="accent6"/>
          <w:bottom w:val="single" w:sz="8" w:space="0" w:color="E6E6E6" w:themeColor="accent6"/>
        </w:tcBorders>
      </w:tcPr>
    </w:tblStylePr>
    <w:tblStylePr w:type="firstCol">
      <w:rPr>
        <w:b/>
        <w:bCs/>
      </w:rPr>
    </w:tblStylePr>
    <w:tblStylePr w:type="lastCol">
      <w:rPr>
        <w:b/>
        <w:bCs/>
      </w:rPr>
      <w:tblPr/>
      <w:tcPr>
        <w:tcBorders>
          <w:top w:val="single" w:sz="8" w:space="0" w:color="E6E6E6" w:themeColor="accent6"/>
          <w:bottom w:val="single" w:sz="8" w:space="0" w:color="E6E6E6" w:themeColor="accent6"/>
        </w:tcBorders>
      </w:tcPr>
    </w:tblStylePr>
    <w:tblStylePr w:type="band1Vert">
      <w:tblPr/>
      <w:tcPr>
        <w:shd w:val="clear" w:color="auto" w:fill="F8F8F8" w:themeFill="accent6" w:themeFillTint="3F"/>
      </w:tcPr>
    </w:tblStylePr>
    <w:tblStylePr w:type="band1Horz">
      <w:tblPr/>
      <w:tcPr>
        <w:shd w:val="clear" w:color="auto" w:fill="F8F8F8" w:themeFill="accent6" w:themeFillTint="3F"/>
      </w:tcPr>
    </w:tblStylePr>
  </w:style>
  <w:style w:type="table" w:styleId="MediumList2">
    <w:name w:val="Medium List 2"/>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65328F" w:themeColor="accent1"/>
          <w:right w:val="nil"/>
          <w:insideH w:val="nil"/>
          <w:insideV w:val="nil"/>
        </w:tcBorders>
        <w:shd w:val="clear" w:color="auto" w:fill="FFFFFF" w:themeFill="background1"/>
      </w:tcPr>
    </w:tblStylePr>
    <w:tblStylePr w:type="lastRow">
      <w:tblPr/>
      <w:tcPr>
        <w:tcBorders>
          <w:top w:val="single" w:sz="8" w:space="0" w:color="65328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5328F" w:themeColor="accent1"/>
          <w:insideH w:val="nil"/>
          <w:insideV w:val="nil"/>
        </w:tcBorders>
        <w:shd w:val="clear" w:color="auto" w:fill="FFFFFF" w:themeFill="background1"/>
      </w:tcPr>
    </w:tblStylePr>
    <w:tblStylePr w:type="lastCol">
      <w:tblPr/>
      <w:tcPr>
        <w:tcBorders>
          <w:top w:val="nil"/>
          <w:left w:val="single" w:sz="8" w:space="0" w:color="65328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C4EA" w:themeFill="accent1" w:themeFillTint="3F"/>
      </w:tcPr>
    </w:tblStylePr>
    <w:tblStylePr w:type="band1Horz">
      <w:tblPr/>
      <w:tcPr>
        <w:tcBorders>
          <w:top w:val="nil"/>
          <w:bottom w:val="nil"/>
          <w:insideH w:val="nil"/>
          <w:insideV w:val="nil"/>
        </w:tcBorders>
        <w:shd w:val="clear" w:color="auto" w:fill="D9C4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tblPr/>
      <w:tcPr>
        <w:tcBorders>
          <w:top w:val="single" w:sz="8" w:space="0" w:color="D83D0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83D0E" w:themeColor="accent2"/>
          <w:insideH w:val="nil"/>
          <w:insideV w:val="nil"/>
        </w:tcBorders>
        <w:shd w:val="clear" w:color="auto" w:fill="FFFFFF" w:themeFill="background1"/>
      </w:tcPr>
    </w:tblStylePr>
    <w:tblStylePr w:type="lastCol">
      <w:tblPr/>
      <w:tcPr>
        <w:tcBorders>
          <w:top w:val="nil"/>
          <w:left w:val="single" w:sz="8" w:space="0" w:color="D83D0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BBD" w:themeFill="accent2" w:themeFillTint="3F"/>
      </w:tcPr>
    </w:tblStylePr>
    <w:tblStylePr w:type="band1Horz">
      <w:tblPr/>
      <w:tcPr>
        <w:tcBorders>
          <w:top w:val="nil"/>
          <w:bottom w:val="nil"/>
          <w:insideH w:val="nil"/>
          <w:insideV w:val="nil"/>
        </w:tcBorders>
        <w:shd w:val="clear" w:color="auto" w:fill="FACBB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7F7F7F" w:themeColor="accent3"/>
          <w:right w:val="nil"/>
          <w:insideH w:val="nil"/>
          <w:insideV w:val="nil"/>
        </w:tcBorders>
        <w:shd w:val="clear" w:color="auto" w:fill="FFFFFF" w:themeFill="background1"/>
      </w:tcPr>
    </w:tblStylePr>
    <w:tblStylePr w:type="lastRow">
      <w:tblPr/>
      <w:tcPr>
        <w:tcBorders>
          <w:top w:val="single" w:sz="8" w:space="0" w:color="7F7F7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7F7F" w:themeColor="accent3"/>
          <w:insideH w:val="nil"/>
          <w:insideV w:val="nil"/>
        </w:tcBorders>
        <w:shd w:val="clear" w:color="auto" w:fill="FFFFFF" w:themeFill="background1"/>
      </w:tcPr>
    </w:tblStylePr>
    <w:tblStylePr w:type="lastCol">
      <w:tblPr/>
      <w:tcPr>
        <w:tcBorders>
          <w:top w:val="nil"/>
          <w:left w:val="single" w:sz="8" w:space="0" w:color="7F7F7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3" w:themeFillTint="3F"/>
      </w:tcPr>
    </w:tblStylePr>
    <w:tblStylePr w:type="band1Horz">
      <w:tblPr/>
      <w:tcPr>
        <w:tcBorders>
          <w:top w:val="nil"/>
          <w:bottom w:val="nil"/>
          <w:insideH w:val="nil"/>
          <w:insideV w:val="nil"/>
        </w:tcBorders>
        <w:shd w:val="clear" w:color="auto" w:fill="DFDFD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3F3F3F" w:themeColor="accent4"/>
          <w:right w:val="nil"/>
          <w:insideH w:val="nil"/>
          <w:insideV w:val="nil"/>
        </w:tcBorders>
        <w:shd w:val="clear" w:color="auto" w:fill="FFFFFF" w:themeFill="background1"/>
      </w:tcPr>
    </w:tblStylePr>
    <w:tblStylePr w:type="lastRow">
      <w:tblPr/>
      <w:tcPr>
        <w:tcBorders>
          <w:top w:val="single" w:sz="8" w:space="0" w:color="3F3F3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F3F3F" w:themeColor="accent4"/>
          <w:insideH w:val="nil"/>
          <w:insideV w:val="nil"/>
        </w:tcBorders>
        <w:shd w:val="clear" w:color="auto" w:fill="FFFFFF" w:themeFill="background1"/>
      </w:tcPr>
    </w:tblStylePr>
    <w:tblStylePr w:type="lastCol">
      <w:tblPr/>
      <w:tcPr>
        <w:tcBorders>
          <w:top w:val="nil"/>
          <w:left w:val="single" w:sz="8" w:space="0" w:color="3F3F3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F" w:themeFill="accent4" w:themeFillTint="3F"/>
      </w:tcPr>
    </w:tblStylePr>
    <w:tblStylePr w:type="band1Horz">
      <w:tblPr/>
      <w:tcPr>
        <w:tcBorders>
          <w:top w:val="nil"/>
          <w:bottom w:val="nil"/>
          <w:insideH w:val="nil"/>
          <w:insideV w:val="nil"/>
        </w:tcBorders>
        <w:shd w:val="clear" w:color="auto" w:fill="CFCFC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C0C0" w:themeColor="accent5"/>
          <w:right w:val="nil"/>
          <w:insideH w:val="nil"/>
          <w:insideV w:val="nil"/>
        </w:tcBorders>
        <w:shd w:val="clear" w:color="auto" w:fill="FFFFFF" w:themeFill="background1"/>
      </w:tcPr>
    </w:tblStylePr>
    <w:tblStylePr w:type="lastRow">
      <w:tblPr/>
      <w:tcPr>
        <w:tcBorders>
          <w:top w:val="single" w:sz="8" w:space="0" w:color="C0C0C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C0C0" w:themeColor="accent5"/>
          <w:insideH w:val="nil"/>
          <w:insideV w:val="nil"/>
        </w:tcBorders>
        <w:shd w:val="clear" w:color="auto" w:fill="FFFFFF" w:themeFill="background1"/>
      </w:tcPr>
    </w:tblStylePr>
    <w:tblStylePr w:type="lastCol">
      <w:tblPr/>
      <w:tcPr>
        <w:tcBorders>
          <w:top w:val="nil"/>
          <w:left w:val="single" w:sz="8" w:space="0" w:color="C0C0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5" w:themeFillTint="3F"/>
      </w:tcPr>
    </w:tblStylePr>
    <w:tblStylePr w:type="band1Horz">
      <w:tblPr/>
      <w:tcPr>
        <w:tcBorders>
          <w:top w:val="nil"/>
          <w:bottom w:val="nil"/>
          <w:insideH w:val="nil"/>
          <w:insideV w:val="nil"/>
        </w:tcBorders>
        <w:shd w:val="clear" w:color="auto" w:fill="EFEF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E6E6E6" w:themeColor="accent6"/>
          <w:right w:val="nil"/>
          <w:insideH w:val="nil"/>
          <w:insideV w:val="nil"/>
        </w:tcBorders>
        <w:shd w:val="clear" w:color="auto" w:fill="FFFFFF" w:themeFill="background1"/>
      </w:tcPr>
    </w:tblStylePr>
    <w:tblStylePr w:type="lastRow">
      <w:tblPr/>
      <w:tcPr>
        <w:tcBorders>
          <w:top w:val="single" w:sz="8" w:space="0" w:color="E6E6E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E6E6" w:themeColor="accent6"/>
          <w:insideH w:val="nil"/>
          <w:insideV w:val="nil"/>
        </w:tcBorders>
        <w:shd w:val="clear" w:color="auto" w:fill="FFFFFF" w:themeFill="background1"/>
      </w:tcPr>
    </w:tblStylePr>
    <w:tblStylePr w:type="lastCol">
      <w:tblPr/>
      <w:tcPr>
        <w:tcBorders>
          <w:top w:val="nil"/>
          <w:left w:val="single" w:sz="8" w:space="0" w:color="E6E6E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top w:val="nil"/>
          <w:bottom w:val="nil"/>
          <w:insideH w:val="nil"/>
          <w:insideV w:val="nil"/>
        </w:tcBorders>
        <w:shd w:val="clear" w:color="auto" w:fill="F8F8F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14935"/>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14935"/>
    <w:rPr>
      <w:rFonts w:eastAsia="MS Mincho"/>
      <w:lang w:val="en-GB" w:eastAsia="en-GB"/>
    </w:rPr>
    <w:tblPr>
      <w:tblStyleRowBandSize w:val="1"/>
      <w:tblStyleColBandSize w:val="1"/>
      <w:tbl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single" w:sz="8" w:space="0" w:color="8D4EC1"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nil"/>
          <w:insideV w:val="nil"/>
        </w:tcBorders>
        <w:shd w:val="clear" w:color="auto" w:fill="65328F" w:themeFill="accent1"/>
      </w:tcPr>
    </w:tblStylePr>
    <w:tblStylePr w:type="lastRow">
      <w:pPr>
        <w:spacing w:before="0" w:after="0" w:line="240" w:lineRule="auto"/>
      </w:pPr>
      <w:rPr>
        <w:b/>
        <w:bCs/>
      </w:rPr>
      <w:tblPr/>
      <w:tcPr>
        <w:tcBorders>
          <w:top w:val="double" w:sz="6"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C4EA" w:themeFill="accent1" w:themeFillTint="3F"/>
      </w:tcPr>
    </w:tblStylePr>
    <w:tblStylePr w:type="band1Horz">
      <w:tblPr/>
      <w:tcPr>
        <w:tcBorders>
          <w:insideH w:val="nil"/>
          <w:insideV w:val="nil"/>
        </w:tcBorders>
        <w:shd w:val="clear" w:color="auto" w:fill="D9C4E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14935"/>
    <w:rPr>
      <w:rFonts w:eastAsia="MS Mincho"/>
      <w:lang w:val="en-GB" w:eastAsia="en-GB"/>
    </w:rPr>
    <w:tblPr>
      <w:tblStyleRowBandSize w:val="1"/>
      <w:tblStyleColBandSize w:val="1"/>
      <w:tbl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single" w:sz="8" w:space="0" w:color="F2643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nil"/>
          <w:insideV w:val="nil"/>
        </w:tcBorders>
        <w:shd w:val="clear" w:color="auto" w:fill="D83D0E" w:themeFill="accent2"/>
      </w:tcPr>
    </w:tblStylePr>
    <w:tblStylePr w:type="lastRow">
      <w:pPr>
        <w:spacing w:before="0" w:after="0" w:line="240" w:lineRule="auto"/>
      </w:pPr>
      <w:rPr>
        <w:b/>
        <w:bCs/>
      </w:rPr>
      <w:tblPr/>
      <w:tcPr>
        <w:tcBorders>
          <w:top w:val="double" w:sz="6"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CBBD" w:themeFill="accent2" w:themeFillTint="3F"/>
      </w:tcPr>
    </w:tblStylePr>
    <w:tblStylePr w:type="band1Horz">
      <w:tblPr/>
      <w:tcPr>
        <w:tcBorders>
          <w:insideH w:val="nil"/>
          <w:insideV w:val="nil"/>
        </w:tcBorders>
        <w:shd w:val="clear" w:color="auto" w:fill="FACBB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14935"/>
    <w:rPr>
      <w:rFonts w:eastAsia="MS Mincho"/>
      <w:lang w:val="en-GB" w:eastAsia="en-GB"/>
    </w:rPr>
    <w:tblPr>
      <w:tblStyleRowBandSize w:val="1"/>
      <w:tblStyleColBandSize w:val="1"/>
      <w:tbl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single" w:sz="8" w:space="0" w:color="9F9F9F"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nil"/>
          <w:insideV w:val="nil"/>
        </w:tcBorders>
        <w:shd w:val="clear" w:color="auto" w:fill="7F7F7F" w:themeFill="accent3"/>
      </w:tcPr>
    </w:tblStylePr>
    <w:tblStylePr w:type="lastRow">
      <w:pPr>
        <w:spacing w:before="0" w:after="0" w:line="240" w:lineRule="auto"/>
      </w:pPr>
      <w:rPr>
        <w:b/>
        <w:bCs/>
      </w:rPr>
      <w:tblPr/>
      <w:tcPr>
        <w:tcBorders>
          <w:top w:val="double" w:sz="6"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3" w:themeFillTint="3F"/>
      </w:tcPr>
    </w:tblStylePr>
    <w:tblStylePr w:type="band1Horz">
      <w:tblPr/>
      <w:tcPr>
        <w:tcBorders>
          <w:insideH w:val="nil"/>
          <w:insideV w:val="nil"/>
        </w:tcBorders>
        <w:shd w:val="clear" w:color="auto" w:fill="DFDFD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14935"/>
    <w:rPr>
      <w:rFonts w:eastAsia="MS Mincho"/>
      <w:lang w:val="en-GB" w:eastAsia="en-GB"/>
    </w:rPr>
    <w:tblPr>
      <w:tblStyleRowBandSize w:val="1"/>
      <w:tblStyleColBandSize w:val="1"/>
      <w:tbl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single" w:sz="8" w:space="0" w:color="6F6F6F"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nil"/>
          <w:insideV w:val="nil"/>
        </w:tcBorders>
        <w:shd w:val="clear" w:color="auto" w:fill="3F3F3F" w:themeFill="accent4"/>
      </w:tcPr>
    </w:tblStylePr>
    <w:tblStylePr w:type="lastRow">
      <w:pPr>
        <w:spacing w:before="0" w:after="0" w:line="240" w:lineRule="auto"/>
      </w:pPr>
      <w:rPr>
        <w:b/>
        <w:bCs/>
      </w:rPr>
      <w:tblPr/>
      <w:tcPr>
        <w:tcBorders>
          <w:top w:val="double" w:sz="6"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nil"/>
          <w:insideV w:val="nil"/>
        </w:tcBorders>
      </w:tcPr>
    </w:tblStylePr>
    <w:tblStylePr w:type="firstCol">
      <w:rPr>
        <w:b/>
        <w:bCs/>
      </w:rPr>
    </w:tblStylePr>
    <w:tblStylePr w:type="lastCol">
      <w:rPr>
        <w:b/>
        <w:bCs/>
      </w:rPr>
    </w:tblStylePr>
    <w:tblStylePr w:type="band1Vert">
      <w:tblPr/>
      <w:tcPr>
        <w:shd w:val="clear" w:color="auto" w:fill="CFCFCF" w:themeFill="accent4" w:themeFillTint="3F"/>
      </w:tcPr>
    </w:tblStylePr>
    <w:tblStylePr w:type="band1Horz">
      <w:tblPr/>
      <w:tcPr>
        <w:tcBorders>
          <w:insideH w:val="nil"/>
          <w:insideV w:val="nil"/>
        </w:tcBorders>
        <w:shd w:val="clear" w:color="auto" w:fill="CFCFC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14935"/>
    <w:rPr>
      <w:rFonts w:eastAsia="MS Mincho"/>
      <w:lang w:val="en-GB" w:eastAsia="en-GB"/>
    </w:rPr>
    <w:tblPr>
      <w:tblStyleRowBandSize w:val="1"/>
      <w:tblStyleColBandSize w:val="1"/>
      <w:tbl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single" w:sz="8" w:space="0" w:color="CFCFCF"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nil"/>
          <w:insideV w:val="nil"/>
        </w:tcBorders>
        <w:shd w:val="clear" w:color="auto" w:fill="C0C0C0" w:themeFill="accent5"/>
      </w:tcPr>
    </w:tblStylePr>
    <w:tblStylePr w:type="lastRow">
      <w:pPr>
        <w:spacing w:before="0" w:after="0" w:line="240" w:lineRule="auto"/>
      </w:pPr>
      <w:rPr>
        <w:b/>
        <w:bCs/>
      </w:rPr>
      <w:tblPr/>
      <w:tcPr>
        <w:tcBorders>
          <w:top w:val="double" w:sz="6"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5" w:themeFillTint="3F"/>
      </w:tcPr>
    </w:tblStylePr>
    <w:tblStylePr w:type="band1Horz">
      <w:tblPr/>
      <w:tcPr>
        <w:tcBorders>
          <w:insideH w:val="nil"/>
          <w:insideV w:val="nil"/>
        </w:tcBorders>
        <w:shd w:val="clear" w:color="auto" w:fill="EFEF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14935"/>
    <w:rPr>
      <w:rFonts w:eastAsia="MS Mincho"/>
      <w:lang w:val="en-GB" w:eastAsia="en-GB"/>
    </w:rPr>
    <w:tblPr>
      <w:tblStyleRowBandSize w:val="1"/>
      <w:tblStyleColBandSize w:val="1"/>
      <w:tbl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single" w:sz="8" w:space="0" w:color="ECECEC"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nil"/>
          <w:insideV w:val="nil"/>
        </w:tcBorders>
        <w:shd w:val="clear" w:color="auto" w:fill="E6E6E6" w:themeFill="accent6"/>
      </w:tcPr>
    </w:tblStylePr>
    <w:tblStylePr w:type="lastRow">
      <w:pPr>
        <w:spacing w:before="0" w:after="0" w:line="240" w:lineRule="auto"/>
      </w:pPr>
      <w:rPr>
        <w:b/>
        <w:bCs/>
      </w:rPr>
      <w:tblPr/>
      <w:tcPr>
        <w:tcBorders>
          <w:top w:val="double" w:sz="6"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F8F8" w:themeFill="accent6" w:themeFillTint="3F"/>
      </w:tcPr>
    </w:tblStylePr>
    <w:tblStylePr w:type="band1Horz">
      <w:tblPr/>
      <w:tcPr>
        <w:tcBorders>
          <w:insideH w:val="nil"/>
          <w:insideV w:val="nil"/>
        </w:tcBorders>
        <w:shd w:val="clear" w:color="auto" w:fill="F8F8F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65328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5328F" w:themeFill="accent1"/>
      </w:tcPr>
    </w:tblStylePr>
    <w:tblStylePr w:type="lastCol">
      <w:rPr>
        <w:b/>
        <w:bCs/>
        <w:color w:val="FFFFFF" w:themeColor="background1"/>
      </w:rPr>
      <w:tblPr/>
      <w:tcPr>
        <w:tcBorders>
          <w:left w:val="nil"/>
          <w:right w:val="nil"/>
          <w:insideH w:val="nil"/>
          <w:insideV w:val="nil"/>
        </w:tcBorders>
        <w:shd w:val="clear" w:color="auto" w:fill="65328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D83D0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83D0E" w:themeFill="accent2"/>
      </w:tcPr>
    </w:tblStylePr>
    <w:tblStylePr w:type="lastCol">
      <w:rPr>
        <w:b/>
        <w:bCs/>
        <w:color w:val="FFFFFF" w:themeColor="background1"/>
      </w:rPr>
      <w:tblPr/>
      <w:tcPr>
        <w:tcBorders>
          <w:left w:val="nil"/>
          <w:right w:val="nil"/>
          <w:insideH w:val="nil"/>
          <w:insideV w:val="nil"/>
        </w:tcBorders>
        <w:shd w:val="clear" w:color="auto" w:fill="D83D0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7F7F7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F7F7F" w:themeFill="accent3"/>
      </w:tcPr>
    </w:tblStylePr>
    <w:tblStylePr w:type="lastCol">
      <w:rPr>
        <w:b/>
        <w:bCs/>
        <w:color w:val="FFFFFF" w:themeColor="background1"/>
      </w:rPr>
      <w:tblPr/>
      <w:tcPr>
        <w:tcBorders>
          <w:left w:val="nil"/>
          <w:right w:val="nil"/>
          <w:insideH w:val="nil"/>
          <w:insideV w:val="nil"/>
        </w:tcBorders>
        <w:shd w:val="clear" w:color="auto" w:fill="7F7F7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3F3F3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F3F3F" w:themeFill="accent4"/>
      </w:tcPr>
    </w:tblStylePr>
    <w:tblStylePr w:type="lastCol">
      <w:rPr>
        <w:b/>
        <w:bCs/>
        <w:color w:val="FFFFFF" w:themeColor="background1"/>
      </w:rPr>
      <w:tblPr/>
      <w:tcPr>
        <w:tcBorders>
          <w:left w:val="nil"/>
          <w:right w:val="nil"/>
          <w:insideH w:val="nil"/>
          <w:insideV w:val="nil"/>
        </w:tcBorders>
        <w:shd w:val="clear" w:color="auto" w:fill="3F3F3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C0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C0C0" w:themeFill="accent5"/>
      </w:tcPr>
    </w:tblStylePr>
    <w:tblStylePr w:type="lastCol">
      <w:rPr>
        <w:b/>
        <w:bCs/>
        <w:color w:val="FFFFFF" w:themeColor="background1"/>
      </w:rPr>
      <w:tblPr/>
      <w:tcPr>
        <w:tcBorders>
          <w:left w:val="nil"/>
          <w:right w:val="nil"/>
          <w:insideH w:val="nil"/>
          <w:insideV w:val="nil"/>
        </w:tcBorders>
        <w:shd w:val="clear" w:color="auto" w:fill="C0C0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E6E6E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E6E6" w:themeFill="accent6"/>
      </w:tcPr>
    </w:tblStylePr>
    <w:tblStylePr w:type="lastCol">
      <w:rPr>
        <w:b/>
        <w:bCs/>
        <w:color w:val="FFFFFF" w:themeColor="background1"/>
      </w:rPr>
      <w:tblPr/>
      <w:tcPr>
        <w:tcBorders>
          <w:left w:val="nil"/>
          <w:right w:val="nil"/>
          <w:insideH w:val="nil"/>
          <w:insideV w:val="nil"/>
        </w:tcBorders>
        <w:shd w:val="clear" w:color="auto" w:fill="E6E6E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91493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914935"/>
    <w:rPr>
      <w:rFonts w:asciiTheme="majorHAnsi" w:eastAsiaTheme="majorEastAsia" w:hAnsiTheme="majorHAnsi" w:cstheme="majorBidi"/>
      <w:color w:val="404040" w:themeColor="text2"/>
      <w:sz w:val="20"/>
      <w:szCs w:val="24"/>
      <w:shd w:val="pct20" w:color="auto" w:fill="auto"/>
    </w:rPr>
  </w:style>
  <w:style w:type="paragraph" w:styleId="NormalWeb">
    <w:name w:val="Normal (Web)"/>
    <w:basedOn w:val="Normal"/>
    <w:uiPriority w:val="99"/>
    <w:semiHidden/>
    <w:unhideWhenUsed/>
    <w:rsid w:val="00914935"/>
  </w:style>
  <w:style w:type="paragraph" w:styleId="NoteHeading">
    <w:name w:val="Note Heading"/>
    <w:basedOn w:val="Normal"/>
    <w:next w:val="Normal"/>
    <w:link w:val="NoteHeadingChar"/>
    <w:uiPriority w:val="99"/>
    <w:semiHidden/>
    <w:unhideWhenUsed/>
    <w:rsid w:val="00914935"/>
  </w:style>
  <w:style w:type="character" w:customStyle="1" w:styleId="NoteHeadingChar">
    <w:name w:val="Note Heading Char"/>
    <w:basedOn w:val="DefaultParagraphFont"/>
    <w:link w:val="NoteHeading"/>
    <w:uiPriority w:val="99"/>
    <w:semiHidden/>
    <w:rsid w:val="00914935"/>
    <w:rPr>
      <w:color w:val="404040" w:themeColor="text2"/>
      <w:sz w:val="20"/>
    </w:rPr>
  </w:style>
  <w:style w:type="character" w:styleId="PlaceholderText">
    <w:name w:val="Placeholder Text"/>
    <w:basedOn w:val="DefaultParagraphFont"/>
    <w:uiPriority w:val="99"/>
    <w:semiHidden/>
    <w:rsid w:val="00914935"/>
    <w:rPr>
      <w:color w:val="808080"/>
    </w:rPr>
  </w:style>
  <w:style w:type="paragraph" w:styleId="PlainText">
    <w:name w:val="Plain Text"/>
    <w:basedOn w:val="Normal"/>
    <w:link w:val="PlainTextChar"/>
    <w:uiPriority w:val="99"/>
    <w:semiHidden/>
    <w:unhideWhenUsed/>
    <w:rsid w:val="00914935"/>
    <w:rPr>
      <w:rFonts w:ascii="Consolas" w:hAnsi="Consolas" w:cs="Consolas"/>
      <w:sz w:val="21"/>
      <w:szCs w:val="21"/>
    </w:rPr>
  </w:style>
  <w:style w:type="character" w:customStyle="1" w:styleId="PlainTextChar">
    <w:name w:val="Plain Text Char"/>
    <w:basedOn w:val="DefaultParagraphFont"/>
    <w:link w:val="PlainText"/>
    <w:uiPriority w:val="99"/>
    <w:semiHidden/>
    <w:rsid w:val="00914935"/>
    <w:rPr>
      <w:rFonts w:ascii="Consolas" w:hAnsi="Consolas" w:cs="Consolas"/>
      <w:color w:val="404040" w:themeColor="text2"/>
      <w:sz w:val="21"/>
      <w:szCs w:val="21"/>
    </w:rPr>
  </w:style>
  <w:style w:type="paragraph" w:customStyle="1" w:styleId="Heading1NoNumber">
    <w:name w:val="Heading 1 No Number"/>
    <w:basedOn w:val="Heading1"/>
    <w:next w:val="Normal"/>
    <w:uiPriority w:val="1"/>
    <w:semiHidden/>
    <w:qFormat/>
    <w:rsid w:val="00FD1154"/>
    <w:pPr>
      <w:keepLines/>
      <w:adjustRightInd w:val="0"/>
      <w:snapToGrid w:val="0"/>
    </w:pPr>
    <w:rPr>
      <w:rFonts w:eastAsia="SimSun" w:cstheme="majorHAnsi"/>
      <w:bCs/>
      <w:kern w:val="32"/>
      <w:lang w:eastAsia="en-GB"/>
    </w:rPr>
  </w:style>
  <w:style w:type="paragraph" w:styleId="Signature">
    <w:name w:val="Signature"/>
    <w:basedOn w:val="Normal"/>
    <w:link w:val="SignatureChar"/>
    <w:uiPriority w:val="99"/>
    <w:semiHidden/>
    <w:unhideWhenUsed/>
    <w:rsid w:val="00914935"/>
    <w:pPr>
      <w:ind w:left="4252"/>
    </w:pPr>
  </w:style>
  <w:style w:type="character" w:customStyle="1" w:styleId="SignatureChar">
    <w:name w:val="Signature Char"/>
    <w:basedOn w:val="DefaultParagraphFont"/>
    <w:link w:val="Signature"/>
    <w:uiPriority w:val="99"/>
    <w:semiHidden/>
    <w:rsid w:val="00914935"/>
    <w:rPr>
      <w:color w:val="404040" w:themeColor="text2"/>
      <w:sz w:val="20"/>
    </w:rPr>
  </w:style>
  <w:style w:type="character" w:styleId="Strong">
    <w:name w:val="Strong"/>
    <w:basedOn w:val="DefaultParagraphFont"/>
    <w:uiPriority w:val="22"/>
    <w:qFormat/>
    <w:rsid w:val="00914935"/>
    <w:rPr>
      <w:b/>
      <w:bCs/>
    </w:rPr>
  </w:style>
  <w:style w:type="paragraph" w:styleId="Subtitle">
    <w:name w:val="Subtitle"/>
    <w:basedOn w:val="Normal"/>
    <w:next w:val="Normal"/>
    <w:link w:val="SubtitleChar"/>
    <w:uiPriority w:val="1"/>
    <w:rsid w:val="00664E56"/>
    <w:pPr>
      <w:numPr>
        <w:ilvl w:val="1"/>
      </w:numPr>
      <w:spacing w:after="120" w:line="400" w:lineRule="atLeast"/>
    </w:pPr>
    <w:rPr>
      <w:rFonts w:eastAsiaTheme="majorEastAsia" w:cstheme="majorBidi"/>
      <w:b/>
      <w:iCs/>
      <w:color w:val="58595B"/>
      <w:spacing w:val="4"/>
      <w:sz w:val="44"/>
      <w:szCs w:val="44"/>
    </w:rPr>
  </w:style>
  <w:style w:type="character" w:customStyle="1" w:styleId="SubtitleChar">
    <w:name w:val="Subtitle Char"/>
    <w:basedOn w:val="DefaultParagraphFont"/>
    <w:link w:val="Subtitle"/>
    <w:uiPriority w:val="1"/>
    <w:rsid w:val="00664E56"/>
    <w:rPr>
      <w:rFonts w:ascii="Montserrat" w:eastAsiaTheme="majorEastAsia" w:hAnsi="Montserrat" w:cstheme="majorBidi"/>
      <w:b/>
      <w:iCs/>
      <w:color w:val="58595B"/>
      <w:spacing w:val="4"/>
      <w:sz w:val="44"/>
      <w:szCs w:val="44"/>
    </w:rPr>
  </w:style>
  <w:style w:type="character" w:styleId="SubtleEmphasis">
    <w:name w:val="Subtle Emphasis"/>
    <w:basedOn w:val="DefaultParagraphFont"/>
    <w:uiPriority w:val="19"/>
    <w:semiHidden/>
    <w:rsid w:val="00914935"/>
    <w:rPr>
      <w:i/>
      <w:iCs/>
      <w:color w:val="808080" w:themeColor="text1" w:themeTint="7F"/>
    </w:rPr>
  </w:style>
  <w:style w:type="character" w:styleId="SubtleReference">
    <w:name w:val="Subtle Reference"/>
    <w:basedOn w:val="DefaultParagraphFont"/>
    <w:uiPriority w:val="31"/>
    <w:semiHidden/>
    <w:rsid w:val="00914935"/>
    <w:rPr>
      <w:smallCaps/>
      <w:color w:val="D83D0E" w:themeColor="accent2"/>
      <w:u w:val="single"/>
    </w:rPr>
  </w:style>
  <w:style w:type="table" w:styleId="Table3Deffects1">
    <w:name w:val="Table 3D effects 1"/>
    <w:basedOn w:val="TableNormal"/>
    <w:uiPriority w:val="99"/>
    <w:semiHidden/>
    <w:unhideWhenUsed/>
    <w:rsid w:val="00914935"/>
    <w:pPr>
      <w:adjustRightInd w:val="0"/>
      <w:snapToGrid w:val="0"/>
      <w:spacing w:line="240" w:lineRule="atLeast"/>
    </w:pPr>
    <w:rPr>
      <w:rFonts w:eastAsia="MS Mincho"/>
      <w:lang w:val="en-GB" w:eastAsia="en-GB"/>
    </w:rPr>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14935"/>
    <w:pPr>
      <w:adjustRightInd w:val="0"/>
      <w:snapToGrid w:val="0"/>
      <w:spacing w:line="240" w:lineRule="atLeast"/>
    </w:pPr>
    <w:rPr>
      <w:rFonts w:eastAsia="MS Mincho"/>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914935"/>
    <w:pPr>
      <w:adjustRightInd w:val="0"/>
      <w:snapToGrid w:val="0"/>
      <w:spacing w:line="240" w:lineRule="atLeast"/>
    </w:pPr>
    <w:rPr>
      <w:rFonts w:eastAsia="MS Mincho"/>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914935"/>
    <w:pPr>
      <w:adjustRightInd w:val="0"/>
      <w:snapToGrid w:val="0"/>
      <w:spacing w:line="240" w:lineRule="atLeast"/>
    </w:pPr>
    <w:rPr>
      <w:rFonts w:eastAsia="MS Mincho"/>
      <w:lang w:val="en-GB" w:eastAsia="en-GB"/>
    </w:r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14935"/>
    <w:pPr>
      <w:adjustRightInd w:val="0"/>
      <w:snapToGrid w:val="0"/>
      <w:spacing w:line="240" w:lineRule="atLeast"/>
    </w:pPr>
    <w:rPr>
      <w:rFonts w:eastAsia="MS Mincho"/>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14935"/>
    <w:pPr>
      <w:adjustRightInd w:val="0"/>
      <w:snapToGrid w:val="0"/>
      <w:spacing w:line="240" w:lineRule="atLeast"/>
    </w:pPr>
    <w:rPr>
      <w:rFonts w:eastAsia="MS Mincho"/>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14935"/>
    <w:pPr>
      <w:adjustRightInd w:val="0"/>
      <w:snapToGrid w:val="0"/>
      <w:spacing w:line="240" w:lineRule="atLeast"/>
    </w:pPr>
    <w:rPr>
      <w:rFonts w:eastAsia="MS Mincho"/>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14935"/>
    <w:pPr>
      <w:adjustRightInd w:val="0"/>
      <w:snapToGrid w:val="0"/>
      <w:spacing w:line="240" w:lineRule="atLeast"/>
    </w:pPr>
    <w:rPr>
      <w:rFonts w:eastAsia="MS Mincho"/>
      <w:lang w:val="en-GB" w:eastAsia="en-GB"/>
    </w:r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14935"/>
    <w:pPr>
      <w:adjustRightInd w:val="0"/>
      <w:snapToGrid w:val="0"/>
      <w:spacing w:line="240" w:lineRule="atLeast"/>
    </w:pPr>
    <w:rPr>
      <w:rFonts w:eastAsia="MS Mincho"/>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14935"/>
    <w:pPr>
      <w:adjustRightInd w:val="0"/>
      <w:snapToGrid w:val="0"/>
      <w:spacing w:line="240" w:lineRule="atLeast"/>
    </w:pPr>
    <w:rPr>
      <w:rFonts w:eastAsia="MS Mincho"/>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14935"/>
    <w:pPr>
      <w:adjustRightInd w:val="0"/>
      <w:snapToGrid w:val="0"/>
      <w:spacing w:line="240" w:lineRule="atLeast"/>
    </w:pPr>
    <w:rPr>
      <w:rFonts w:eastAsia="MS Mincho"/>
      <w:lang w:val="en-GB" w:eastAsia="en-GB"/>
    </w:r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14935"/>
    <w:pPr>
      <w:ind w:left="240" w:hanging="240"/>
    </w:pPr>
  </w:style>
  <w:style w:type="paragraph" w:styleId="TableofFigures">
    <w:name w:val="table of figures"/>
    <w:basedOn w:val="TOC1"/>
    <w:next w:val="Normal"/>
    <w:uiPriority w:val="99"/>
    <w:semiHidden/>
    <w:rsid w:val="00914935"/>
    <w:pPr>
      <w:widowControl/>
      <w:tabs>
        <w:tab w:val="right" w:pos="9923"/>
      </w:tabs>
      <w:adjustRightInd w:val="0"/>
      <w:snapToGrid w:val="0"/>
      <w:spacing w:line="260" w:lineRule="atLeast"/>
      <w:ind w:left="1134" w:hanging="1134"/>
    </w:pPr>
    <w:rPr>
      <w:rFonts w:eastAsia="MS Mincho"/>
      <w:sz w:val="22"/>
      <w:szCs w:val="20"/>
    </w:rPr>
  </w:style>
  <w:style w:type="table" w:styleId="TableProfessional">
    <w:name w:val="Table Professional"/>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14935"/>
    <w:pPr>
      <w:adjustRightInd w:val="0"/>
      <w:snapToGrid w:val="0"/>
      <w:spacing w:line="240" w:lineRule="atLeast"/>
    </w:pPr>
    <w:rPr>
      <w:rFonts w:eastAsia="MS Mincho"/>
      <w:lang w:val="en-GB" w:eastAsia="en-GB"/>
    </w:rPr>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14935"/>
    <w:pPr>
      <w:adjustRightInd w:val="0"/>
      <w:snapToGrid w:val="0"/>
      <w:spacing w:line="240" w:lineRule="atLeast"/>
    </w:pPr>
    <w:rPr>
      <w:rFonts w:eastAsia="MS Mincho"/>
      <w:lang w:val="en-GB" w:eastAsia="en-GB"/>
    </w:r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autoRedefine/>
    <w:uiPriority w:val="1"/>
    <w:qFormat/>
    <w:rsid w:val="006F22A6"/>
    <w:pPr>
      <w:widowControl/>
      <w:spacing w:before="0" w:after="100"/>
    </w:pPr>
    <w:rPr>
      <w:rFonts w:eastAsiaTheme="majorEastAsia" w:cstheme="majorBidi"/>
      <w:b/>
      <w:color w:val="65328F" w:themeColor="accent1"/>
      <w:kern w:val="28"/>
      <w:sz w:val="80"/>
      <w:szCs w:val="80"/>
    </w:rPr>
  </w:style>
  <w:style w:type="character" w:customStyle="1" w:styleId="TitleChar">
    <w:name w:val="Title Char"/>
    <w:basedOn w:val="DefaultParagraphFont"/>
    <w:link w:val="Title"/>
    <w:uiPriority w:val="1"/>
    <w:rsid w:val="00FC66B2"/>
    <w:rPr>
      <w:rFonts w:ascii="Montserrat" w:eastAsiaTheme="majorEastAsia" w:hAnsi="Montserrat" w:cstheme="majorBidi"/>
      <w:b/>
      <w:color w:val="65328F" w:themeColor="accent1"/>
      <w:kern w:val="28"/>
      <w:sz w:val="80"/>
      <w:szCs w:val="80"/>
    </w:rPr>
  </w:style>
  <w:style w:type="paragraph" w:styleId="TOAHeading">
    <w:name w:val="toa heading"/>
    <w:basedOn w:val="Normal"/>
    <w:next w:val="Normal"/>
    <w:uiPriority w:val="99"/>
    <w:semiHidden/>
    <w:unhideWhenUsed/>
    <w:rsid w:val="00914935"/>
    <w:rPr>
      <w:rFonts w:asciiTheme="majorHAnsi" w:eastAsiaTheme="majorEastAsia" w:hAnsiTheme="majorHAnsi" w:cstheme="majorBidi"/>
      <w:b/>
      <w:bCs/>
    </w:rPr>
  </w:style>
  <w:style w:type="paragraph" w:styleId="TOC2">
    <w:name w:val="toc 2"/>
    <w:basedOn w:val="Normal"/>
    <w:next w:val="Normal"/>
    <w:uiPriority w:val="39"/>
    <w:rsid w:val="005C04F5"/>
    <w:pPr>
      <w:tabs>
        <w:tab w:val="right" w:leader="dot" w:pos="9866"/>
      </w:tabs>
      <w:ind w:left="567" w:hanging="567"/>
    </w:pPr>
  </w:style>
  <w:style w:type="paragraph" w:styleId="TOC3">
    <w:name w:val="toc 3"/>
    <w:basedOn w:val="Normal"/>
    <w:next w:val="Normal"/>
    <w:uiPriority w:val="39"/>
    <w:rsid w:val="00BD7D76"/>
    <w:pPr>
      <w:tabs>
        <w:tab w:val="right" w:leader="dot" w:pos="9866"/>
      </w:tabs>
      <w:ind w:left="170"/>
    </w:pPr>
  </w:style>
  <w:style w:type="paragraph" w:styleId="TOC4">
    <w:name w:val="toc 4"/>
    <w:basedOn w:val="Normal"/>
    <w:next w:val="Normal"/>
    <w:uiPriority w:val="39"/>
    <w:semiHidden/>
    <w:rsid w:val="00914935"/>
    <w:pPr>
      <w:ind w:left="1134" w:hanging="964"/>
    </w:pPr>
    <w:rPr>
      <w:b/>
      <w:color w:val="7F7F7F" w:themeColor="text1" w:themeTint="80"/>
    </w:rPr>
  </w:style>
  <w:style w:type="paragraph" w:styleId="TOC5">
    <w:name w:val="toc 5"/>
    <w:basedOn w:val="Normal"/>
    <w:next w:val="Normal"/>
    <w:uiPriority w:val="39"/>
    <w:semiHidden/>
    <w:rsid w:val="00914935"/>
    <w:pPr>
      <w:ind w:left="340"/>
    </w:pPr>
    <w:rPr>
      <w:b/>
      <w:color w:val="7F7F7F" w:themeColor="text1" w:themeTint="80"/>
    </w:rPr>
  </w:style>
  <w:style w:type="paragraph" w:styleId="TOC6">
    <w:name w:val="toc 6"/>
    <w:basedOn w:val="Normal"/>
    <w:next w:val="Normal"/>
    <w:uiPriority w:val="39"/>
    <w:semiHidden/>
    <w:rsid w:val="00914935"/>
    <w:pPr>
      <w:ind w:left="1304" w:hanging="964"/>
    </w:pPr>
    <w:rPr>
      <w:b/>
      <w:color w:val="7F7F7F" w:themeColor="text1" w:themeTint="80"/>
    </w:rPr>
  </w:style>
  <w:style w:type="paragraph" w:styleId="TOC7">
    <w:name w:val="toc 7"/>
    <w:basedOn w:val="Normal"/>
    <w:next w:val="Normal"/>
    <w:autoRedefine/>
    <w:uiPriority w:val="39"/>
    <w:semiHidden/>
    <w:rsid w:val="00914935"/>
    <w:rPr>
      <w:b/>
      <w:color w:val="7F7F7F" w:themeColor="text1" w:themeTint="80"/>
    </w:rPr>
  </w:style>
  <w:style w:type="paragraph" w:styleId="TOC8">
    <w:name w:val="toc 8"/>
    <w:basedOn w:val="Normal"/>
    <w:next w:val="Normal"/>
    <w:autoRedefine/>
    <w:uiPriority w:val="39"/>
    <w:semiHidden/>
    <w:rsid w:val="00914935"/>
    <w:pPr>
      <w:spacing w:after="100"/>
      <w:ind w:left="1680"/>
    </w:pPr>
  </w:style>
  <w:style w:type="paragraph" w:styleId="TOC9">
    <w:name w:val="toc 9"/>
    <w:basedOn w:val="Normal"/>
    <w:next w:val="Normal"/>
    <w:autoRedefine/>
    <w:uiPriority w:val="39"/>
    <w:semiHidden/>
    <w:rsid w:val="00914935"/>
    <w:pPr>
      <w:spacing w:after="100"/>
      <w:ind w:left="1920"/>
    </w:pPr>
  </w:style>
  <w:style w:type="paragraph" w:styleId="TOCHeading">
    <w:name w:val="TOC Heading"/>
    <w:basedOn w:val="Normal"/>
    <w:next w:val="Normal"/>
    <w:uiPriority w:val="39"/>
    <w:qFormat/>
    <w:rsid w:val="006F22A6"/>
    <w:pPr>
      <w:pageBreakBefore/>
      <w:spacing w:before="0" w:after="480" w:line="400" w:lineRule="atLeast"/>
    </w:pPr>
    <w:rPr>
      <w:rFonts w:asciiTheme="majorHAnsi" w:hAnsiTheme="majorHAnsi"/>
      <w:color w:val="7030A0"/>
      <w:sz w:val="36"/>
    </w:rPr>
  </w:style>
  <w:style w:type="paragraph" w:customStyle="1" w:styleId="Note">
    <w:name w:val="Note"/>
    <w:basedOn w:val="Normal"/>
    <w:uiPriority w:val="7"/>
    <w:semiHidden/>
    <w:qFormat/>
    <w:rsid w:val="00914935"/>
    <w:pPr>
      <w:tabs>
        <w:tab w:val="left" w:pos="397"/>
      </w:tabs>
      <w:spacing w:after="40"/>
      <w:ind w:left="397" w:hanging="397"/>
    </w:pPr>
    <w:rPr>
      <w:spacing w:val="5"/>
    </w:rPr>
  </w:style>
  <w:style w:type="paragraph" w:customStyle="1" w:styleId="Fields">
    <w:name w:val="Fields"/>
    <w:basedOn w:val="Normal"/>
    <w:semiHidden/>
    <w:qFormat/>
    <w:rsid w:val="00914935"/>
    <w:rPr>
      <w:caps/>
    </w:rPr>
  </w:style>
  <w:style w:type="paragraph" w:customStyle="1" w:styleId="GridText">
    <w:name w:val="Grid Text"/>
    <w:basedOn w:val="Normal"/>
    <w:semiHidden/>
    <w:qFormat/>
    <w:rsid w:val="00914935"/>
    <w:rPr>
      <w:color w:val="FFFFFF" w:themeColor="background2"/>
    </w:rPr>
  </w:style>
  <w:style w:type="paragraph" w:customStyle="1" w:styleId="TableHeading">
    <w:name w:val="Table Heading"/>
    <w:basedOn w:val="Normal"/>
    <w:uiPriority w:val="2"/>
    <w:qFormat/>
    <w:rsid w:val="00927FA1"/>
    <w:pPr>
      <w:widowControl/>
      <w:spacing w:before="60" w:after="60" w:line="280" w:lineRule="atLeast"/>
    </w:pPr>
    <w:rPr>
      <w:b/>
      <w:sz w:val="20"/>
    </w:rPr>
  </w:style>
  <w:style w:type="paragraph" w:customStyle="1" w:styleId="TableText">
    <w:name w:val="Table Text"/>
    <w:basedOn w:val="TableHeading"/>
    <w:uiPriority w:val="2"/>
    <w:qFormat/>
    <w:rsid w:val="001F3913"/>
    <w:rPr>
      <w:b w:val="0"/>
    </w:rPr>
  </w:style>
  <w:style w:type="character" w:customStyle="1" w:styleId="OrangeText">
    <w:name w:val="Orange Text"/>
    <w:basedOn w:val="DefaultParagraphFont"/>
    <w:uiPriority w:val="1"/>
    <w:semiHidden/>
    <w:qFormat/>
    <w:rsid w:val="00914935"/>
    <w:rPr>
      <w:color w:val="3F3F3F" w:themeColor="accent4"/>
    </w:rPr>
  </w:style>
  <w:style w:type="character" w:customStyle="1" w:styleId="Heading4Char">
    <w:name w:val="Heading 4 Char"/>
    <w:basedOn w:val="DefaultParagraphFont"/>
    <w:link w:val="Heading4"/>
    <w:uiPriority w:val="1"/>
    <w:rsid w:val="00883DBC"/>
    <w:rPr>
      <w:rFonts w:ascii="Montserrat" w:eastAsiaTheme="majorEastAsia" w:hAnsi="Montserrat" w:cstheme="majorBidi"/>
      <w:b/>
      <w:iCs/>
      <w:color w:val="65328F" w:themeColor="accent1"/>
      <w:sz w:val="28"/>
      <w:szCs w:val="24"/>
    </w:rPr>
  </w:style>
  <w:style w:type="character" w:customStyle="1" w:styleId="Heading5Char">
    <w:name w:val="Heading 5 Char"/>
    <w:basedOn w:val="DefaultParagraphFont"/>
    <w:link w:val="Heading5"/>
    <w:uiPriority w:val="1"/>
    <w:rsid w:val="00114BFB"/>
    <w:rPr>
      <w:rFonts w:ascii="Montserrat" w:eastAsiaTheme="majorEastAsia" w:hAnsi="Montserrat" w:cstheme="majorBidi"/>
      <w:b/>
      <w:color w:val="65328F" w:themeColor="accent1"/>
      <w:sz w:val="24"/>
      <w:szCs w:val="24"/>
    </w:rPr>
  </w:style>
  <w:style w:type="character" w:customStyle="1" w:styleId="Heading6Char">
    <w:name w:val="Heading 6 Char"/>
    <w:basedOn w:val="DefaultParagraphFont"/>
    <w:link w:val="Heading6"/>
    <w:uiPriority w:val="1"/>
    <w:semiHidden/>
    <w:rsid w:val="00883DBC"/>
    <w:rPr>
      <w:rFonts w:asciiTheme="majorHAnsi" w:eastAsiaTheme="majorEastAsia" w:hAnsiTheme="majorHAnsi" w:cstheme="majorBidi"/>
      <w:b/>
      <w:color w:val="65328F" w:themeColor="accent1"/>
      <w:sz w:val="24"/>
    </w:rPr>
  </w:style>
  <w:style w:type="character" w:customStyle="1" w:styleId="Heading7Char">
    <w:name w:val="Heading 7 Char"/>
    <w:basedOn w:val="DefaultParagraphFont"/>
    <w:link w:val="Heading7"/>
    <w:uiPriority w:val="2"/>
    <w:semiHidden/>
    <w:rsid w:val="00914935"/>
    <w:rPr>
      <w:rFonts w:eastAsiaTheme="majorEastAsia" w:cstheme="majorBidi"/>
      <w:iCs/>
      <w:color w:val="FFFFFF" w:themeColor="background2"/>
      <w:sz w:val="60"/>
    </w:rPr>
  </w:style>
  <w:style w:type="character" w:customStyle="1" w:styleId="Heading8Char">
    <w:name w:val="Heading 8 Char"/>
    <w:basedOn w:val="DefaultParagraphFont"/>
    <w:link w:val="Heading8"/>
    <w:uiPriority w:val="2"/>
    <w:semiHidden/>
    <w:rsid w:val="00914935"/>
    <w:rPr>
      <w:rFonts w:ascii="Roboto Medium" w:eastAsiaTheme="majorEastAsia" w:hAnsi="Roboto Medium" w:cstheme="majorBidi"/>
      <w:color w:val="404040" w:themeColor="text2"/>
      <w:sz w:val="36"/>
      <w:szCs w:val="21"/>
    </w:rPr>
  </w:style>
  <w:style w:type="character" w:customStyle="1" w:styleId="Heading9Char">
    <w:name w:val="Heading 9 Char"/>
    <w:basedOn w:val="DefaultParagraphFont"/>
    <w:link w:val="Heading9"/>
    <w:uiPriority w:val="2"/>
    <w:semiHidden/>
    <w:rsid w:val="00914935"/>
    <w:rPr>
      <w:rFonts w:asciiTheme="majorHAnsi" w:eastAsiaTheme="majorEastAsia" w:hAnsiTheme="majorHAnsi" w:cstheme="majorBidi"/>
      <w:iCs/>
      <w:color w:val="FFFFFF" w:themeColor="background2"/>
      <w:sz w:val="28"/>
      <w:szCs w:val="21"/>
    </w:rPr>
  </w:style>
  <w:style w:type="paragraph" w:styleId="NormalIndent">
    <w:name w:val="Normal Indent"/>
    <w:basedOn w:val="Normal"/>
    <w:uiPriority w:val="99"/>
    <w:semiHidden/>
    <w:unhideWhenUsed/>
    <w:rsid w:val="00914935"/>
    <w:pPr>
      <w:ind w:left="720"/>
    </w:pPr>
  </w:style>
  <w:style w:type="paragraph" w:styleId="ListContinue">
    <w:name w:val="List Continue"/>
    <w:basedOn w:val="Normal"/>
    <w:uiPriority w:val="99"/>
    <w:semiHidden/>
    <w:unhideWhenUsed/>
    <w:rsid w:val="00914935"/>
    <w:pPr>
      <w:ind w:left="283"/>
      <w:contextualSpacing/>
    </w:pPr>
  </w:style>
  <w:style w:type="character" w:customStyle="1" w:styleId="Heading1Char">
    <w:name w:val="Heading 1 Char"/>
    <w:basedOn w:val="DefaultParagraphFont"/>
    <w:link w:val="Heading1"/>
    <w:uiPriority w:val="1"/>
    <w:rsid w:val="00E1001A"/>
    <w:rPr>
      <w:rFonts w:ascii="Montserrat" w:eastAsiaTheme="majorEastAsia" w:hAnsi="Montserrat" w:cstheme="majorBidi"/>
      <w:b/>
      <w:color w:val="65328F" w:themeColor="accent1"/>
      <w:sz w:val="44"/>
      <w:szCs w:val="32"/>
    </w:rPr>
  </w:style>
  <w:style w:type="character" w:customStyle="1" w:styleId="Heading2Char">
    <w:name w:val="Heading 2 Char"/>
    <w:basedOn w:val="DefaultParagraphFont"/>
    <w:link w:val="Heading2"/>
    <w:uiPriority w:val="1"/>
    <w:rsid w:val="008924E0"/>
    <w:rPr>
      <w:rFonts w:ascii="Montserrat" w:eastAsiaTheme="majorEastAsia" w:hAnsi="Montserrat" w:cstheme="majorBidi"/>
      <w:b/>
      <w:color w:val="65328F" w:themeColor="accent1"/>
      <w:sz w:val="36"/>
      <w:szCs w:val="36"/>
    </w:rPr>
  </w:style>
  <w:style w:type="character" w:customStyle="1" w:styleId="Heading3Char">
    <w:name w:val="Heading 3 Char"/>
    <w:basedOn w:val="DefaultParagraphFont"/>
    <w:link w:val="Heading3"/>
    <w:uiPriority w:val="9"/>
    <w:rsid w:val="00114BFB"/>
    <w:rPr>
      <w:rFonts w:ascii="Montserrat" w:eastAsiaTheme="majorEastAsia" w:hAnsi="Montserrat" w:cstheme="majorBidi"/>
      <w:b/>
      <w:color w:val="65328F" w:themeColor="accent1"/>
      <w:sz w:val="32"/>
      <w:szCs w:val="24"/>
    </w:rPr>
  </w:style>
  <w:style w:type="paragraph" w:customStyle="1" w:styleId="TableBullet1">
    <w:name w:val="Table Bullet 1"/>
    <w:basedOn w:val="TableText"/>
    <w:uiPriority w:val="3"/>
    <w:semiHidden/>
    <w:qFormat/>
    <w:rsid w:val="00914935"/>
    <w:pPr>
      <w:numPr>
        <w:numId w:val="21"/>
      </w:numPr>
      <w:adjustRightInd w:val="0"/>
      <w:snapToGrid w:val="0"/>
    </w:pPr>
    <w:rPr>
      <w:rFonts w:eastAsia="MS Mincho"/>
      <w:szCs w:val="20"/>
    </w:rPr>
  </w:style>
  <w:style w:type="numbering" w:customStyle="1" w:styleId="HeadingList">
    <w:name w:val="Heading List"/>
    <w:uiPriority w:val="99"/>
    <w:rsid w:val="00914935"/>
    <w:pPr>
      <w:numPr>
        <w:numId w:val="4"/>
      </w:numPr>
    </w:pPr>
  </w:style>
  <w:style w:type="paragraph" w:customStyle="1" w:styleId="TableBullet">
    <w:name w:val="Table Bullet"/>
    <w:basedOn w:val="TableText"/>
    <w:uiPriority w:val="2"/>
    <w:qFormat/>
    <w:rsid w:val="004E74BD"/>
    <w:pPr>
      <w:numPr>
        <w:numId w:val="22"/>
      </w:numPr>
      <w:spacing w:line="200" w:lineRule="atLeast"/>
      <w:ind w:left="227" w:hanging="227"/>
    </w:pPr>
  </w:style>
  <w:style w:type="character" w:styleId="Mention">
    <w:name w:val="Mention"/>
    <w:basedOn w:val="DefaultParagraphFont"/>
    <w:uiPriority w:val="99"/>
    <w:unhideWhenUsed/>
    <w:rsid w:val="00914935"/>
    <w:rPr>
      <w:color w:val="2B579A"/>
      <w:shd w:val="clear" w:color="auto" w:fill="E6E6E6"/>
    </w:rPr>
  </w:style>
  <w:style w:type="numbering" w:customStyle="1" w:styleId="BulletLists">
    <w:name w:val="Bullet Lists"/>
    <w:uiPriority w:val="99"/>
    <w:rsid w:val="00914935"/>
    <w:pPr>
      <w:numPr>
        <w:numId w:val="5"/>
      </w:numPr>
    </w:pPr>
  </w:style>
  <w:style w:type="paragraph" w:styleId="ListBullet">
    <w:name w:val="List Bullet"/>
    <w:basedOn w:val="Normal"/>
    <w:autoRedefine/>
    <w:uiPriority w:val="1"/>
    <w:qFormat/>
    <w:rsid w:val="003D0DFD"/>
    <w:pPr>
      <w:widowControl/>
      <w:numPr>
        <w:numId w:val="31"/>
      </w:numPr>
      <w:spacing w:before="120" w:after="120"/>
    </w:pPr>
  </w:style>
  <w:style w:type="paragraph" w:styleId="ListBullet2">
    <w:name w:val="List Bullet 2"/>
    <w:basedOn w:val="Normal"/>
    <w:uiPriority w:val="1"/>
    <w:qFormat/>
    <w:rsid w:val="009E71B6"/>
    <w:pPr>
      <w:numPr>
        <w:ilvl w:val="1"/>
        <w:numId w:val="31"/>
      </w:numPr>
      <w:spacing w:before="120" w:after="120"/>
    </w:pPr>
  </w:style>
  <w:style w:type="paragraph" w:styleId="ListBullet3">
    <w:name w:val="List Bullet 3"/>
    <w:basedOn w:val="Normal"/>
    <w:uiPriority w:val="1"/>
    <w:qFormat/>
    <w:rsid w:val="009E71B6"/>
    <w:pPr>
      <w:numPr>
        <w:ilvl w:val="2"/>
        <w:numId w:val="31"/>
      </w:numPr>
      <w:spacing w:before="120" w:after="120"/>
      <w:ind w:left="1020" w:hanging="340"/>
    </w:pPr>
  </w:style>
  <w:style w:type="numbering" w:customStyle="1" w:styleId="Bullets">
    <w:name w:val="Bullets"/>
    <w:uiPriority w:val="99"/>
    <w:rsid w:val="00914935"/>
    <w:pPr>
      <w:numPr>
        <w:numId w:val="6"/>
      </w:numPr>
    </w:pPr>
  </w:style>
  <w:style w:type="numbering" w:customStyle="1" w:styleId="Numbers">
    <w:name w:val="Numbers"/>
    <w:uiPriority w:val="99"/>
    <w:rsid w:val="00927FA1"/>
    <w:pPr>
      <w:numPr>
        <w:numId w:val="7"/>
      </w:numPr>
    </w:pPr>
  </w:style>
  <w:style w:type="character" w:styleId="UnresolvedMention">
    <w:name w:val="Unresolved Mention"/>
    <w:basedOn w:val="DefaultParagraphFont"/>
    <w:uiPriority w:val="99"/>
    <w:semiHidden/>
    <w:unhideWhenUsed/>
    <w:rsid w:val="00914935"/>
    <w:rPr>
      <w:color w:val="605E5C"/>
      <w:shd w:val="clear" w:color="auto" w:fill="E1DFDD"/>
    </w:rPr>
  </w:style>
  <w:style w:type="paragraph" w:customStyle="1" w:styleId="Heading2NoNumber">
    <w:name w:val="Heading 2 No Number"/>
    <w:basedOn w:val="Heading2"/>
    <w:next w:val="Normal"/>
    <w:uiPriority w:val="1"/>
    <w:semiHidden/>
    <w:qFormat/>
    <w:rsid w:val="00914935"/>
    <w:pPr>
      <w:keepLines/>
      <w:adjustRightInd w:val="0"/>
      <w:snapToGrid w:val="0"/>
    </w:pPr>
    <w:rPr>
      <w:rFonts w:eastAsia="SimSun" w:cstheme="majorHAnsi"/>
      <w:iCs/>
      <w:szCs w:val="28"/>
      <w:lang w:eastAsia="en-GB"/>
    </w:rPr>
  </w:style>
  <w:style w:type="character" w:customStyle="1" w:styleId="Italic">
    <w:name w:val="Italic"/>
    <w:basedOn w:val="DefaultParagraphFont"/>
    <w:uiPriority w:val="3"/>
    <w:semiHidden/>
    <w:qFormat/>
    <w:rsid w:val="00914935"/>
    <w:rPr>
      <w:rFonts w:ascii="Arial" w:hAnsi="Arial"/>
      <w:i/>
      <w:sz w:val="20"/>
    </w:rPr>
  </w:style>
  <w:style w:type="character" w:customStyle="1" w:styleId="Highlight">
    <w:name w:val="Highlight"/>
    <w:basedOn w:val="Italic"/>
    <w:uiPriority w:val="6"/>
    <w:semiHidden/>
    <w:qFormat/>
    <w:rsid w:val="00914935"/>
    <w:rPr>
      <w:rFonts w:ascii="Arial" w:hAnsi="Arial"/>
      <w:i w:val="0"/>
      <w:color w:val="FF0000"/>
      <w:sz w:val="20"/>
    </w:rPr>
  </w:style>
  <w:style w:type="character" w:customStyle="1" w:styleId="Bold">
    <w:name w:val="Bold"/>
    <w:basedOn w:val="DefaultParagraphFont"/>
    <w:uiPriority w:val="2"/>
    <w:semiHidden/>
    <w:qFormat/>
    <w:rsid w:val="00914935"/>
    <w:rPr>
      <w:rFonts w:ascii="Arial" w:hAnsi="Arial"/>
      <w:b/>
      <w:sz w:val="20"/>
    </w:rPr>
  </w:style>
  <w:style w:type="numbering" w:customStyle="1" w:styleId="NumberedHeadings">
    <w:name w:val="Numbered Headings"/>
    <w:uiPriority w:val="99"/>
    <w:rsid w:val="00914935"/>
    <w:pPr>
      <w:numPr>
        <w:numId w:val="8"/>
      </w:numPr>
    </w:pPr>
  </w:style>
  <w:style w:type="paragraph" w:customStyle="1" w:styleId="DocType">
    <w:name w:val="Doc Type"/>
    <w:basedOn w:val="Title"/>
    <w:semiHidden/>
    <w:qFormat/>
    <w:rsid w:val="00914935"/>
    <w:rPr>
      <w:b w:val="0"/>
    </w:rPr>
  </w:style>
  <w:style w:type="paragraph" w:customStyle="1" w:styleId="Heading3NoNumber">
    <w:name w:val="Heading 3 No Number"/>
    <w:basedOn w:val="Heading3"/>
    <w:next w:val="Normal"/>
    <w:uiPriority w:val="1"/>
    <w:semiHidden/>
    <w:qFormat/>
    <w:rsid w:val="00914935"/>
    <w:pPr>
      <w:widowControl/>
      <w:adjustRightInd w:val="0"/>
      <w:snapToGrid w:val="0"/>
    </w:pPr>
    <w:rPr>
      <w:rFonts w:eastAsia="SimSun" w:cstheme="majorHAnsi"/>
      <w:bCs/>
      <w:szCs w:val="26"/>
      <w:lang w:eastAsia="en-GB"/>
    </w:rPr>
  </w:style>
  <w:style w:type="numbering" w:customStyle="1" w:styleId="NumberedHeadings0">
    <w:name w:val="NumberedHeadings"/>
    <w:uiPriority w:val="99"/>
    <w:rsid w:val="00914935"/>
    <w:pPr>
      <w:numPr>
        <w:numId w:val="9"/>
      </w:numPr>
    </w:pPr>
  </w:style>
  <w:style w:type="table" w:styleId="TableGridLight">
    <w:name w:val="Grid Table Light"/>
    <w:basedOn w:val="TableNormal"/>
    <w:uiPriority w:val="40"/>
    <w:rsid w:val="0091493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igureCaption">
    <w:name w:val="Figure Caption"/>
    <w:basedOn w:val="Caption"/>
    <w:uiPriority w:val="3"/>
    <w:rsid w:val="00914935"/>
  </w:style>
  <w:style w:type="paragraph" w:customStyle="1" w:styleId="TableCaption">
    <w:name w:val="Table Caption"/>
    <w:basedOn w:val="FigureCaption"/>
    <w:uiPriority w:val="3"/>
    <w:qFormat/>
    <w:rsid w:val="00914935"/>
  </w:style>
  <w:style w:type="paragraph" w:styleId="FootnoteText">
    <w:name w:val="footnote text"/>
    <w:basedOn w:val="Normal"/>
    <w:link w:val="FootnoteTextChar"/>
    <w:uiPriority w:val="15"/>
    <w:semiHidden/>
    <w:qFormat/>
    <w:rsid w:val="00914935"/>
    <w:pPr>
      <w:tabs>
        <w:tab w:val="left" w:pos="284"/>
      </w:tabs>
      <w:spacing w:after="80" w:line="200" w:lineRule="atLeast"/>
      <w:ind w:left="284" w:hanging="284"/>
    </w:pPr>
    <w:rPr>
      <w:sz w:val="16"/>
      <w:szCs w:val="20"/>
    </w:rPr>
  </w:style>
  <w:style w:type="character" w:customStyle="1" w:styleId="FootnoteTextChar">
    <w:name w:val="Footnote Text Char"/>
    <w:basedOn w:val="DefaultParagraphFont"/>
    <w:link w:val="FootnoteText"/>
    <w:uiPriority w:val="15"/>
    <w:semiHidden/>
    <w:rsid w:val="00EF6FC4"/>
    <w:rPr>
      <w:sz w:val="16"/>
      <w:szCs w:val="20"/>
    </w:rPr>
  </w:style>
  <w:style w:type="character" w:styleId="FootnoteReference">
    <w:name w:val="footnote reference"/>
    <w:basedOn w:val="DefaultParagraphFont"/>
    <w:uiPriority w:val="15"/>
    <w:semiHidden/>
    <w:qFormat/>
    <w:rsid w:val="00914935"/>
    <w:rPr>
      <w:rFonts w:asciiTheme="majorHAnsi" w:hAnsiTheme="majorHAnsi"/>
      <w:sz w:val="20"/>
      <w:vertAlign w:val="superscript"/>
    </w:rPr>
  </w:style>
  <w:style w:type="paragraph" w:styleId="Date">
    <w:name w:val="Date"/>
    <w:basedOn w:val="Normal"/>
    <w:next w:val="Normal"/>
    <w:link w:val="DateChar"/>
    <w:uiPriority w:val="4"/>
    <w:rsid w:val="002A3908"/>
    <w:pPr>
      <w:spacing w:before="0" w:after="240"/>
    </w:pPr>
  </w:style>
  <w:style w:type="character" w:customStyle="1" w:styleId="DateChar">
    <w:name w:val="Date Char"/>
    <w:basedOn w:val="DefaultParagraphFont"/>
    <w:link w:val="Date"/>
    <w:uiPriority w:val="4"/>
    <w:rsid w:val="00DD5CC6"/>
    <w:rPr>
      <w:sz w:val="18"/>
    </w:rPr>
  </w:style>
  <w:style w:type="numbering" w:customStyle="1" w:styleId="BulletsStyle">
    <w:name w:val="Bullets Style"/>
    <w:uiPriority w:val="99"/>
    <w:rsid w:val="00B06254"/>
    <w:pPr>
      <w:numPr>
        <w:numId w:val="10"/>
      </w:numPr>
    </w:pPr>
  </w:style>
  <w:style w:type="paragraph" w:customStyle="1" w:styleId="AppendixSubheading2">
    <w:name w:val="Appendix Subheading 2"/>
    <w:basedOn w:val="Normal"/>
    <w:uiPriority w:val="2"/>
    <w:semiHidden/>
    <w:qFormat/>
    <w:rsid w:val="00914935"/>
    <w:pPr>
      <w:spacing w:before="40" w:after="0"/>
    </w:pPr>
    <w:rPr>
      <w:rFonts w:asciiTheme="majorHAnsi" w:hAnsiTheme="majorHAnsi"/>
      <w:color w:val="65328F" w:themeColor="accent1"/>
      <w:sz w:val="28"/>
      <w:lang w:eastAsia="en-GB"/>
    </w:rPr>
  </w:style>
  <w:style w:type="table" w:customStyle="1" w:styleId="CIETable">
    <w:name w:val="CIE Table"/>
    <w:basedOn w:val="TableNormal"/>
    <w:uiPriority w:val="99"/>
    <w:rsid w:val="00927FA1"/>
    <w:rPr>
      <w:sz w:val="20"/>
    </w:rPr>
    <w:tblPr>
      <w:tblStyleRowBandSize w:val="1"/>
      <w:tblBorders>
        <w:top w:val="single" w:sz="4" w:space="0" w:color="C0C0C0" w:themeColor="accent5"/>
        <w:left w:val="single" w:sz="4" w:space="0" w:color="C0C0C0" w:themeColor="accent5"/>
        <w:bottom w:val="single" w:sz="4" w:space="0" w:color="C0C0C0" w:themeColor="accent5"/>
        <w:right w:val="single" w:sz="4" w:space="0" w:color="C0C0C0" w:themeColor="accent5"/>
        <w:insideH w:val="single" w:sz="4" w:space="0" w:color="C0C0C0" w:themeColor="accent5"/>
        <w:insideV w:val="single" w:sz="4" w:space="0" w:color="C0C0C0" w:themeColor="accent5"/>
      </w:tblBorders>
      <w:tblCellMar>
        <w:top w:w="28" w:type="dxa"/>
        <w:left w:w="85" w:type="dxa"/>
        <w:bottom w:w="28" w:type="dxa"/>
        <w:right w:w="85" w:type="dxa"/>
      </w:tblCellMar>
    </w:tblPr>
    <w:tcPr>
      <w:shd w:val="clear" w:color="auto" w:fill="auto"/>
    </w:tcPr>
    <w:tblStylePr w:type="firstRow">
      <w:rPr>
        <w:rFonts w:asciiTheme="minorHAnsi" w:hAnsiTheme="minorHAnsi"/>
        <w:b w:val="0"/>
        <w:caps w:val="0"/>
        <w:smallCaps w:val="0"/>
        <w:color w:val="FFFFFF" w:themeColor="background1"/>
        <w:sz w:val="20"/>
      </w:rPr>
      <w:tblPr/>
      <w:tcPr>
        <w:shd w:val="clear" w:color="auto" w:fill="65328F" w:themeFill="accent1"/>
      </w:tcPr>
    </w:tblStylePr>
    <w:tblStylePr w:type="lastRow">
      <w:rPr>
        <w:rFonts w:asciiTheme="majorHAnsi" w:hAnsiTheme="majorHAnsi"/>
        <w:b/>
        <w:sz w:val="20"/>
      </w:rPr>
      <w:tblPr/>
      <w:tcPr>
        <w:tcBorders>
          <w:top w:val="single" w:sz="4" w:space="0" w:color="C0C0C0" w:themeColor="accent5"/>
          <w:left w:val="single" w:sz="4" w:space="0" w:color="C0C0C0" w:themeColor="accent5"/>
          <w:bottom w:val="single" w:sz="4" w:space="0" w:color="C0C0C0" w:themeColor="accent5"/>
          <w:right w:val="single" w:sz="4" w:space="0" w:color="C0C0C0" w:themeColor="accent5"/>
          <w:insideH w:val="single" w:sz="4" w:space="0" w:color="C0C0C0" w:themeColor="accent5"/>
          <w:insideV w:val="single" w:sz="4" w:space="0" w:color="C0C0C0" w:themeColor="accent5"/>
          <w:tl2br w:val="nil"/>
          <w:tr2bl w:val="nil"/>
        </w:tcBorders>
        <w:shd w:val="clear" w:color="auto" w:fill="auto"/>
      </w:tcPr>
    </w:tblStylePr>
    <w:tblStylePr w:type="firstCol">
      <w:rPr>
        <w:rFonts w:asciiTheme="minorHAnsi" w:hAnsiTheme="minorHAnsi"/>
        <w:b/>
        <w:sz w:val="18"/>
      </w:rPr>
    </w:tblStylePr>
    <w:tblStylePr w:type="band1Horz">
      <w:tblPr/>
      <w:tcPr>
        <w:tcBorders>
          <w:insideH w:val="nil"/>
        </w:tcBorders>
        <w:shd w:val="clear" w:color="auto" w:fill="auto"/>
      </w:tcPr>
    </w:tblStylePr>
    <w:tblStylePr w:type="band2Horz">
      <w:tblPr/>
      <w:tcPr>
        <w:tcBorders>
          <w:bottom w:val="nil"/>
          <w:insideH w:val="nil"/>
        </w:tcBorders>
        <w:shd w:val="clear" w:color="auto" w:fill="auto"/>
      </w:tcPr>
    </w:tblStylePr>
  </w:style>
  <w:style w:type="paragraph" w:customStyle="1" w:styleId="Appendices">
    <w:name w:val="Appendices"/>
    <w:basedOn w:val="Normal"/>
    <w:next w:val="Normal"/>
    <w:uiPriority w:val="2"/>
    <w:semiHidden/>
    <w:qFormat/>
    <w:rsid w:val="00914935"/>
    <w:pPr>
      <w:widowControl/>
      <w:adjustRightInd w:val="0"/>
      <w:snapToGrid w:val="0"/>
      <w:spacing w:before="0" w:after="0" w:line="1160" w:lineRule="atLeast"/>
    </w:pPr>
    <w:rPr>
      <w:rFonts w:asciiTheme="majorHAnsi" w:eastAsia="SimSun" w:hAnsiTheme="majorHAnsi"/>
      <w:b/>
      <w:w w:val="80"/>
      <w:sz w:val="112"/>
      <w:lang w:eastAsia="en-GB"/>
    </w:rPr>
  </w:style>
  <w:style w:type="paragraph" w:customStyle="1" w:styleId="AppendixSubheading">
    <w:name w:val="Appendix Subheading"/>
    <w:basedOn w:val="Normal"/>
    <w:next w:val="Normal"/>
    <w:uiPriority w:val="2"/>
    <w:semiHidden/>
    <w:qFormat/>
    <w:rsid w:val="00914935"/>
    <w:pPr>
      <w:keepLines/>
      <w:widowControl/>
      <w:adjustRightInd w:val="0"/>
      <w:snapToGrid w:val="0"/>
      <w:spacing w:before="40" w:after="0"/>
    </w:pPr>
    <w:rPr>
      <w:rFonts w:ascii="Calibri" w:eastAsia="SimSun" w:hAnsi="Calibri"/>
      <w:color w:val="D83D0E" w:themeColor="accent2"/>
      <w:sz w:val="32"/>
      <w:lang w:eastAsia="en-GB"/>
    </w:rPr>
  </w:style>
  <w:style w:type="numbering" w:customStyle="1" w:styleId="AppendixStyle0">
    <w:name w:val="Appendix Style"/>
    <w:uiPriority w:val="99"/>
    <w:rsid w:val="00914935"/>
  </w:style>
  <w:style w:type="numbering" w:customStyle="1" w:styleId="HeadingNumbers">
    <w:name w:val="Heading Numbers"/>
    <w:uiPriority w:val="99"/>
    <w:rsid w:val="00EC3569"/>
    <w:pPr>
      <w:numPr>
        <w:numId w:val="11"/>
      </w:numPr>
    </w:pPr>
  </w:style>
  <w:style w:type="numbering" w:customStyle="1" w:styleId="AppendixStyle">
    <w:name w:val="AppendixStyle"/>
    <w:uiPriority w:val="99"/>
    <w:rsid w:val="00492B9D"/>
    <w:pPr>
      <w:numPr>
        <w:numId w:val="12"/>
      </w:numPr>
    </w:pPr>
  </w:style>
  <w:style w:type="paragraph" w:customStyle="1" w:styleId="BoxHeading1">
    <w:name w:val="Box Heading 1"/>
    <w:basedOn w:val="TableText"/>
    <w:uiPriority w:val="4"/>
    <w:semiHidden/>
    <w:qFormat/>
    <w:rsid w:val="00914935"/>
    <w:rPr>
      <w:b/>
    </w:rPr>
  </w:style>
  <w:style w:type="paragraph" w:customStyle="1" w:styleId="BoxHeading2">
    <w:name w:val="Box Heading 2"/>
    <w:basedOn w:val="Normal"/>
    <w:uiPriority w:val="4"/>
    <w:semiHidden/>
    <w:qFormat/>
    <w:rsid w:val="00914935"/>
    <w:pPr>
      <w:spacing w:line="200" w:lineRule="atLeast"/>
    </w:pPr>
    <w:rPr>
      <w:rFonts w:asciiTheme="majorHAnsi" w:hAnsiTheme="majorHAnsi"/>
      <w:i/>
      <w:sz w:val="16"/>
    </w:rPr>
  </w:style>
  <w:style w:type="paragraph" w:customStyle="1" w:styleId="BoxText">
    <w:name w:val="Box Text"/>
    <w:basedOn w:val="Normal"/>
    <w:uiPriority w:val="4"/>
    <w:semiHidden/>
    <w:qFormat/>
    <w:rsid w:val="00914935"/>
    <w:pPr>
      <w:spacing w:line="200" w:lineRule="atLeast"/>
    </w:pPr>
    <w:rPr>
      <w:rFonts w:asciiTheme="majorHAnsi" w:hAnsiTheme="majorHAnsi" w:cstheme="majorHAnsi"/>
      <w:sz w:val="16"/>
      <w:szCs w:val="16"/>
      <w:lang w:val="en-US"/>
    </w:rPr>
  </w:style>
  <w:style w:type="paragraph" w:customStyle="1" w:styleId="BoxListBullet">
    <w:name w:val="Box List Bullet"/>
    <w:basedOn w:val="Normal"/>
    <w:uiPriority w:val="4"/>
    <w:semiHidden/>
    <w:qFormat/>
    <w:rsid w:val="00914935"/>
    <w:pPr>
      <w:numPr>
        <w:numId w:val="23"/>
      </w:numPr>
      <w:spacing w:line="200" w:lineRule="atLeast"/>
    </w:pPr>
    <w:rPr>
      <w:rFonts w:asciiTheme="majorHAnsi" w:hAnsiTheme="majorHAnsi" w:cstheme="majorHAnsi"/>
      <w:sz w:val="16"/>
      <w:szCs w:val="16"/>
      <w:lang w:val="en-US"/>
    </w:rPr>
  </w:style>
  <w:style w:type="paragraph" w:customStyle="1" w:styleId="BoxListBullet2">
    <w:name w:val="Box List Bullet 2"/>
    <w:basedOn w:val="Normal"/>
    <w:uiPriority w:val="4"/>
    <w:semiHidden/>
    <w:qFormat/>
    <w:rsid w:val="00914935"/>
    <w:pPr>
      <w:numPr>
        <w:numId w:val="24"/>
      </w:numPr>
      <w:spacing w:line="200" w:lineRule="atLeast"/>
    </w:pPr>
    <w:rPr>
      <w:rFonts w:asciiTheme="majorHAnsi" w:hAnsiTheme="majorHAnsi" w:cstheme="majorHAnsi"/>
      <w:sz w:val="16"/>
      <w:szCs w:val="16"/>
      <w:lang w:val="en-US"/>
    </w:rPr>
  </w:style>
  <w:style w:type="paragraph" w:customStyle="1" w:styleId="BoxListNumber1">
    <w:name w:val="Box List Number 1"/>
    <w:basedOn w:val="Normal"/>
    <w:uiPriority w:val="4"/>
    <w:semiHidden/>
    <w:qFormat/>
    <w:rsid w:val="00914935"/>
    <w:pPr>
      <w:numPr>
        <w:numId w:val="25"/>
      </w:numPr>
      <w:spacing w:line="200" w:lineRule="atLeast"/>
    </w:pPr>
    <w:rPr>
      <w:rFonts w:asciiTheme="majorHAnsi" w:hAnsiTheme="majorHAnsi" w:cstheme="majorHAnsi"/>
      <w:sz w:val="16"/>
      <w:szCs w:val="16"/>
      <w:lang w:val="en-US"/>
    </w:rPr>
  </w:style>
  <w:style w:type="paragraph" w:customStyle="1" w:styleId="TOCHeading2">
    <w:name w:val="TOC Heading 2"/>
    <w:basedOn w:val="TOCHeading"/>
    <w:uiPriority w:val="9"/>
    <w:semiHidden/>
    <w:qFormat/>
    <w:rsid w:val="00914935"/>
    <w:pPr>
      <w:spacing w:after="240"/>
    </w:pPr>
    <w:rPr>
      <w:sz w:val="32"/>
    </w:rPr>
  </w:style>
  <w:style w:type="numbering" w:customStyle="1" w:styleId="TableListNumbers">
    <w:name w:val="Table List Numbers"/>
    <w:uiPriority w:val="99"/>
    <w:rsid w:val="00914935"/>
    <w:pPr>
      <w:numPr>
        <w:numId w:val="13"/>
      </w:numPr>
    </w:pPr>
  </w:style>
  <w:style w:type="numbering" w:customStyle="1" w:styleId="BoxListNumbers">
    <w:name w:val="Box List Numbers"/>
    <w:uiPriority w:val="99"/>
    <w:rsid w:val="00914935"/>
    <w:pPr>
      <w:numPr>
        <w:numId w:val="14"/>
      </w:numPr>
    </w:pPr>
  </w:style>
  <w:style w:type="paragraph" w:styleId="BodyText">
    <w:name w:val="Body Text"/>
    <w:basedOn w:val="Normal"/>
    <w:link w:val="BodyTextChar"/>
    <w:semiHidden/>
    <w:qFormat/>
    <w:rsid w:val="00914935"/>
  </w:style>
  <w:style w:type="character" w:customStyle="1" w:styleId="BodyTextChar">
    <w:name w:val="Body Text Char"/>
    <w:basedOn w:val="DefaultParagraphFont"/>
    <w:link w:val="BodyText"/>
    <w:semiHidden/>
    <w:rsid w:val="00914935"/>
    <w:rPr>
      <w:color w:val="404040" w:themeColor="text2"/>
      <w:sz w:val="20"/>
    </w:rPr>
  </w:style>
  <w:style w:type="paragraph" w:customStyle="1" w:styleId="NumberedBullet">
    <w:name w:val="Numbered Bullet"/>
    <w:basedOn w:val="Normal"/>
    <w:uiPriority w:val="2"/>
    <w:semiHidden/>
    <w:qFormat/>
    <w:rsid w:val="00914935"/>
    <w:pPr>
      <w:numPr>
        <w:numId w:val="26"/>
      </w:numPr>
    </w:pPr>
  </w:style>
  <w:style w:type="paragraph" w:customStyle="1" w:styleId="NumberedBullet2">
    <w:name w:val="Numbered Bullet 2"/>
    <w:basedOn w:val="Normal"/>
    <w:uiPriority w:val="2"/>
    <w:semiHidden/>
    <w:qFormat/>
    <w:rsid w:val="00914935"/>
    <w:pPr>
      <w:numPr>
        <w:ilvl w:val="1"/>
        <w:numId w:val="26"/>
      </w:numPr>
    </w:pPr>
  </w:style>
  <w:style w:type="paragraph" w:customStyle="1" w:styleId="NumberedBullet3">
    <w:name w:val="Numbered Bullet 3"/>
    <w:basedOn w:val="Normal"/>
    <w:uiPriority w:val="2"/>
    <w:semiHidden/>
    <w:qFormat/>
    <w:rsid w:val="00914935"/>
    <w:pPr>
      <w:numPr>
        <w:ilvl w:val="2"/>
        <w:numId w:val="26"/>
      </w:numPr>
    </w:pPr>
  </w:style>
  <w:style w:type="numbering" w:customStyle="1" w:styleId="NumberedBulletStyle">
    <w:name w:val="Numbered Bullet Style"/>
    <w:uiPriority w:val="99"/>
    <w:rsid w:val="00914935"/>
    <w:pPr>
      <w:numPr>
        <w:numId w:val="15"/>
      </w:numPr>
    </w:pPr>
  </w:style>
  <w:style w:type="paragraph" w:customStyle="1" w:styleId="BodyTextNumbered">
    <w:name w:val="Body Text Numbered"/>
    <w:basedOn w:val="Normal"/>
    <w:uiPriority w:val="2"/>
    <w:semiHidden/>
    <w:qFormat/>
    <w:rsid w:val="00914935"/>
    <w:pPr>
      <w:numPr>
        <w:numId w:val="27"/>
      </w:numPr>
    </w:pPr>
  </w:style>
  <w:style w:type="paragraph" w:customStyle="1" w:styleId="BodyTextNumbered2">
    <w:name w:val="Body Text Numbered 2"/>
    <w:basedOn w:val="Normal"/>
    <w:uiPriority w:val="2"/>
    <w:semiHidden/>
    <w:qFormat/>
    <w:rsid w:val="00914935"/>
    <w:pPr>
      <w:numPr>
        <w:ilvl w:val="1"/>
        <w:numId w:val="27"/>
      </w:numPr>
    </w:pPr>
  </w:style>
  <w:style w:type="paragraph" w:customStyle="1" w:styleId="BodyTextNumbered3">
    <w:name w:val="Body Text Numbered 3"/>
    <w:basedOn w:val="Normal"/>
    <w:uiPriority w:val="2"/>
    <w:semiHidden/>
    <w:qFormat/>
    <w:rsid w:val="00914935"/>
    <w:pPr>
      <w:numPr>
        <w:ilvl w:val="2"/>
        <w:numId w:val="27"/>
      </w:numPr>
    </w:pPr>
  </w:style>
  <w:style w:type="numbering" w:customStyle="1" w:styleId="BodyTextnumberedStyles">
    <w:name w:val="Body Text numbered Styles"/>
    <w:uiPriority w:val="99"/>
    <w:rsid w:val="00914935"/>
    <w:pPr>
      <w:numPr>
        <w:numId w:val="16"/>
      </w:numPr>
    </w:pPr>
  </w:style>
  <w:style w:type="paragraph" w:styleId="Revision">
    <w:name w:val="Revision"/>
    <w:hidden/>
    <w:uiPriority w:val="99"/>
    <w:semiHidden/>
    <w:rsid w:val="00332B59"/>
  </w:style>
  <w:style w:type="paragraph" w:customStyle="1" w:styleId="Heading4NoNumber">
    <w:name w:val="Heading 4 No Number"/>
    <w:basedOn w:val="Heading4"/>
    <w:next w:val="Normal"/>
    <w:uiPriority w:val="1"/>
    <w:semiHidden/>
    <w:qFormat/>
    <w:rsid w:val="00914935"/>
    <w:rPr>
      <w:lang w:eastAsia="en-GB"/>
    </w:rPr>
  </w:style>
  <w:style w:type="table" w:styleId="GridTable1Light-Accent4">
    <w:name w:val="Grid Table 1 Light Accent 4"/>
    <w:basedOn w:val="TableNormal"/>
    <w:uiPriority w:val="46"/>
    <w:rsid w:val="00914935"/>
    <w:tblPr>
      <w:tblStyleRowBandSize w:val="1"/>
      <w:tblStyleColBandSize w:val="1"/>
      <w:tblBorders>
        <w:top w:val="single" w:sz="4" w:space="0" w:color="B2B2B2" w:themeColor="accent4" w:themeTint="66"/>
        <w:left w:val="single" w:sz="4" w:space="0" w:color="B2B2B2" w:themeColor="accent4" w:themeTint="66"/>
        <w:bottom w:val="single" w:sz="4" w:space="0" w:color="B2B2B2" w:themeColor="accent4" w:themeTint="66"/>
        <w:right w:val="single" w:sz="4" w:space="0" w:color="B2B2B2" w:themeColor="accent4" w:themeTint="66"/>
        <w:insideH w:val="single" w:sz="4" w:space="0" w:color="B2B2B2" w:themeColor="accent4" w:themeTint="66"/>
        <w:insideV w:val="single" w:sz="4" w:space="0" w:color="B2B2B2" w:themeColor="accent4" w:themeTint="66"/>
      </w:tblBorders>
    </w:tblPr>
    <w:tblStylePr w:type="firstRow">
      <w:rPr>
        <w:b/>
        <w:bCs/>
      </w:rPr>
      <w:tblPr/>
      <w:tcPr>
        <w:tcBorders>
          <w:bottom w:val="single" w:sz="12" w:space="0" w:color="8B8B8B" w:themeColor="accent4" w:themeTint="99"/>
        </w:tcBorders>
      </w:tcPr>
    </w:tblStylePr>
    <w:tblStylePr w:type="lastRow">
      <w:rPr>
        <w:b/>
        <w:bCs/>
      </w:rPr>
      <w:tblPr/>
      <w:tcPr>
        <w:tcBorders>
          <w:top w:val="double" w:sz="2" w:space="0" w:color="8B8B8B" w:themeColor="accent4" w:themeTint="99"/>
        </w:tcBorders>
      </w:tcPr>
    </w:tblStylePr>
    <w:tblStylePr w:type="firstCol">
      <w:rPr>
        <w:b/>
        <w:bCs/>
      </w:rPr>
    </w:tblStylePr>
    <w:tblStylePr w:type="lastCol">
      <w:rPr>
        <w:b/>
        <w:bCs/>
      </w:rPr>
    </w:tblStylePr>
  </w:style>
  <w:style w:type="paragraph" w:customStyle="1" w:styleId="ChapterHeading">
    <w:name w:val="Chapter Heading"/>
    <w:basedOn w:val="Normal"/>
    <w:semiHidden/>
    <w:qFormat/>
    <w:rsid w:val="00914935"/>
    <w:pPr>
      <w:spacing w:before="0" w:after="0" w:line="440" w:lineRule="atLeast"/>
    </w:pPr>
    <w:rPr>
      <w:rFonts w:asciiTheme="majorHAnsi" w:hAnsiTheme="majorHAnsi"/>
      <w:b/>
      <w:caps/>
      <w:color w:val="FFFFFF" w:themeColor="background2"/>
      <w:sz w:val="40"/>
    </w:rPr>
  </w:style>
  <w:style w:type="paragraph" w:customStyle="1" w:styleId="ChapterSubheading">
    <w:name w:val="Chapter Subheading"/>
    <w:basedOn w:val="Normal"/>
    <w:semiHidden/>
    <w:qFormat/>
    <w:rsid w:val="00914935"/>
    <w:pPr>
      <w:spacing w:before="0" w:after="120" w:line="600" w:lineRule="atLeast"/>
    </w:pPr>
    <w:rPr>
      <w:sz w:val="56"/>
    </w:rPr>
  </w:style>
  <w:style w:type="paragraph" w:customStyle="1" w:styleId="ChapterHeadingSense">
    <w:name w:val="Chapter Heading Sense"/>
    <w:basedOn w:val="ChapterHeading"/>
    <w:semiHidden/>
    <w:qFormat/>
    <w:rsid w:val="00914935"/>
    <w:rPr>
      <w:color w:val="C1BEB2"/>
    </w:rPr>
  </w:style>
  <w:style w:type="paragraph" w:customStyle="1" w:styleId="ChapterHeadingGrey">
    <w:name w:val="Chapter Heading Grey"/>
    <w:basedOn w:val="ChapterHeadingSense"/>
    <w:semiHidden/>
    <w:qFormat/>
    <w:rsid w:val="00914935"/>
    <w:rPr>
      <w:color w:val="595757"/>
    </w:rPr>
  </w:style>
  <w:style w:type="paragraph" w:customStyle="1" w:styleId="ObjectiveHeading0">
    <w:name w:val="Objective Heading"/>
    <w:basedOn w:val="Heading1"/>
    <w:next w:val="Normal"/>
    <w:semiHidden/>
    <w:qFormat/>
    <w:rsid w:val="00AB780D"/>
    <w:pPr>
      <w:numPr>
        <w:numId w:val="30"/>
      </w:numPr>
      <w:spacing w:after="0" w:line="360" w:lineRule="atLeast"/>
    </w:pPr>
    <w:rPr>
      <w:rFonts w:ascii="Univers" w:hAnsi="Univers"/>
      <w:caps/>
      <w:sz w:val="36"/>
    </w:rPr>
  </w:style>
  <w:style w:type="paragraph" w:customStyle="1" w:styleId="AppendixHeading">
    <w:name w:val="Appendix Heading"/>
    <w:basedOn w:val="Normal"/>
    <w:next w:val="Normal"/>
    <w:uiPriority w:val="49"/>
    <w:semiHidden/>
    <w:qFormat/>
    <w:rsid w:val="00927FA1"/>
    <w:pPr>
      <w:widowControl/>
      <w:numPr>
        <w:numId w:val="28"/>
      </w:numPr>
      <w:spacing w:before="0" w:line="400" w:lineRule="atLeast"/>
    </w:pPr>
    <w:rPr>
      <w:rFonts w:asciiTheme="majorHAnsi" w:hAnsiTheme="majorHAnsi"/>
      <w:b/>
      <w:color w:val="FFFFFF" w:themeColor="background2"/>
      <w:sz w:val="36"/>
    </w:rPr>
  </w:style>
  <w:style w:type="numbering" w:customStyle="1" w:styleId="ObjectiveHeading">
    <w:name w:val="ObjectiveHeading"/>
    <w:uiPriority w:val="99"/>
    <w:rsid w:val="00CF1403"/>
    <w:pPr>
      <w:numPr>
        <w:numId w:val="29"/>
      </w:numPr>
    </w:pPr>
  </w:style>
  <w:style w:type="paragraph" w:customStyle="1" w:styleId="IntroParagraph">
    <w:name w:val="Intro Paragraph"/>
    <w:basedOn w:val="Normal"/>
    <w:uiPriority w:val="4"/>
    <w:qFormat/>
    <w:rsid w:val="00B06254"/>
    <w:pPr>
      <w:spacing w:before="120" w:line="400" w:lineRule="atLeast"/>
    </w:pPr>
    <w:rPr>
      <w:color w:val="58595B"/>
      <w:sz w:val="28"/>
    </w:rPr>
  </w:style>
  <w:style w:type="character" w:customStyle="1" w:styleId="cf01">
    <w:name w:val="cf01"/>
    <w:basedOn w:val="DefaultParagraphFont"/>
    <w:rsid w:val="006C7842"/>
    <w:rPr>
      <w:rFonts w:ascii="Segoe UI" w:hAnsi="Segoe UI" w:cs="Segoe UI" w:hint="default"/>
      <w:sz w:val="18"/>
      <w:szCs w:val="18"/>
    </w:rPr>
  </w:style>
  <w:style w:type="character" w:styleId="PageNumber">
    <w:name w:val="page number"/>
    <w:basedOn w:val="DefaultParagraphFont"/>
    <w:uiPriority w:val="99"/>
    <w:semiHidden/>
    <w:unhideWhenUsed/>
    <w:rsid w:val="00951AA4"/>
  </w:style>
  <w:style w:type="paragraph" w:styleId="ListParagraph">
    <w:name w:val="List Paragraph"/>
    <w:basedOn w:val="Normal"/>
    <w:uiPriority w:val="34"/>
    <w:qFormat/>
    <w:rsid w:val="006F22A6"/>
    <w:pPr>
      <w:widowControl/>
      <w:numPr>
        <w:numId w:val="35"/>
      </w:numPr>
      <w:spacing w:before="120" w:after="120" w:line="320" w:lineRule="atLeast"/>
      <w:contextualSpacing/>
      <w:jc w:val="both"/>
    </w:pPr>
    <w:rPr>
      <w:rFonts w:cs="Times New Roman"/>
    </w:rPr>
  </w:style>
  <w:style w:type="paragraph" w:customStyle="1" w:styleId="Scenario">
    <w:name w:val="Scenario"/>
    <w:basedOn w:val="Normal"/>
    <w:autoRedefine/>
    <w:qFormat/>
    <w:rsid w:val="00042B30"/>
    <w:pPr>
      <w:widowControl/>
      <w:spacing w:before="120" w:after="120" w:line="320" w:lineRule="atLeast"/>
      <w:contextualSpacing/>
    </w:pPr>
    <w:rPr>
      <w:rFonts w:asciiTheme="minorHAnsi" w:hAnsiTheme="minorHAnsi" w:cs="Times New Roman"/>
      <w:i/>
      <w:iCs/>
      <w:sz w:val="20"/>
    </w:rPr>
  </w:style>
  <w:style w:type="paragraph" w:customStyle="1" w:styleId="EndNoteBibliography">
    <w:name w:val="EndNote Bibliography"/>
    <w:basedOn w:val="Normal"/>
    <w:link w:val="EndNoteBibliographyChar"/>
    <w:uiPriority w:val="1"/>
    <w:rsid w:val="00AC6881"/>
    <w:pPr>
      <w:widowControl/>
      <w:jc w:val="both"/>
    </w:pPr>
    <w:rPr>
      <w:rFonts w:asciiTheme="minorHAnsi" w:hAnsiTheme="minorHAnsi" w:cs="Times New Roman"/>
      <w:noProof/>
      <w:lang w:val="en-US"/>
    </w:rPr>
  </w:style>
  <w:style w:type="character" w:customStyle="1" w:styleId="EndNoteBibliographyChar">
    <w:name w:val="EndNote Bibliography Char"/>
    <w:basedOn w:val="DefaultParagraphFont"/>
    <w:link w:val="EndNoteBibliography"/>
    <w:uiPriority w:val="1"/>
    <w:rsid w:val="00AC6881"/>
    <w:rPr>
      <w:noProof/>
      <w:sz w:val="24"/>
      <w:szCs w:val="24"/>
      <w:lang w:val="en-US"/>
    </w:rPr>
  </w:style>
  <w:style w:type="character" w:customStyle="1" w:styleId="dont-break-out">
    <w:name w:val="dont-break-out"/>
    <w:basedOn w:val="DefaultParagraphFont"/>
    <w:rsid w:val="00AC6881"/>
  </w:style>
  <w:style w:type="paragraph" w:customStyle="1" w:styleId="IJIBTitle">
    <w:name w:val="IJIB | Title"/>
    <w:basedOn w:val="Normal"/>
    <w:qFormat/>
    <w:rsid w:val="00AC6881"/>
    <w:pPr>
      <w:widowControl/>
      <w:spacing w:before="480" w:after="480" w:line="240" w:lineRule="auto"/>
      <w:jc w:val="both"/>
    </w:pPr>
    <w:rPr>
      <w:rFonts w:ascii="Aptos Display" w:eastAsia="Times New Roman" w:hAnsi="Aptos Display" w:cstheme="minorHAnsi"/>
      <w:b/>
      <w:color w:val="auto"/>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71903">
      <w:bodyDiv w:val="1"/>
      <w:marLeft w:val="0"/>
      <w:marRight w:val="0"/>
      <w:marTop w:val="0"/>
      <w:marBottom w:val="0"/>
      <w:divBdr>
        <w:top w:val="none" w:sz="0" w:space="0" w:color="auto"/>
        <w:left w:val="none" w:sz="0" w:space="0" w:color="auto"/>
        <w:bottom w:val="none" w:sz="0" w:space="0" w:color="auto"/>
        <w:right w:val="none" w:sz="0" w:space="0" w:color="auto"/>
      </w:divBdr>
    </w:div>
    <w:div w:id="62615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doi.org/10.1177/14687941241234303" TargetMode="External"/><Relationship Id="rId39" Type="http://schemas.openxmlformats.org/officeDocument/2006/relationships/hyperlink" Target="https://www.niaa.gov.au/our-work/evaluations-and-evidence/indigenous-advancement-strategy-ias-evaluation-work-plan/time-work-employment-service-twes" TargetMode="External"/><Relationship Id="rId21" Type="http://schemas.openxmlformats.org/officeDocument/2006/relationships/hyperlink" Target="https://doi.org/10.1007/978-3-030-86545-0_11" TargetMode="External"/><Relationship Id="rId34" Type="http://schemas.openxmlformats.org/officeDocument/2006/relationships/hyperlink" Target="https://doi.org/10.1007/978-3-031-51650-4_269-1" TargetMode="External"/><Relationship Id="rId42" Type="http://schemas.openxmlformats.org/officeDocument/2006/relationships/hyperlink" Target="https://www.niaa.gov.au/our-work/employment-and-economic-development/community-development-program-cdp" TargetMode="External"/><Relationship Id="rId47" Type="http://schemas.openxmlformats.org/officeDocument/2006/relationships/hyperlink" Target="https://doi.org/10.5172/conu.2013.46.1.28" TargetMode="External"/><Relationship Id="rId50" Type="http://schemas.openxmlformats.org/officeDocument/2006/relationships/hyperlink" Target="https://doi.org/10.1111/ajr.13011" TargetMode="External"/><Relationship Id="rId55" Type="http://schemas.openxmlformats.org/officeDocument/2006/relationships/footer" Target="foot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dewr.gov.au/reconnection-employment-and-learning-real-program" TargetMode="External"/><Relationship Id="rId11" Type="http://schemas.openxmlformats.org/officeDocument/2006/relationships/header" Target="header1.xml"/><Relationship Id="rId24" Type="http://schemas.openxmlformats.org/officeDocument/2006/relationships/hyperlink" Target="https://doi.org/10.1007/978-3-031-40858-8_477-1" TargetMode="External"/><Relationship Id="rId32" Type="http://schemas.openxmlformats.org/officeDocument/2006/relationships/hyperlink" Target="https://doi.org/10.4337/9781800379008" TargetMode="External"/><Relationship Id="rId37" Type="http://schemas.openxmlformats.org/officeDocument/2006/relationships/hyperlink" Target="https://doi.org/10.4324/9781315528854" TargetMode="External"/><Relationship Id="rId40" Type="http://schemas.openxmlformats.org/officeDocument/2006/relationships/hyperlink" Target="https://www.niaa.gov.au/resource-centre/evaluation-indigenous-employment-programs-final-report" TargetMode="External"/><Relationship Id="rId45" Type="http://schemas.openxmlformats.org/officeDocument/2006/relationships/hyperlink" Target="https://doi.org/10.1016/j.exis.2024.101480" TargetMode="External"/><Relationship Id="rId53" Type="http://schemas.openxmlformats.org/officeDocument/2006/relationships/footer" Target="footer5.xml"/><Relationship Id="rId58" Type="http://schemas.microsoft.com/office/2020/10/relationships/intelligence" Target="intelligence2.xml"/><Relationship Id="rId5" Type="http://schemas.openxmlformats.org/officeDocument/2006/relationships/numbering" Target="numbering.xml"/><Relationship Id="rId19" Type="http://schemas.openxmlformats.org/officeDocument/2006/relationships/hyperlink" Target="https://doi.org/10.1111/ijmr.121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doi.org/10.18584/iipj.2020.11.1.10211" TargetMode="External"/><Relationship Id="rId27" Type="http://schemas.openxmlformats.org/officeDocument/2006/relationships/hyperlink" Target="https://doi.org/10.1080/09687599.2022.2071678" TargetMode="External"/><Relationship Id="rId30" Type="http://schemas.openxmlformats.org/officeDocument/2006/relationships/hyperlink" Target="https://doi.org/10.1111/ajr.12032" TargetMode="External"/><Relationship Id="rId35" Type="http://schemas.openxmlformats.org/officeDocument/2006/relationships/hyperlink" Target="https://www.maiamnayriwingara.org/" TargetMode="External"/><Relationship Id="rId43" Type="http://schemas.openxmlformats.org/officeDocument/2006/relationships/hyperlink" Target="https://doi.org/10.1111/jebm.12265" TargetMode="External"/><Relationship Id="rId48" Type="http://schemas.openxmlformats.org/officeDocument/2006/relationships/hyperlink" Target="https://doi.org/10.1002/ajs4.70071"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doi.org/%2010.60836/54vk-e293" TargetMode="External"/><Relationship Id="rId25" Type="http://schemas.openxmlformats.org/officeDocument/2006/relationships/hyperlink" Target="https://doi.org/10.1108/978-1-83708-960-420251002" TargetMode="External"/><Relationship Id="rId33" Type="http://schemas.openxmlformats.org/officeDocument/2006/relationships/hyperlink" Target="https://doi.org/10.64222/ELVC5854" TargetMode="External"/><Relationship Id="rId38" Type="http://schemas.openxmlformats.org/officeDocument/2006/relationships/hyperlink" Target="https://www.naccho.org.au/" TargetMode="External"/><Relationship Id="rId46" Type="http://schemas.openxmlformats.org/officeDocument/2006/relationships/hyperlink" Target="https://doi.org/10.2307/1409555" TargetMode="External"/><Relationship Id="rId20" Type="http://schemas.openxmlformats.org/officeDocument/2006/relationships/hyperlink" Target="https://www.anao.gov.au/work/performance-audit/remote-employment-programs" TargetMode="External"/><Relationship Id="rId41" Type="http://schemas.openxmlformats.org/officeDocument/2006/relationships/hyperlink" Target="https://www.niaa.gov.au/niaa-corporate-plan-2025-29/our-performance/key-activity-3" TargetMode="External"/><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doi.org/10.1080/09687599.2023.2287409" TargetMode="External"/><Relationship Id="rId28" Type="http://schemas.openxmlformats.org/officeDocument/2006/relationships/hyperlink" Target="https://doi.org/10.1111/ajr.13164" TargetMode="External"/><Relationship Id="rId36" Type="http://schemas.openxmlformats.org/officeDocument/2006/relationships/hyperlink" Target="https://doi.org/10.1071/AHv45n4_ED2" TargetMode="External"/><Relationship Id="rId49" Type="http://schemas.openxmlformats.org/officeDocument/2006/relationships/hyperlink" Target="https://doi.org/10.1002/ajs4.126"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doi.org/10.1111/ajr.13020" TargetMode="External"/><Relationship Id="rId44" Type="http://schemas.openxmlformats.org/officeDocument/2006/relationships/hyperlink" Target="https://doi.org/10.1007/s12546-016-9159-y" TargetMode="External"/><Relationship Id="rId52" Type="http://schemas.openxmlformats.org/officeDocument/2006/relationships/header" Target="header5.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Y0002\OneDrive%20-%20Social%20Services\Desktop\PlainPage_CIE%20(1).dotx" TargetMode="External"/></Relationships>
</file>

<file path=word/theme/theme1.xml><?xml version="1.0" encoding="utf-8"?>
<a:theme xmlns:a="http://schemas.openxmlformats.org/drawingml/2006/main" name="FluentTheme">
  <a:themeElements>
    <a:clrScheme name="CIE Colours">
      <a:dk1>
        <a:sysClr val="windowText" lastClr="000000"/>
      </a:dk1>
      <a:lt1>
        <a:sysClr val="window" lastClr="FFFFFF"/>
      </a:lt1>
      <a:dk2>
        <a:srgbClr val="404040"/>
      </a:dk2>
      <a:lt2>
        <a:srgbClr val="FFFFFF"/>
      </a:lt2>
      <a:accent1>
        <a:srgbClr val="65328F"/>
      </a:accent1>
      <a:accent2>
        <a:srgbClr val="D83D0E"/>
      </a:accent2>
      <a:accent3>
        <a:srgbClr val="7F7F7F"/>
      </a:accent3>
      <a:accent4>
        <a:srgbClr val="3F3F3F"/>
      </a:accent4>
      <a:accent5>
        <a:srgbClr val="C0C0C0"/>
      </a:accent5>
      <a:accent6>
        <a:srgbClr val="E6E6E6"/>
      </a:accent6>
      <a:hlink>
        <a:srgbClr val="65328F"/>
      </a:hlink>
      <a:folHlink>
        <a:srgbClr val="000000"/>
      </a:folHlink>
    </a:clrScheme>
    <a:fontScheme name="CIE Font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E6E6E6"/>
        </a:solidFill>
        <a:ln>
          <a:noFill/>
        </a:ln>
      </a:spPr>
      <a:bodyPr rot="0" spcFirstLastPara="0" vertOverflow="overflow" horzOverflow="overflow" vert="horz" wrap="square" lIns="0" tIns="0" rIns="0" bIns="0" numCol="1" spcCol="0" rtlCol="0" fromWordArt="0" anchor="ctr" anchorCtr="0" forceAA="0" compatLnSpc="1">
        <a:prstTxWarp prst="textNoShape">
          <a:avLst/>
        </a:prstTxWarp>
        <a:noAutofit/>
      </a:bodyPr>
      <a:lstStyle>
        <a:defPPr algn="ctr">
          <a:defRPr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Dark Red">
      <a:srgbClr val="35191D"/>
    </a:custClr>
    <a:custClr name="Blue">
      <a:srgbClr val="10456F"/>
    </a:custClr>
  </a:custClrLst>
  <a:extLst>
    <a:ext uri="{05A4C25C-085E-4340-85A3-A5531E510DB2}">
      <thm15:themeFamily xmlns:thm15="http://schemas.microsoft.com/office/thememl/2012/main" name="FluentTheme" id="{46935108-226C-45B2-99C8-A0D46482D76C}" vid="{FBBC5CD3-E437-4D2C-86E8-497A4E575BE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8B4CEBC3EFB64D8776CBB478333CB8" ma:contentTypeVersion="12" ma:contentTypeDescription="Create a new document." ma:contentTypeScope="" ma:versionID="97877900e3c65e7ec21ea73c693d32e0">
  <xsd:schema xmlns:xsd="http://www.w3.org/2001/XMLSchema" xmlns:xs="http://www.w3.org/2001/XMLSchema" xmlns:p="http://schemas.microsoft.com/office/2006/metadata/properties" xmlns:ns2="b6b76d2c-2ce0-4b29-9774-d911e4cdae52" xmlns:ns3="21b01f07-3cac-47ba-bcbc-afa91b3a6d9c" targetNamespace="http://schemas.microsoft.com/office/2006/metadata/properties" ma:root="true" ma:fieldsID="700ea0ac7cedce344d4ec0ae1f23b98d" ns2:_="" ns3:_="">
    <xsd:import namespace="b6b76d2c-2ce0-4b29-9774-d911e4cdae52"/>
    <xsd:import namespace="21b01f07-3cac-47ba-bcbc-afa91b3a6d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76d2c-2ce0-4b29-9774-d911e4cda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4b2f4e7-b333-4133-9696-cdcd9b8dc49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b01f07-3cac-47ba-bcbc-afa91b3a6d9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f2f1a7f-43e4-44a0-95bf-e02566dc988c}" ma:internalName="TaxCatchAll" ma:showField="CatchAllData" ma:web="21b01f07-3cac-47ba-bcbc-afa91b3a6d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1b01f07-3cac-47ba-bcbc-afa91b3a6d9c" xsi:nil="true"/>
    <lcf76f155ced4ddcb4097134ff3c332f xmlns="b6b76d2c-2ce0-4b29-9774-d911e4cda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F360F3-D3D6-47D8-8E66-69EACD748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76d2c-2ce0-4b29-9774-d911e4cdae52"/>
    <ds:schemaRef ds:uri="21b01f07-3cac-47ba-bcbc-afa91b3a6d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F7A929-B099-4667-B995-3C81F5059F76}">
  <ds:schemaRefs>
    <ds:schemaRef ds:uri="http://schemas.microsoft.com/sharepoint/v3/contenttype/forms"/>
  </ds:schemaRefs>
</ds:datastoreItem>
</file>

<file path=customXml/itemProps3.xml><?xml version="1.0" encoding="utf-8"?>
<ds:datastoreItem xmlns:ds="http://schemas.openxmlformats.org/officeDocument/2006/customXml" ds:itemID="{F6E68771-488F-9643-B4E5-1C65655EBDFD}">
  <ds:schemaRefs>
    <ds:schemaRef ds:uri="http://schemas.openxmlformats.org/officeDocument/2006/bibliography"/>
  </ds:schemaRefs>
</ds:datastoreItem>
</file>

<file path=customXml/itemProps4.xml><?xml version="1.0" encoding="utf-8"?>
<ds:datastoreItem xmlns:ds="http://schemas.openxmlformats.org/officeDocument/2006/customXml" ds:itemID="{5EDE01B4-6136-4AF1-AFBD-248E89955CAB}">
  <ds:schemaRefs>
    <ds:schemaRef ds:uri="http://schemas.microsoft.com/office/2006/metadata/properties"/>
    <ds:schemaRef ds:uri="http://schemas.microsoft.com/office/infopath/2007/PartnerControls"/>
    <ds:schemaRef ds:uri="21b01f07-3cac-47ba-bcbc-afa91b3a6d9c"/>
    <ds:schemaRef ds:uri="b6b76d2c-2ce0-4b29-9774-d911e4cdae52"/>
  </ds:schemaRefs>
</ds:datastoreItem>
</file>

<file path=docMetadata/LabelInfo.xml><?xml version="1.0" encoding="utf-8"?>
<clbl:labelList xmlns:clbl="http://schemas.microsoft.com/office/2020/mipLabelMetadata">
  <clbl:label id="{5583b3fa-365b-4fa2-9885-a560b35483b3}" enabled="1" method="Standard" siteId="{df7f7579-3e9c-4a7e-b844-420280f53859}" removed="0"/>
  <clbl:label id="{b6e377cf-9db3-46cb-91a2-fad9605bb15c}" enabled="0" method="" siteId="{b6e377cf-9db3-46cb-91a2-fad9605bb15c}" removed="1"/>
</clbl:labelList>
</file>

<file path=docProps/app.xml><?xml version="1.0" encoding="utf-8"?>
<Properties xmlns="http://schemas.openxmlformats.org/officeDocument/2006/extended-properties" xmlns:vt="http://schemas.openxmlformats.org/officeDocument/2006/docPropsVTypes">
  <Template>C:\Users\ZY0002\OneDrive - Social Services\Desktop\PlainPage_CIE (1).dotx</Template>
  <TotalTime>7</TotalTime>
  <Pages>50</Pages>
  <Words>15701</Words>
  <Characters>101748</Characters>
  <Application>Microsoft Office Word</Application>
  <DocSecurity>0</DocSecurity>
  <Lines>1849</Lines>
  <Paragraphs>593</Paragraphs>
  <ScaleCrop>false</ScaleCrop>
  <Manager/>
  <Company>Centre for Inclusive Employment</Company>
  <LinksUpToDate>false</LinksUpToDate>
  <CharactersWithSpaces>116856</CharactersWithSpaces>
  <SharedDoc>false</SharedDoc>
  <HyperlinkBase/>
  <HLinks>
    <vt:vector size="456" baseType="variant">
      <vt:variant>
        <vt:i4>5505096</vt:i4>
      </vt:variant>
      <vt:variant>
        <vt:i4>362</vt:i4>
      </vt:variant>
      <vt:variant>
        <vt:i4>0</vt:i4>
      </vt:variant>
      <vt:variant>
        <vt:i4>5</vt:i4>
      </vt:variant>
      <vt:variant>
        <vt:lpwstr>https://doi.org/10.1111/ajr.13011</vt:lpwstr>
      </vt:variant>
      <vt:variant>
        <vt:lpwstr/>
      </vt:variant>
      <vt:variant>
        <vt:i4>4849750</vt:i4>
      </vt:variant>
      <vt:variant>
        <vt:i4>359</vt:i4>
      </vt:variant>
      <vt:variant>
        <vt:i4>0</vt:i4>
      </vt:variant>
      <vt:variant>
        <vt:i4>5</vt:i4>
      </vt:variant>
      <vt:variant>
        <vt:lpwstr>https://doi.org/10.1002/ajs4.126</vt:lpwstr>
      </vt:variant>
      <vt:variant>
        <vt:lpwstr/>
      </vt:variant>
      <vt:variant>
        <vt:i4>8061027</vt:i4>
      </vt:variant>
      <vt:variant>
        <vt:i4>356</vt:i4>
      </vt:variant>
      <vt:variant>
        <vt:i4>0</vt:i4>
      </vt:variant>
      <vt:variant>
        <vt:i4>5</vt:i4>
      </vt:variant>
      <vt:variant>
        <vt:lpwstr>https://doi.org/10.1002/ajs4.70071</vt:lpwstr>
      </vt:variant>
      <vt:variant>
        <vt:lpwstr/>
      </vt:variant>
      <vt:variant>
        <vt:i4>1179725</vt:i4>
      </vt:variant>
      <vt:variant>
        <vt:i4>353</vt:i4>
      </vt:variant>
      <vt:variant>
        <vt:i4>0</vt:i4>
      </vt:variant>
      <vt:variant>
        <vt:i4>5</vt:i4>
      </vt:variant>
      <vt:variant>
        <vt:lpwstr>https://doi.org/10.5172/conu.2013.46.1.28</vt:lpwstr>
      </vt:variant>
      <vt:variant>
        <vt:lpwstr/>
      </vt:variant>
      <vt:variant>
        <vt:i4>2621546</vt:i4>
      </vt:variant>
      <vt:variant>
        <vt:i4>350</vt:i4>
      </vt:variant>
      <vt:variant>
        <vt:i4>0</vt:i4>
      </vt:variant>
      <vt:variant>
        <vt:i4>5</vt:i4>
      </vt:variant>
      <vt:variant>
        <vt:lpwstr>https://doi.org/10.2307/1409555</vt:lpwstr>
      </vt:variant>
      <vt:variant>
        <vt:lpwstr/>
      </vt:variant>
      <vt:variant>
        <vt:i4>2949160</vt:i4>
      </vt:variant>
      <vt:variant>
        <vt:i4>347</vt:i4>
      </vt:variant>
      <vt:variant>
        <vt:i4>0</vt:i4>
      </vt:variant>
      <vt:variant>
        <vt:i4>5</vt:i4>
      </vt:variant>
      <vt:variant>
        <vt:lpwstr>https://doi.org/10.1016/j.exis.2024.101480</vt:lpwstr>
      </vt:variant>
      <vt:variant>
        <vt:lpwstr/>
      </vt:variant>
      <vt:variant>
        <vt:i4>393233</vt:i4>
      </vt:variant>
      <vt:variant>
        <vt:i4>344</vt:i4>
      </vt:variant>
      <vt:variant>
        <vt:i4>0</vt:i4>
      </vt:variant>
      <vt:variant>
        <vt:i4>5</vt:i4>
      </vt:variant>
      <vt:variant>
        <vt:lpwstr>https://doi.org/10.1007/s12546-016-9159-y</vt:lpwstr>
      </vt:variant>
      <vt:variant>
        <vt:lpwstr/>
      </vt:variant>
      <vt:variant>
        <vt:i4>2883704</vt:i4>
      </vt:variant>
      <vt:variant>
        <vt:i4>341</vt:i4>
      </vt:variant>
      <vt:variant>
        <vt:i4>0</vt:i4>
      </vt:variant>
      <vt:variant>
        <vt:i4>5</vt:i4>
      </vt:variant>
      <vt:variant>
        <vt:lpwstr>https://doi.org/10.1111/jebm.12265</vt:lpwstr>
      </vt:variant>
      <vt:variant>
        <vt:lpwstr/>
      </vt:variant>
      <vt:variant>
        <vt:i4>3080229</vt:i4>
      </vt:variant>
      <vt:variant>
        <vt:i4>338</vt:i4>
      </vt:variant>
      <vt:variant>
        <vt:i4>0</vt:i4>
      </vt:variant>
      <vt:variant>
        <vt:i4>5</vt:i4>
      </vt:variant>
      <vt:variant>
        <vt:lpwstr>https://www.niaa.gov.au/our-work/employment-and-economic-development/community-development-program-cdp</vt:lpwstr>
      </vt:variant>
      <vt:variant>
        <vt:lpwstr/>
      </vt:variant>
      <vt:variant>
        <vt:i4>2883691</vt:i4>
      </vt:variant>
      <vt:variant>
        <vt:i4>335</vt:i4>
      </vt:variant>
      <vt:variant>
        <vt:i4>0</vt:i4>
      </vt:variant>
      <vt:variant>
        <vt:i4>5</vt:i4>
      </vt:variant>
      <vt:variant>
        <vt:lpwstr>https://www.niaa.gov.au/niaa-corporate-plan-2025-29/our-performance/key-activity-3</vt:lpwstr>
      </vt:variant>
      <vt:variant>
        <vt:lpwstr/>
      </vt:variant>
      <vt:variant>
        <vt:i4>7143525</vt:i4>
      </vt:variant>
      <vt:variant>
        <vt:i4>332</vt:i4>
      </vt:variant>
      <vt:variant>
        <vt:i4>0</vt:i4>
      </vt:variant>
      <vt:variant>
        <vt:i4>5</vt:i4>
      </vt:variant>
      <vt:variant>
        <vt:lpwstr>https://www.niaa.gov.au/resource-centre/evaluation-indigenous-employment-programs-final-report</vt:lpwstr>
      </vt:variant>
      <vt:variant>
        <vt:lpwstr/>
      </vt:variant>
      <vt:variant>
        <vt:i4>1114178</vt:i4>
      </vt:variant>
      <vt:variant>
        <vt:i4>329</vt:i4>
      </vt:variant>
      <vt:variant>
        <vt:i4>0</vt:i4>
      </vt:variant>
      <vt:variant>
        <vt:i4>5</vt:i4>
      </vt:variant>
      <vt:variant>
        <vt:lpwstr>https://www.niaa.gov.au/our-work/evaluations-and-evidence/indigenous-advancement-strategy-ias-evaluation-work-plan/time-work-employment-service-twes</vt:lpwstr>
      </vt:variant>
      <vt:variant>
        <vt:lpwstr/>
      </vt:variant>
      <vt:variant>
        <vt:i4>6488098</vt:i4>
      </vt:variant>
      <vt:variant>
        <vt:i4>326</vt:i4>
      </vt:variant>
      <vt:variant>
        <vt:i4>0</vt:i4>
      </vt:variant>
      <vt:variant>
        <vt:i4>5</vt:i4>
      </vt:variant>
      <vt:variant>
        <vt:lpwstr>https://www.naccho.org.au/</vt:lpwstr>
      </vt:variant>
      <vt:variant>
        <vt:lpwstr/>
      </vt:variant>
      <vt:variant>
        <vt:i4>1769552</vt:i4>
      </vt:variant>
      <vt:variant>
        <vt:i4>323</vt:i4>
      </vt:variant>
      <vt:variant>
        <vt:i4>0</vt:i4>
      </vt:variant>
      <vt:variant>
        <vt:i4>5</vt:i4>
      </vt:variant>
      <vt:variant>
        <vt:lpwstr>https://doi.org/10.4324/9781315528854</vt:lpwstr>
      </vt:variant>
      <vt:variant>
        <vt:lpwstr/>
      </vt:variant>
      <vt:variant>
        <vt:i4>1900584</vt:i4>
      </vt:variant>
      <vt:variant>
        <vt:i4>320</vt:i4>
      </vt:variant>
      <vt:variant>
        <vt:i4>0</vt:i4>
      </vt:variant>
      <vt:variant>
        <vt:i4>5</vt:i4>
      </vt:variant>
      <vt:variant>
        <vt:lpwstr>https://doi.org/10.1071/AHv45n4_ED2</vt:lpwstr>
      </vt:variant>
      <vt:variant>
        <vt:lpwstr/>
      </vt:variant>
      <vt:variant>
        <vt:i4>3735595</vt:i4>
      </vt:variant>
      <vt:variant>
        <vt:i4>317</vt:i4>
      </vt:variant>
      <vt:variant>
        <vt:i4>0</vt:i4>
      </vt:variant>
      <vt:variant>
        <vt:i4>5</vt:i4>
      </vt:variant>
      <vt:variant>
        <vt:lpwstr>https://www.maiamnayriwingara.org/</vt:lpwstr>
      </vt:variant>
      <vt:variant>
        <vt:lpwstr/>
      </vt:variant>
      <vt:variant>
        <vt:i4>5701730</vt:i4>
      </vt:variant>
      <vt:variant>
        <vt:i4>314</vt:i4>
      </vt:variant>
      <vt:variant>
        <vt:i4>0</vt:i4>
      </vt:variant>
      <vt:variant>
        <vt:i4>5</vt:i4>
      </vt:variant>
      <vt:variant>
        <vt:lpwstr>https://doi.org/10.1007/978-3-031-51650-4_269-1</vt:lpwstr>
      </vt:variant>
      <vt:variant>
        <vt:lpwstr/>
      </vt:variant>
      <vt:variant>
        <vt:i4>1572932</vt:i4>
      </vt:variant>
      <vt:variant>
        <vt:i4>311</vt:i4>
      </vt:variant>
      <vt:variant>
        <vt:i4>0</vt:i4>
      </vt:variant>
      <vt:variant>
        <vt:i4>5</vt:i4>
      </vt:variant>
      <vt:variant>
        <vt:lpwstr>https://doi.org/10.64222/ELVC5854</vt:lpwstr>
      </vt:variant>
      <vt:variant>
        <vt:lpwstr/>
      </vt:variant>
      <vt:variant>
        <vt:i4>1638480</vt:i4>
      </vt:variant>
      <vt:variant>
        <vt:i4>308</vt:i4>
      </vt:variant>
      <vt:variant>
        <vt:i4>0</vt:i4>
      </vt:variant>
      <vt:variant>
        <vt:i4>5</vt:i4>
      </vt:variant>
      <vt:variant>
        <vt:lpwstr>https://doi.org/10.4337/9781800379008</vt:lpwstr>
      </vt:variant>
      <vt:variant>
        <vt:lpwstr/>
      </vt:variant>
      <vt:variant>
        <vt:i4>5701704</vt:i4>
      </vt:variant>
      <vt:variant>
        <vt:i4>305</vt:i4>
      </vt:variant>
      <vt:variant>
        <vt:i4>0</vt:i4>
      </vt:variant>
      <vt:variant>
        <vt:i4>5</vt:i4>
      </vt:variant>
      <vt:variant>
        <vt:lpwstr>https://doi.org/10.1111/ajr.13020</vt:lpwstr>
      </vt:variant>
      <vt:variant>
        <vt:lpwstr/>
      </vt:variant>
      <vt:variant>
        <vt:i4>5701704</vt:i4>
      </vt:variant>
      <vt:variant>
        <vt:i4>302</vt:i4>
      </vt:variant>
      <vt:variant>
        <vt:i4>0</vt:i4>
      </vt:variant>
      <vt:variant>
        <vt:i4>5</vt:i4>
      </vt:variant>
      <vt:variant>
        <vt:lpwstr>https://doi.org/10.1111/ajr.12032</vt:lpwstr>
      </vt:variant>
      <vt:variant>
        <vt:lpwstr/>
      </vt:variant>
      <vt:variant>
        <vt:i4>4456525</vt:i4>
      </vt:variant>
      <vt:variant>
        <vt:i4>299</vt:i4>
      </vt:variant>
      <vt:variant>
        <vt:i4>0</vt:i4>
      </vt:variant>
      <vt:variant>
        <vt:i4>5</vt:i4>
      </vt:variant>
      <vt:variant>
        <vt:lpwstr>https://www.dewr.gov.au/reconnection-employment-and-learning-real-program</vt:lpwstr>
      </vt:variant>
      <vt:variant>
        <vt:lpwstr/>
      </vt:variant>
      <vt:variant>
        <vt:i4>5439561</vt:i4>
      </vt:variant>
      <vt:variant>
        <vt:i4>296</vt:i4>
      </vt:variant>
      <vt:variant>
        <vt:i4>0</vt:i4>
      </vt:variant>
      <vt:variant>
        <vt:i4>5</vt:i4>
      </vt:variant>
      <vt:variant>
        <vt:lpwstr>https://doi.org/10.1111/ajr.13164</vt:lpwstr>
      </vt:variant>
      <vt:variant>
        <vt:lpwstr/>
      </vt:variant>
      <vt:variant>
        <vt:i4>917581</vt:i4>
      </vt:variant>
      <vt:variant>
        <vt:i4>293</vt:i4>
      </vt:variant>
      <vt:variant>
        <vt:i4>0</vt:i4>
      </vt:variant>
      <vt:variant>
        <vt:i4>5</vt:i4>
      </vt:variant>
      <vt:variant>
        <vt:lpwstr>https://doi.org/10.1080/09687599.2022.2071678</vt:lpwstr>
      </vt:variant>
      <vt:variant>
        <vt:lpwstr/>
      </vt:variant>
      <vt:variant>
        <vt:i4>1179739</vt:i4>
      </vt:variant>
      <vt:variant>
        <vt:i4>290</vt:i4>
      </vt:variant>
      <vt:variant>
        <vt:i4>0</vt:i4>
      </vt:variant>
      <vt:variant>
        <vt:i4>5</vt:i4>
      </vt:variant>
      <vt:variant>
        <vt:lpwstr>https://doi.org/10.1177/14687941241234303</vt:lpwstr>
      </vt:variant>
      <vt:variant>
        <vt:lpwstr/>
      </vt:variant>
      <vt:variant>
        <vt:i4>1048668</vt:i4>
      </vt:variant>
      <vt:variant>
        <vt:i4>287</vt:i4>
      </vt:variant>
      <vt:variant>
        <vt:i4>0</vt:i4>
      </vt:variant>
      <vt:variant>
        <vt:i4>5</vt:i4>
      </vt:variant>
      <vt:variant>
        <vt:lpwstr>https://doi.org/10.1108/978-1-83708-960-420251002</vt:lpwstr>
      </vt:variant>
      <vt:variant>
        <vt:lpwstr/>
      </vt:variant>
      <vt:variant>
        <vt:i4>5701729</vt:i4>
      </vt:variant>
      <vt:variant>
        <vt:i4>284</vt:i4>
      </vt:variant>
      <vt:variant>
        <vt:i4>0</vt:i4>
      </vt:variant>
      <vt:variant>
        <vt:i4>5</vt:i4>
      </vt:variant>
      <vt:variant>
        <vt:lpwstr>https://doi.org/10.1007/978-3-031-40858-8_477-1</vt:lpwstr>
      </vt:variant>
      <vt:variant>
        <vt:lpwstr/>
      </vt:variant>
      <vt:variant>
        <vt:i4>852033</vt:i4>
      </vt:variant>
      <vt:variant>
        <vt:i4>281</vt:i4>
      </vt:variant>
      <vt:variant>
        <vt:i4>0</vt:i4>
      </vt:variant>
      <vt:variant>
        <vt:i4>5</vt:i4>
      </vt:variant>
      <vt:variant>
        <vt:lpwstr>https://doi.org/10.1080/09687599.2023.2287409</vt:lpwstr>
      </vt:variant>
      <vt:variant>
        <vt:lpwstr/>
      </vt:variant>
      <vt:variant>
        <vt:i4>655451</vt:i4>
      </vt:variant>
      <vt:variant>
        <vt:i4>278</vt:i4>
      </vt:variant>
      <vt:variant>
        <vt:i4>0</vt:i4>
      </vt:variant>
      <vt:variant>
        <vt:i4>5</vt:i4>
      </vt:variant>
      <vt:variant>
        <vt:lpwstr>https://doi.org/10.18584/iipj.2020.11.1.10211</vt:lpwstr>
      </vt:variant>
      <vt:variant>
        <vt:lpwstr/>
      </vt:variant>
      <vt:variant>
        <vt:i4>8061014</vt:i4>
      </vt:variant>
      <vt:variant>
        <vt:i4>275</vt:i4>
      </vt:variant>
      <vt:variant>
        <vt:i4>0</vt:i4>
      </vt:variant>
      <vt:variant>
        <vt:i4>5</vt:i4>
      </vt:variant>
      <vt:variant>
        <vt:lpwstr>https://doi.org/10.1007/978-3-030-86545-0_11</vt:lpwstr>
      </vt:variant>
      <vt:variant>
        <vt:lpwstr/>
      </vt:variant>
      <vt:variant>
        <vt:i4>4653138</vt:i4>
      </vt:variant>
      <vt:variant>
        <vt:i4>272</vt:i4>
      </vt:variant>
      <vt:variant>
        <vt:i4>0</vt:i4>
      </vt:variant>
      <vt:variant>
        <vt:i4>5</vt:i4>
      </vt:variant>
      <vt:variant>
        <vt:lpwstr>https://www.anao.gov.au/work/performance-audit/remote-employment-programs</vt:lpwstr>
      </vt:variant>
      <vt:variant>
        <vt:lpwstr/>
      </vt:variant>
      <vt:variant>
        <vt:i4>3670130</vt:i4>
      </vt:variant>
      <vt:variant>
        <vt:i4>269</vt:i4>
      </vt:variant>
      <vt:variant>
        <vt:i4>0</vt:i4>
      </vt:variant>
      <vt:variant>
        <vt:i4>5</vt:i4>
      </vt:variant>
      <vt:variant>
        <vt:lpwstr>https://doi.org/10.1111/ijmr.12102</vt:lpwstr>
      </vt:variant>
      <vt:variant>
        <vt:lpwstr/>
      </vt:variant>
      <vt:variant>
        <vt:i4>1179699</vt:i4>
      </vt:variant>
      <vt:variant>
        <vt:i4>262</vt:i4>
      </vt:variant>
      <vt:variant>
        <vt:i4>0</vt:i4>
      </vt:variant>
      <vt:variant>
        <vt:i4>5</vt:i4>
      </vt:variant>
      <vt:variant>
        <vt:lpwstr/>
      </vt:variant>
      <vt:variant>
        <vt:lpwstr>_Toc230193844</vt:lpwstr>
      </vt:variant>
      <vt:variant>
        <vt:i4>1179699</vt:i4>
      </vt:variant>
      <vt:variant>
        <vt:i4>256</vt:i4>
      </vt:variant>
      <vt:variant>
        <vt:i4>0</vt:i4>
      </vt:variant>
      <vt:variant>
        <vt:i4>5</vt:i4>
      </vt:variant>
      <vt:variant>
        <vt:lpwstr/>
      </vt:variant>
      <vt:variant>
        <vt:lpwstr>_Toc230193843</vt:lpwstr>
      </vt:variant>
      <vt:variant>
        <vt:i4>1179699</vt:i4>
      </vt:variant>
      <vt:variant>
        <vt:i4>250</vt:i4>
      </vt:variant>
      <vt:variant>
        <vt:i4>0</vt:i4>
      </vt:variant>
      <vt:variant>
        <vt:i4>5</vt:i4>
      </vt:variant>
      <vt:variant>
        <vt:lpwstr/>
      </vt:variant>
      <vt:variant>
        <vt:lpwstr>_Toc230193842</vt:lpwstr>
      </vt:variant>
      <vt:variant>
        <vt:i4>1179699</vt:i4>
      </vt:variant>
      <vt:variant>
        <vt:i4>244</vt:i4>
      </vt:variant>
      <vt:variant>
        <vt:i4>0</vt:i4>
      </vt:variant>
      <vt:variant>
        <vt:i4>5</vt:i4>
      </vt:variant>
      <vt:variant>
        <vt:lpwstr/>
      </vt:variant>
      <vt:variant>
        <vt:lpwstr>_Toc230193841</vt:lpwstr>
      </vt:variant>
      <vt:variant>
        <vt:i4>1179699</vt:i4>
      </vt:variant>
      <vt:variant>
        <vt:i4>238</vt:i4>
      </vt:variant>
      <vt:variant>
        <vt:i4>0</vt:i4>
      </vt:variant>
      <vt:variant>
        <vt:i4>5</vt:i4>
      </vt:variant>
      <vt:variant>
        <vt:lpwstr/>
      </vt:variant>
      <vt:variant>
        <vt:lpwstr>_Toc230193840</vt:lpwstr>
      </vt:variant>
      <vt:variant>
        <vt:i4>1376307</vt:i4>
      </vt:variant>
      <vt:variant>
        <vt:i4>232</vt:i4>
      </vt:variant>
      <vt:variant>
        <vt:i4>0</vt:i4>
      </vt:variant>
      <vt:variant>
        <vt:i4>5</vt:i4>
      </vt:variant>
      <vt:variant>
        <vt:lpwstr/>
      </vt:variant>
      <vt:variant>
        <vt:lpwstr>_Toc230193839</vt:lpwstr>
      </vt:variant>
      <vt:variant>
        <vt:i4>1376307</vt:i4>
      </vt:variant>
      <vt:variant>
        <vt:i4>226</vt:i4>
      </vt:variant>
      <vt:variant>
        <vt:i4>0</vt:i4>
      </vt:variant>
      <vt:variant>
        <vt:i4>5</vt:i4>
      </vt:variant>
      <vt:variant>
        <vt:lpwstr/>
      </vt:variant>
      <vt:variant>
        <vt:lpwstr>_Toc230193838</vt:lpwstr>
      </vt:variant>
      <vt:variant>
        <vt:i4>1376307</vt:i4>
      </vt:variant>
      <vt:variant>
        <vt:i4>220</vt:i4>
      </vt:variant>
      <vt:variant>
        <vt:i4>0</vt:i4>
      </vt:variant>
      <vt:variant>
        <vt:i4>5</vt:i4>
      </vt:variant>
      <vt:variant>
        <vt:lpwstr/>
      </vt:variant>
      <vt:variant>
        <vt:lpwstr>_Toc230193837</vt:lpwstr>
      </vt:variant>
      <vt:variant>
        <vt:i4>1376307</vt:i4>
      </vt:variant>
      <vt:variant>
        <vt:i4>214</vt:i4>
      </vt:variant>
      <vt:variant>
        <vt:i4>0</vt:i4>
      </vt:variant>
      <vt:variant>
        <vt:i4>5</vt:i4>
      </vt:variant>
      <vt:variant>
        <vt:lpwstr/>
      </vt:variant>
      <vt:variant>
        <vt:lpwstr>_Toc230193836</vt:lpwstr>
      </vt:variant>
      <vt:variant>
        <vt:i4>1376307</vt:i4>
      </vt:variant>
      <vt:variant>
        <vt:i4>208</vt:i4>
      </vt:variant>
      <vt:variant>
        <vt:i4>0</vt:i4>
      </vt:variant>
      <vt:variant>
        <vt:i4>5</vt:i4>
      </vt:variant>
      <vt:variant>
        <vt:lpwstr/>
      </vt:variant>
      <vt:variant>
        <vt:lpwstr>_Toc230193835</vt:lpwstr>
      </vt:variant>
      <vt:variant>
        <vt:i4>1376307</vt:i4>
      </vt:variant>
      <vt:variant>
        <vt:i4>202</vt:i4>
      </vt:variant>
      <vt:variant>
        <vt:i4>0</vt:i4>
      </vt:variant>
      <vt:variant>
        <vt:i4>5</vt:i4>
      </vt:variant>
      <vt:variant>
        <vt:lpwstr/>
      </vt:variant>
      <vt:variant>
        <vt:lpwstr>_Toc230193834</vt:lpwstr>
      </vt:variant>
      <vt:variant>
        <vt:i4>1376307</vt:i4>
      </vt:variant>
      <vt:variant>
        <vt:i4>196</vt:i4>
      </vt:variant>
      <vt:variant>
        <vt:i4>0</vt:i4>
      </vt:variant>
      <vt:variant>
        <vt:i4>5</vt:i4>
      </vt:variant>
      <vt:variant>
        <vt:lpwstr/>
      </vt:variant>
      <vt:variant>
        <vt:lpwstr>_Toc230193833</vt:lpwstr>
      </vt:variant>
      <vt:variant>
        <vt:i4>1376307</vt:i4>
      </vt:variant>
      <vt:variant>
        <vt:i4>190</vt:i4>
      </vt:variant>
      <vt:variant>
        <vt:i4>0</vt:i4>
      </vt:variant>
      <vt:variant>
        <vt:i4>5</vt:i4>
      </vt:variant>
      <vt:variant>
        <vt:lpwstr/>
      </vt:variant>
      <vt:variant>
        <vt:lpwstr>_Toc230193832</vt:lpwstr>
      </vt:variant>
      <vt:variant>
        <vt:i4>1376307</vt:i4>
      </vt:variant>
      <vt:variant>
        <vt:i4>184</vt:i4>
      </vt:variant>
      <vt:variant>
        <vt:i4>0</vt:i4>
      </vt:variant>
      <vt:variant>
        <vt:i4>5</vt:i4>
      </vt:variant>
      <vt:variant>
        <vt:lpwstr/>
      </vt:variant>
      <vt:variant>
        <vt:lpwstr>_Toc230193831</vt:lpwstr>
      </vt:variant>
      <vt:variant>
        <vt:i4>1376307</vt:i4>
      </vt:variant>
      <vt:variant>
        <vt:i4>178</vt:i4>
      </vt:variant>
      <vt:variant>
        <vt:i4>0</vt:i4>
      </vt:variant>
      <vt:variant>
        <vt:i4>5</vt:i4>
      </vt:variant>
      <vt:variant>
        <vt:lpwstr/>
      </vt:variant>
      <vt:variant>
        <vt:lpwstr>_Toc230193830</vt:lpwstr>
      </vt:variant>
      <vt:variant>
        <vt:i4>1310771</vt:i4>
      </vt:variant>
      <vt:variant>
        <vt:i4>172</vt:i4>
      </vt:variant>
      <vt:variant>
        <vt:i4>0</vt:i4>
      </vt:variant>
      <vt:variant>
        <vt:i4>5</vt:i4>
      </vt:variant>
      <vt:variant>
        <vt:lpwstr/>
      </vt:variant>
      <vt:variant>
        <vt:lpwstr>_Toc230193829</vt:lpwstr>
      </vt:variant>
      <vt:variant>
        <vt:i4>1310771</vt:i4>
      </vt:variant>
      <vt:variant>
        <vt:i4>166</vt:i4>
      </vt:variant>
      <vt:variant>
        <vt:i4>0</vt:i4>
      </vt:variant>
      <vt:variant>
        <vt:i4>5</vt:i4>
      </vt:variant>
      <vt:variant>
        <vt:lpwstr/>
      </vt:variant>
      <vt:variant>
        <vt:lpwstr>_Toc230193828</vt:lpwstr>
      </vt:variant>
      <vt:variant>
        <vt:i4>1310771</vt:i4>
      </vt:variant>
      <vt:variant>
        <vt:i4>160</vt:i4>
      </vt:variant>
      <vt:variant>
        <vt:i4>0</vt:i4>
      </vt:variant>
      <vt:variant>
        <vt:i4>5</vt:i4>
      </vt:variant>
      <vt:variant>
        <vt:lpwstr/>
      </vt:variant>
      <vt:variant>
        <vt:lpwstr>_Toc230193827</vt:lpwstr>
      </vt:variant>
      <vt:variant>
        <vt:i4>1310771</vt:i4>
      </vt:variant>
      <vt:variant>
        <vt:i4>154</vt:i4>
      </vt:variant>
      <vt:variant>
        <vt:i4>0</vt:i4>
      </vt:variant>
      <vt:variant>
        <vt:i4>5</vt:i4>
      </vt:variant>
      <vt:variant>
        <vt:lpwstr/>
      </vt:variant>
      <vt:variant>
        <vt:lpwstr>_Toc230193826</vt:lpwstr>
      </vt:variant>
      <vt:variant>
        <vt:i4>1310771</vt:i4>
      </vt:variant>
      <vt:variant>
        <vt:i4>148</vt:i4>
      </vt:variant>
      <vt:variant>
        <vt:i4>0</vt:i4>
      </vt:variant>
      <vt:variant>
        <vt:i4>5</vt:i4>
      </vt:variant>
      <vt:variant>
        <vt:lpwstr/>
      </vt:variant>
      <vt:variant>
        <vt:lpwstr>_Toc230193825</vt:lpwstr>
      </vt:variant>
      <vt:variant>
        <vt:i4>1310771</vt:i4>
      </vt:variant>
      <vt:variant>
        <vt:i4>142</vt:i4>
      </vt:variant>
      <vt:variant>
        <vt:i4>0</vt:i4>
      </vt:variant>
      <vt:variant>
        <vt:i4>5</vt:i4>
      </vt:variant>
      <vt:variant>
        <vt:lpwstr/>
      </vt:variant>
      <vt:variant>
        <vt:lpwstr>_Toc230193824</vt:lpwstr>
      </vt:variant>
      <vt:variant>
        <vt:i4>1310771</vt:i4>
      </vt:variant>
      <vt:variant>
        <vt:i4>136</vt:i4>
      </vt:variant>
      <vt:variant>
        <vt:i4>0</vt:i4>
      </vt:variant>
      <vt:variant>
        <vt:i4>5</vt:i4>
      </vt:variant>
      <vt:variant>
        <vt:lpwstr/>
      </vt:variant>
      <vt:variant>
        <vt:lpwstr>_Toc230193823</vt:lpwstr>
      </vt:variant>
      <vt:variant>
        <vt:i4>1310771</vt:i4>
      </vt:variant>
      <vt:variant>
        <vt:i4>130</vt:i4>
      </vt:variant>
      <vt:variant>
        <vt:i4>0</vt:i4>
      </vt:variant>
      <vt:variant>
        <vt:i4>5</vt:i4>
      </vt:variant>
      <vt:variant>
        <vt:lpwstr/>
      </vt:variant>
      <vt:variant>
        <vt:lpwstr>_Toc230193822</vt:lpwstr>
      </vt:variant>
      <vt:variant>
        <vt:i4>1310771</vt:i4>
      </vt:variant>
      <vt:variant>
        <vt:i4>124</vt:i4>
      </vt:variant>
      <vt:variant>
        <vt:i4>0</vt:i4>
      </vt:variant>
      <vt:variant>
        <vt:i4>5</vt:i4>
      </vt:variant>
      <vt:variant>
        <vt:lpwstr/>
      </vt:variant>
      <vt:variant>
        <vt:lpwstr>_Toc230193821</vt:lpwstr>
      </vt:variant>
      <vt:variant>
        <vt:i4>1310771</vt:i4>
      </vt:variant>
      <vt:variant>
        <vt:i4>118</vt:i4>
      </vt:variant>
      <vt:variant>
        <vt:i4>0</vt:i4>
      </vt:variant>
      <vt:variant>
        <vt:i4>5</vt:i4>
      </vt:variant>
      <vt:variant>
        <vt:lpwstr/>
      </vt:variant>
      <vt:variant>
        <vt:lpwstr>_Toc230193820</vt:lpwstr>
      </vt:variant>
      <vt:variant>
        <vt:i4>1507379</vt:i4>
      </vt:variant>
      <vt:variant>
        <vt:i4>112</vt:i4>
      </vt:variant>
      <vt:variant>
        <vt:i4>0</vt:i4>
      </vt:variant>
      <vt:variant>
        <vt:i4>5</vt:i4>
      </vt:variant>
      <vt:variant>
        <vt:lpwstr/>
      </vt:variant>
      <vt:variant>
        <vt:lpwstr>_Toc230193819</vt:lpwstr>
      </vt:variant>
      <vt:variant>
        <vt:i4>1507379</vt:i4>
      </vt:variant>
      <vt:variant>
        <vt:i4>106</vt:i4>
      </vt:variant>
      <vt:variant>
        <vt:i4>0</vt:i4>
      </vt:variant>
      <vt:variant>
        <vt:i4>5</vt:i4>
      </vt:variant>
      <vt:variant>
        <vt:lpwstr/>
      </vt:variant>
      <vt:variant>
        <vt:lpwstr>_Toc230193818</vt:lpwstr>
      </vt:variant>
      <vt:variant>
        <vt:i4>1507379</vt:i4>
      </vt:variant>
      <vt:variant>
        <vt:i4>100</vt:i4>
      </vt:variant>
      <vt:variant>
        <vt:i4>0</vt:i4>
      </vt:variant>
      <vt:variant>
        <vt:i4>5</vt:i4>
      </vt:variant>
      <vt:variant>
        <vt:lpwstr/>
      </vt:variant>
      <vt:variant>
        <vt:lpwstr>_Toc230193817</vt:lpwstr>
      </vt:variant>
      <vt:variant>
        <vt:i4>1507379</vt:i4>
      </vt:variant>
      <vt:variant>
        <vt:i4>94</vt:i4>
      </vt:variant>
      <vt:variant>
        <vt:i4>0</vt:i4>
      </vt:variant>
      <vt:variant>
        <vt:i4>5</vt:i4>
      </vt:variant>
      <vt:variant>
        <vt:lpwstr/>
      </vt:variant>
      <vt:variant>
        <vt:lpwstr>_Toc230193816</vt:lpwstr>
      </vt:variant>
      <vt:variant>
        <vt:i4>1507379</vt:i4>
      </vt:variant>
      <vt:variant>
        <vt:i4>88</vt:i4>
      </vt:variant>
      <vt:variant>
        <vt:i4>0</vt:i4>
      </vt:variant>
      <vt:variant>
        <vt:i4>5</vt:i4>
      </vt:variant>
      <vt:variant>
        <vt:lpwstr/>
      </vt:variant>
      <vt:variant>
        <vt:lpwstr>_Toc230193815</vt:lpwstr>
      </vt:variant>
      <vt:variant>
        <vt:i4>1507379</vt:i4>
      </vt:variant>
      <vt:variant>
        <vt:i4>82</vt:i4>
      </vt:variant>
      <vt:variant>
        <vt:i4>0</vt:i4>
      </vt:variant>
      <vt:variant>
        <vt:i4>5</vt:i4>
      </vt:variant>
      <vt:variant>
        <vt:lpwstr/>
      </vt:variant>
      <vt:variant>
        <vt:lpwstr>_Toc230193814</vt:lpwstr>
      </vt:variant>
      <vt:variant>
        <vt:i4>1507379</vt:i4>
      </vt:variant>
      <vt:variant>
        <vt:i4>76</vt:i4>
      </vt:variant>
      <vt:variant>
        <vt:i4>0</vt:i4>
      </vt:variant>
      <vt:variant>
        <vt:i4>5</vt:i4>
      </vt:variant>
      <vt:variant>
        <vt:lpwstr/>
      </vt:variant>
      <vt:variant>
        <vt:lpwstr>_Toc230193813</vt:lpwstr>
      </vt:variant>
      <vt:variant>
        <vt:i4>1507379</vt:i4>
      </vt:variant>
      <vt:variant>
        <vt:i4>70</vt:i4>
      </vt:variant>
      <vt:variant>
        <vt:i4>0</vt:i4>
      </vt:variant>
      <vt:variant>
        <vt:i4>5</vt:i4>
      </vt:variant>
      <vt:variant>
        <vt:lpwstr/>
      </vt:variant>
      <vt:variant>
        <vt:lpwstr>_Toc230193812</vt:lpwstr>
      </vt:variant>
      <vt:variant>
        <vt:i4>1507379</vt:i4>
      </vt:variant>
      <vt:variant>
        <vt:i4>64</vt:i4>
      </vt:variant>
      <vt:variant>
        <vt:i4>0</vt:i4>
      </vt:variant>
      <vt:variant>
        <vt:i4>5</vt:i4>
      </vt:variant>
      <vt:variant>
        <vt:lpwstr/>
      </vt:variant>
      <vt:variant>
        <vt:lpwstr>_Toc230193811</vt:lpwstr>
      </vt:variant>
      <vt:variant>
        <vt:i4>1507379</vt:i4>
      </vt:variant>
      <vt:variant>
        <vt:i4>58</vt:i4>
      </vt:variant>
      <vt:variant>
        <vt:i4>0</vt:i4>
      </vt:variant>
      <vt:variant>
        <vt:i4>5</vt:i4>
      </vt:variant>
      <vt:variant>
        <vt:lpwstr/>
      </vt:variant>
      <vt:variant>
        <vt:lpwstr>_Toc230193810</vt:lpwstr>
      </vt:variant>
      <vt:variant>
        <vt:i4>1441843</vt:i4>
      </vt:variant>
      <vt:variant>
        <vt:i4>52</vt:i4>
      </vt:variant>
      <vt:variant>
        <vt:i4>0</vt:i4>
      </vt:variant>
      <vt:variant>
        <vt:i4>5</vt:i4>
      </vt:variant>
      <vt:variant>
        <vt:lpwstr/>
      </vt:variant>
      <vt:variant>
        <vt:lpwstr>_Toc230193809</vt:lpwstr>
      </vt:variant>
      <vt:variant>
        <vt:i4>1441843</vt:i4>
      </vt:variant>
      <vt:variant>
        <vt:i4>46</vt:i4>
      </vt:variant>
      <vt:variant>
        <vt:i4>0</vt:i4>
      </vt:variant>
      <vt:variant>
        <vt:i4>5</vt:i4>
      </vt:variant>
      <vt:variant>
        <vt:lpwstr/>
      </vt:variant>
      <vt:variant>
        <vt:lpwstr>_Toc230193808</vt:lpwstr>
      </vt:variant>
      <vt:variant>
        <vt:i4>1441843</vt:i4>
      </vt:variant>
      <vt:variant>
        <vt:i4>40</vt:i4>
      </vt:variant>
      <vt:variant>
        <vt:i4>0</vt:i4>
      </vt:variant>
      <vt:variant>
        <vt:i4>5</vt:i4>
      </vt:variant>
      <vt:variant>
        <vt:lpwstr/>
      </vt:variant>
      <vt:variant>
        <vt:lpwstr>_Toc230193807</vt:lpwstr>
      </vt:variant>
      <vt:variant>
        <vt:i4>1441843</vt:i4>
      </vt:variant>
      <vt:variant>
        <vt:i4>34</vt:i4>
      </vt:variant>
      <vt:variant>
        <vt:i4>0</vt:i4>
      </vt:variant>
      <vt:variant>
        <vt:i4>5</vt:i4>
      </vt:variant>
      <vt:variant>
        <vt:lpwstr/>
      </vt:variant>
      <vt:variant>
        <vt:lpwstr>_Toc230193806</vt:lpwstr>
      </vt:variant>
      <vt:variant>
        <vt:i4>1441843</vt:i4>
      </vt:variant>
      <vt:variant>
        <vt:i4>28</vt:i4>
      </vt:variant>
      <vt:variant>
        <vt:i4>0</vt:i4>
      </vt:variant>
      <vt:variant>
        <vt:i4>5</vt:i4>
      </vt:variant>
      <vt:variant>
        <vt:lpwstr/>
      </vt:variant>
      <vt:variant>
        <vt:lpwstr>_Toc230193805</vt:lpwstr>
      </vt:variant>
      <vt:variant>
        <vt:i4>1441843</vt:i4>
      </vt:variant>
      <vt:variant>
        <vt:i4>22</vt:i4>
      </vt:variant>
      <vt:variant>
        <vt:i4>0</vt:i4>
      </vt:variant>
      <vt:variant>
        <vt:i4>5</vt:i4>
      </vt:variant>
      <vt:variant>
        <vt:lpwstr/>
      </vt:variant>
      <vt:variant>
        <vt:lpwstr>_Toc230193804</vt:lpwstr>
      </vt:variant>
      <vt:variant>
        <vt:i4>1441843</vt:i4>
      </vt:variant>
      <vt:variant>
        <vt:i4>16</vt:i4>
      </vt:variant>
      <vt:variant>
        <vt:i4>0</vt:i4>
      </vt:variant>
      <vt:variant>
        <vt:i4>5</vt:i4>
      </vt:variant>
      <vt:variant>
        <vt:lpwstr/>
      </vt:variant>
      <vt:variant>
        <vt:lpwstr>_Toc230193803</vt:lpwstr>
      </vt:variant>
      <vt:variant>
        <vt:i4>1441843</vt:i4>
      </vt:variant>
      <vt:variant>
        <vt:i4>10</vt:i4>
      </vt:variant>
      <vt:variant>
        <vt:i4>0</vt:i4>
      </vt:variant>
      <vt:variant>
        <vt:i4>5</vt:i4>
      </vt:variant>
      <vt:variant>
        <vt:lpwstr/>
      </vt:variant>
      <vt:variant>
        <vt:lpwstr>_Toc230193802</vt:lpwstr>
      </vt:variant>
      <vt:variant>
        <vt:i4>1441843</vt:i4>
      </vt:variant>
      <vt:variant>
        <vt:i4>4</vt:i4>
      </vt:variant>
      <vt:variant>
        <vt:i4>0</vt:i4>
      </vt:variant>
      <vt:variant>
        <vt:i4>5</vt:i4>
      </vt:variant>
      <vt:variant>
        <vt:lpwstr/>
      </vt:variant>
      <vt:variant>
        <vt:lpwstr>_Toc230193801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Casey</dc:creator>
  <cp:keywords>[SEC=OFFICIAL]</cp:keywords>
  <dc:description/>
  <cp:lastModifiedBy>Julie Anderson</cp:lastModifiedBy>
  <cp:revision>10</cp:revision>
  <dcterms:created xsi:type="dcterms:W3CDTF">2026-06-04T05:37:00Z</dcterms:created>
  <dcterms:modified xsi:type="dcterms:W3CDTF">2026-06-05T05:30:00Z</dcterms:modified>
  <cp:category>PlainPage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Title</vt:lpwstr>
  </property>
  <property fmtid="{D5CDD505-2E9C-101B-9397-08002B2CF9AE}" pid="3" name="CoverSubtitle">
    <vt:lpwstr>Cover Subtitle</vt:lpwstr>
  </property>
  <property fmtid="{D5CDD505-2E9C-101B-9397-08002B2CF9AE}" pid="4" name="CoverDate">
    <vt:lpwstr>Date Here</vt:lpwstr>
  </property>
  <property fmtid="{D5CDD505-2E9C-101B-9397-08002B2CF9AE}" pid="5" name="ReportNumber">
    <vt:lpwstr>Report Number</vt:lpwstr>
  </property>
  <property fmtid="{D5CDD505-2E9C-101B-9397-08002B2CF9AE}" pid="6" name="PM_Caveats_Count">
    <vt:lpwstr>0</vt:lpwstr>
  </property>
  <property fmtid="{D5CDD505-2E9C-101B-9397-08002B2CF9AE}" pid="7" name="PM_Namespace">
    <vt:lpwstr>gov.au</vt:lpwstr>
  </property>
  <property fmtid="{D5CDD505-2E9C-101B-9397-08002B2CF9AE}" pid="8" name="PM_Version">
    <vt:lpwstr>2018.4</vt:lpwstr>
  </property>
  <property fmtid="{D5CDD505-2E9C-101B-9397-08002B2CF9AE}" pid="9" name="MSIP_Label_eb34d90b-fc41-464d-af60-f74d721d0790_Name">
    <vt:lpwstr>OFFICIAL</vt:lpwstr>
  </property>
  <property fmtid="{D5CDD505-2E9C-101B-9397-08002B2CF9AE}" pid="10" name="PM_Note">
    <vt:lpwstr/>
  </property>
  <property fmtid="{D5CDD505-2E9C-101B-9397-08002B2CF9AE}" pid="11" name="PMHMAC">
    <vt:lpwstr>v=2022.1;a=SHA256;h=B1F0C545912D0D87D048A5F26BF66DA97F2C4B72BC87486EDD302E1F637EAD3F</vt:lpwstr>
  </property>
  <property fmtid="{D5CDD505-2E9C-101B-9397-08002B2CF9AE}" pid="12" name="PM_Qualifier">
    <vt:lpwstr/>
  </property>
  <property fmtid="{D5CDD505-2E9C-101B-9397-08002B2CF9AE}" pid="13" name="PM_SecurityClassification">
    <vt:lpwstr>OFFICIAL</vt:lpwstr>
  </property>
  <property fmtid="{D5CDD505-2E9C-101B-9397-08002B2CF9AE}" pid="14" name="PM_ProtectiveMarkingValue_Header">
    <vt:lpwstr>OFFICIAL</vt:lpwstr>
  </property>
  <property fmtid="{D5CDD505-2E9C-101B-9397-08002B2CF9AE}" pid="15" name="PM_OriginationTimeStamp">
    <vt:lpwstr>2025-06-03T05:41:48Z</vt:lpwstr>
  </property>
  <property fmtid="{D5CDD505-2E9C-101B-9397-08002B2CF9AE}" pid="16" name="PM_DownTo">
    <vt:lpwstr/>
  </property>
  <property fmtid="{D5CDD505-2E9C-101B-9397-08002B2CF9AE}" pid="17" name="PM_Markers">
    <vt:lpwstr/>
  </property>
  <property fmtid="{D5CDD505-2E9C-101B-9397-08002B2CF9AE}" pid="18" name="PM_DisplayValueSecClassificationWithQualifier">
    <vt:lpwstr>OFFICIAL</vt:lpwstr>
  </property>
  <property fmtid="{D5CDD505-2E9C-101B-9397-08002B2CF9AE}" pid="19" name="PM_Expires">
    <vt:lpwstr/>
  </property>
  <property fmtid="{D5CDD505-2E9C-101B-9397-08002B2CF9AE}" pid="20" name="MSIP_Label_eb34d90b-fc41-464d-af60-f74d721d0790_SiteId">
    <vt:lpwstr>61e36dd1-ca6e-4d61-aa0a-2b4eb88317a3</vt:lpwstr>
  </property>
  <property fmtid="{D5CDD505-2E9C-101B-9397-08002B2CF9AE}" pid="21" name="MSIP_Label_eb34d90b-fc41-464d-af60-f74d721d0790_ContentBits">
    <vt:lpwstr>0</vt:lpwstr>
  </property>
  <property fmtid="{D5CDD505-2E9C-101B-9397-08002B2CF9AE}" pid="22" name="MSIP_Label_eb34d90b-fc41-464d-af60-f74d721d0790_Enabled">
    <vt:lpwstr>true</vt:lpwstr>
  </property>
  <property fmtid="{D5CDD505-2E9C-101B-9397-08002B2CF9AE}" pid="23" name="MSIP_Label_eb34d90b-fc41-464d-af60-f74d721d0790_SetDate">
    <vt:lpwstr>2025-06-03T05:41:48Z</vt:lpwstr>
  </property>
  <property fmtid="{D5CDD505-2E9C-101B-9397-08002B2CF9AE}" pid="24" name="MSIP_Label_eb34d90b-fc41-464d-af60-f74d721d0790_Method">
    <vt:lpwstr>Privileged</vt:lpwstr>
  </property>
  <property fmtid="{D5CDD505-2E9C-101B-9397-08002B2CF9AE}" pid="25" name="MSIP_Label_eb34d90b-fc41-464d-af60-f74d721d0790_ActionId">
    <vt:lpwstr>e22e887b955d4857bc4b2e7f04416ae2</vt:lpwstr>
  </property>
  <property fmtid="{D5CDD505-2E9C-101B-9397-08002B2CF9AE}" pid="26" name="PM_InsertionValue">
    <vt:lpwstr>OFFICIAL</vt:lpwstr>
  </property>
  <property fmtid="{D5CDD505-2E9C-101B-9397-08002B2CF9AE}" pid="27" name="PM_Originator_Hash_SHA1">
    <vt:lpwstr>788D90FC7213E4C8C4C234FFBDFDD4BA00C2F69C</vt:lpwstr>
  </property>
  <property fmtid="{D5CDD505-2E9C-101B-9397-08002B2CF9AE}" pid="28" name="PM_Originating_FileId">
    <vt:lpwstr>66388A1F3C90460E8574648052A526B4</vt:lpwstr>
  </property>
  <property fmtid="{D5CDD505-2E9C-101B-9397-08002B2CF9AE}" pid="29" name="PM_ProtectiveMarkingValue_Footer">
    <vt:lpwstr>OFFICIAL</vt:lpwstr>
  </property>
  <property fmtid="{D5CDD505-2E9C-101B-9397-08002B2CF9AE}" pid="30" name="PM_Display">
    <vt:lpwstr>OFFICIAL</vt:lpwstr>
  </property>
  <property fmtid="{D5CDD505-2E9C-101B-9397-08002B2CF9AE}" pid="31" name="PM_OriginatorUserAccountName_SHA256">
    <vt:lpwstr>ED1C630B7B6DBEC3891D46B9FB603C601F4F95BC817D4DF58014D290F975834C</vt:lpwstr>
  </property>
  <property fmtid="{D5CDD505-2E9C-101B-9397-08002B2CF9AE}" pid="32" name="PM_OriginatorDomainName_SHA256">
    <vt:lpwstr>E83A2A66C4061446A7E3732E8D44762184B6B377D962B96C83DC624302585857</vt:lpwstr>
  </property>
  <property fmtid="{D5CDD505-2E9C-101B-9397-08002B2CF9AE}" pid="33" name="PMUuid">
    <vt:lpwstr>v=2022.2;d=gov.au;g=46DD6D7C-8107-577B-BC6E-F348953B2E44</vt:lpwstr>
  </property>
  <property fmtid="{D5CDD505-2E9C-101B-9397-08002B2CF9AE}" pid="34" name="PM_Hash_Version">
    <vt:lpwstr>2022.1</vt:lpwstr>
  </property>
  <property fmtid="{D5CDD505-2E9C-101B-9397-08002B2CF9AE}" pid="35" name="PM_Hash_Salt_Prev">
    <vt:lpwstr>90504D33B3E4BF1969E99B0B0E14786C</vt:lpwstr>
  </property>
  <property fmtid="{D5CDD505-2E9C-101B-9397-08002B2CF9AE}" pid="36" name="PM_Hash_Salt">
    <vt:lpwstr>153824C293FF98B74E70B79D3BC3BFAF</vt:lpwstr>
  </property>
  <property fmtid="{D5CDD505-2E9C-101B-9397-08002B2CF9AE}" pid="37" name="PM_Hash_SHA1">
    <vt:lpwstr>21D88B8128FF265172C8C647C602A85270767268</vt:lpwstr>
  </property>
  <property fmtid="{D5CDD505-2E9C-101B-9397-08002B2CF9AE}" pid="38" name="ContentTypeId">
    <vt:lpwstr>0x010100128B4CEBC3EFB64D8776CBB478333CB8</vt:lpwstr>
  </property>
  <property fmtid="{D5CDD505-2E9C-101B-9397-08002B2CF9AE}" pid="39" name="MediaServiceImageTags">
    <vt:lpwstr/>
  </property>
  <property fmtid="{D5CDD505-2E9C-101B-9397-08002B2CF9AE}" pid="40" name="ClassificationContentMarkingHeaderShapeIds">
    <vt:lpwstr>429d656a,6e82368e,ed6baa9</vt:lpwstr>
  </property>
  <property fmtid="{D5CDD505-2E9C-101B-9397-08002B2CF9AE}" pid="41" name="ClassificationContentMarkingHeaderFontProps">
    <vt:lpwstr>#000000,12,Calibri</vt:lpwstr>
  </property>
  <property fmtid="{D5CDD505-2E9C-101B-9397-08002B2CF9AE}" pid="42" name="ClassificationContentMarkingHeaderText">
    <vt:lpwstr>Internal</vt:lpwstr>
  </property>
  <property fmtid="{D5CDD505-2E9C-101B-9397-08002B2CF9AE}" pid="43" name="docLang">
    <vt:lpwstr>en</vt:lpwstr>
  </property>
  <property fmtid="{D5CDD505-2E9C-101B-9397-08002B2CF9AE}" pid="44" name="MSIP_Label_0f488380-630a-4f55-a077-a19445e3f360_Enabled">
    <vt:lpwstr>true</vt:lpwstr>
  </property>
  <property fmtid="{D5CDD505-2E9C-101B-9397-08002B2CF9AE}" pid="45" name="MSIP_Label_0f488380-630a-4f55-a077-a19445e3f360_SetDate">
    <vt:lpwstr>2026-05-06T23:45:35Z</vt:lpwstr>
  </property>
  <property fmtid="{D5CDD505-2E9C-101B-9397-08002B2CF9AE}" pid="46" name="MSIP_Label_0f488380-630a-4f55-a077-a19445e3f360_Method">
    <vt:lpwstr>Standard</vt:lpwstr>
  </property>
  <property fmtid="{D5CDD505-2E9C-101B-9397-08002B2CF9AE}" pid="47" name="MSIP_Label_0f488380-630a-4f55-a077-a19445e3f360_Name">
    <vt:lpwstr>OFFICIAL - INTERNAL</vt:lpwstr>
  </property>
  <property fmtid="{D5CDD505-2E9C-101B-9397-08002B2CF9AE}" pid="48" name="MSIP_Label_0f488380-630a-4f55-a077-a19445e3f360_SiteId">
    <vt:lpwstr>b6e377cf-9db3-46cb-91a2-fad9605bb15c</vt:lpwstr>
  </property>
  <property fmtid="{D5CDD505-2E9C-101B-9397-08002B2CF9AE}" pid="49" name="MSIP_Label_0f488380-630a-4f55-a077-a19445e3f360_ActionId">
    <vt:lpwstr>10961984-7a9b-4431-9027-9531042b27b1</vt:lpwstr>
  </property>
  <property fmtid="{D5CDD505-2E9C-101B-9397-08002B2CF9AE}" pid="50" name="MSIP_Label_0f488380-630a-4f55-a077-a19445e3f360_ContentBits">
    <vt:lpwstr>0</vt:lpwstr>
  </property>
  <property fmtid="{D5CDD505-2E9C-101B-9397-08002B2CF9AE}" pid="51" name="MSIP_Label_0f488380-630a-4f55-a077-a19445e3f360_Tag">
    <vt:lpwstr>10, 3, 0, 1</vt:lpwstr>
  </property>
</Properties>
</file>